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308FE">
        <w:rPr>
          <w:rFonts w:ascii="Sylfaen" w:hAnsi="Sylfaen"/>
          <w:sz w:val="24"/>
          <w:szCs w:val="24"/>
        </w:rPr>
        <w:t>ПРИЛОЖЕНИЕ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к Рекомендации Коллегии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от 4 августа 2017 г. № 14</w:t>
      </w:r>
    </w:p>
    <w:p w:rsidR="002D4DE1" w:rsidRDefault="002D4DE1" w:rsidP="004308FE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C1BB7" w:rsidRPr="004308FE" w:rsidRDefault="007515C0" w:rsidP="004308FE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308F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ЕДИНЫЕ ПОДХОДЫ</w:t>
      </w:r>
    </w:p>
    <w:p w:rsidR="007C1BB7" w:rsidRPr="004308FE" w:rsidRDefault="007515C0" w:rsidP="004308FE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к организации пропуска лиц, транспортных средств и товаров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в местах перемещения товаров через таможенную границу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Евразийского экономического союза автомобильным транспортом</w:t>
      </w:r>
    </w:p>
    <w:p w:rsidR="002D4DE1" w:rsidRDefault="002D4DE1" w:rsidP="004308FE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1.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В настоящем документе даются рекомендации относительно последовательности контрольных операций при проведении должностными лицами контролирующих органов государств - членов Евразийского экономического союза (далее соответственно контролирующие органы, государство-член, Союз) таможенного, транспортного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(автомобильного),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радиационного, санитарно-карантинного контроля, ветеринарного, карантинного фитосанитарного контроля (надзора) (далее - государственный контроль) при перемещении лиц, транспортных средств и товаров в местах перемещения товаров через таможенную границу Союза в автомобильных пунктах пропуска через государственную границу государства-члена (далее - пункт пропуска) и других мер по организации их пропуска.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2.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При въезде (ввозе) на таможенную территорию Союза лиц, транспортных средств и товаров рекомендуется следующая последовательность проведения контролирующими органами видов государственного контроля в пункте пропуска: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а)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радиационный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б)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санитарно-карантинный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в)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ветеринарный контроль (надзор);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г)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карантинный фитосанитарный контроль (надзор);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д)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транспортный (автомобильный)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е)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таможенный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ж)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иные виды государственного контроля (надзора) (проводятся в соответствии с международными договорами и актами, составляющими право Союза, и (или) законодательством государства-члена).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3.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При выезде (вывозе) с таможенной территории Союза лиц, транспортных средств и товаров рекомендуется следующая последовательность проведения контролирующими органами видов государственного контроля в пункте пропуска: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а)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радиационный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б)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транспортный (автомобильный)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lastRenderedPageBreak/>
        <w:t>в)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ветеринарный контроль (надзор);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г)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санитарно-карантинный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д)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таможенный контроль;</w:t>
      </w:r>
    </w:p>
    <w:p w:rsidR="007C1BB7" w:rsidRPr="004308FE" w:rsidRDefault="007515C0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е)</w:t>
      </w:r>
      <w:r w:rsidR="002D4DE1">
        <w:rPr>
          <w:rFonts w:ascii="Sylfaen" w:hAnsi="Sylfaen"/>
          <w:sz w:val="24"/>
          <w:szCs w:val="24"/>
        </w:rPr>
        <w:t xml:space="preserve"> </w:t>
      </w:r>
      <w:r w:rsidRPr="004308FE">
        <w:rPr>
          <w:rFonts w:ascii="Sylfaen" w:hAnsi="Sylfaen"/>
          <w:sz w:val="24"/>
          <w:szCs w:val="24"/>
        </w:rPr>
        <w:t>иные виды государственного контроля (надзора) (проводятся в соответствии с международными договорами и актами, составляющими право Союза, и (или) законодательством государства-члена).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4.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Пропуск через таможенную границу Союза лиц и товаров для личного пользования в пункте пропуска может осуществляться с использованием системы двойного коридора.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5.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В целях соблюдения нормативов по времени пропуска лиц, транспортных средств и товаров без ущерба качеству государственного контроля при увеличении потоков лиц, транспортных средств и товаров таможенный орган в зависимости от инфраструктуры, существующей в пункте пропуска, может устанавливать отдельные (дополнительные) полосы движения, места стоянок (площадки), а также перераспределять должностных лиц таможенного органа с учетом необходимости увеличения их количества на соответствующем направлении.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6.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При наличии возможности в целях сокращения общего времени проведения государственного контроля в пункте пропуска осмотр (досмотр) лиц, транспортных средств и товаров рекомендуется проводить в специально оборудованных местах пункта пропуска должностными лицами таможенного органа совместно с должностными лицами иных контролирующих органов, если этими контролирующими органами также принято решение о проведении осмотра (досмотра).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7.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Должностным лицам контролирующего органа рекомендуется незамедлительно информировать должностных лиц таможенного органа в случае сбоев в работе средств связи, оборудования, информационного и программного обеспечения, а также иных нештатных ситуаций, в результате которых нарушается исполнение контрольных функций, возложенных на контролирующий орган, для принятия необходимых мер по их устранению.</w:t>
      </w:r>
    </w:p>
    <w:p w:rsidR="007C1BB7" w:rsidRPr="004308FE" w:rsidRDefault="004308FE" w:rsidP="002D4DE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08FE">
        <w:rPr>
          <w:rFonts w:ascii="Sylfaen" w:hAnsi="Sylfaen"/>
          <w:sz w:val="24"/>
          <w:szCs w:val="24"/>
        </w:rPr>
        <w:t>8.</w:t>
      </w:r>
      <w:r w:rsidR="002D4DE1">
        <w:rPr>
          <w:rFonts w:ascii="Sylfaen" w:hAnsi="Sylfaen"/>
          <w:sz w:val="24"/>
          <w:szCs w:val="24"/>
        </w:rPr>
        <w:t xml:space="preserve"> </w:t>
      </w:r>
      <w:r w:rsidR="007515C0" w:rsidRPr="004308FE">
        <w:rPr>
          <w:rFonts w:ascii="Sylfaen" w:hAnsi="Sylfaen"/>
          <w:sz w:val="24"/>
          <w:szCs w:val="24"/>
        </w:rPr>
        <w:t>При проведении контрольных операций в пункте пропуска в соответствии с пунктами 6 и 7 настоящего документа могут применяться меры по минимизации рисков в рамках системы управления рисками.</w:t>
      </w:r>
      <w:bookmarkStart w:id="1" w:name="bookmark1"/>
      <w:bookmarkEnd w:id="1"/>
    </w:p>
    <w:sectPr w:rsidR="007C1BB7" w:rsidRPr="004308FE" w:rsidSect="004308F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57" w:rsidRDefault="004A4E57" w:rsidP="007C1BB7">
      <w:r>
        <w:separator/>
      </w:r>
    </w:p>
  </w:endnote>
  <w:endnote w:type="continuationSeparator" w:id="0">
    <w:p w:rsidR="004A4E57" w:rsidRDefault="004A4E57" w:rsidP="007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57" w:rsidRDefault="004A4E57"/>
  </w:footnote>
  <w:footnote w:type="continuationSeparator" w:id="0">
    <w:p w:rsidR="004A4E57" w:rsidRDefault="004A4E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4C2F"/>
    <w:multiLevelType w:val="multilevel"/>
    <w:tmpl w:val="7E227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67742D"/>
    <w:multiLevelType w:val="multilevel"/>
    <w:tmpl w:val="6010E3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1BB7"/>
    <w:rsid w:val="002D4DE1"/>
    <w:rsid w:val="003C2ABB"/>
    <w:rsid w:val="004308FE"/>
    <w:rsid w:val="004A4E57"/>
    <w:rsid w:val="007515C0"/>
    <w:rsid w:val="007C1BB7"/>
    <w:rsid w:val="009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1B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1BB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C1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FranklinGothicDemi">
    <w:name w:val="Body text (2) + Franklin Gothic Demi"/>
    <w:basedOn w:val="Bodytext2"/>
    <w:rsid w:val="007C1BB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1 pt"/>
    <w:basedOn w:val="Bodytext2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C1BB7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C1BB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C1B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1BB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2018-01-15T07:41:00Z</dcterms:created>
  <dcterms:modified xsi:type="dcterms:W3CDTF">2018-10-02T08:01:00Z</dcterms:modified>
</cp:coreProperties>
</file>