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ПРИНЯТ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Решением Совета</w:t>
      </w:r>
      <w:r w:rsidRPr="00FA0BA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FA0BA4">
        <w:rPr>
          <w:rFonts w:ascii="Sylfaen" w:hAnsi="Sylfaen"/>
          <w:sz w:val="24"/>
          <w:szCs w:val="24"/>
          <w:lang w:val="ru-RU"/>
        </w:rPr>
        <w:t>Евразийской экономической комиссии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от 20 декабря 2017 г. № 89</w:t>
      </w:r>
    </w:p>
    <w:p w:rsidR="00FA0BA4" w:rsidRDefault="00FA0BA4" w:rsidP="00FA0BA4">
      <w:pPr>
        <w:pStyle w:val="Bodytext40"/>
        <w:shd w:val="clear" w:color="auto" w:fill="auto"/>
        <w:spacing w:before="0" w:line="240" w:lineRule="auto"/>
        <w:rPr>
          <w:rStyle w:val="Bodytext4Spacing2pt"/>
          <w:rFonts w:ascii="Sylfaen" w:hAnsi="Sylfaen"/>
          <w:b/>
          <w:bCs/>
          <w:sz w:val="24"/>
          <w:szCs w:val="24"/>
        </w:rPr>
      </w:pPr>
    </w:p>
    <w:p w:rsidR="00FA0BA4" w:rsidRPr="00FA0BA4" w:rsidRDefault="00FA0BA4" w:rsidP="00FA0BA4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ru-RU"/>
        </w:rPr>
      </w:pPr>
      <w:r w:rsidRPr="001D7E39">
        <w:rPr>
          <w:rStyle w:val="Bodytext4Spacing2pt"/>
          <w:rFonts w:ascii="Sylfaen" w:hAnsi="Sylfaen"/>
          <w:sz w:val="24"/>
          <w:szCs w:val="24"/>
        </w:rPr>
        <w:t>ТЕХНИЧЕСКИЙ РЕГЛАМЕНТ</w:t>
      </w:r>
    </w:p>
    <w:p w:rsidR="00FA0BA4" w:rsidRPr="00FA0BA4" w:rsidRDefault="00FA0BA4" w:rsidP="00FA0BA4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Евразийского экономического союза «О безопасности нефти, подготовленной к транспортировке и (или) использованию» (ТР ЕАЭС 045/2017)</w:t>
      </w:r>
    </w:p>
    <w:p w:rsidR="00FA0BA4" w:rsidRPr="001D7E39" w:rsidRDefault="00FA0BA4" w:rsidP="00FA0BA4">
      <w:pPr>
        <w:spacing w:after="120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t>I</w:t>
      </w:r>
      <w:r w:rsidRPr="00FA0BA4">
        <w:rPr>
          <w:rFonts w:ascii="Sylfaen" w:hAnsi="Sylfaen"/>
          <w:sz w:val="24"/>
          <w:szCs w:val="24"/>
          <w:lang w:val="ru-RU"/>
        </w:rPr>
        <w:t>. Область применения</w:t>
      </w:r>
    </w:p>
    <w:p w:rsidR="00FA0BA4" w:rsidRPr="001D7E39" w:rsidRDefault="00FA0BA4" w:rsidP="00FA0BA4">
      <w:pPr>
        <w:spacing w:after="120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1. Настоящий технический регламент разработан в соответствии со статьей 52 Договора о Евразийском экономическом союзе от 29 мая 2014 года и устанавливает обязательные для применения и исполнения на таможенной территории Евразийского экономического союза (далее - Союз) требования безопасности нефти в целях обеспечения защиты жизни и (или) здоровья человека, имущества, охраны окружающей среды и предупреждения действий, вводящих в заблуждение потребителей, а также в целях обеспечения энергетической эффективности и ресурсосбережения.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2. Объектом технического регулирования настоящего технического регламента является нефть, подготовленная к транспортировке и (или) использованию, выпускаемая в обращение и находящаяся в обращении на рынке Союза.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3. Настоящий технический регламент не распространяется на нефть, поставляемую на экспорт за пределы таможенной территории Союза, поставляемую по государственному оборонному заказу, находящуюся на хранении в организациях, обеспечивающих</w:t>
      </w:r>
      <w:r w:rsidRPr="00FA0BA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FA0BA4">
        <w:rPr>
          <w:rFonts w:ascii="Sylfaen" w:hAnsi="Sylfaen"/>
          <w:sz w:val="24"/>
          <w:szCs w:val="24"/>
          <w:lang w:val="ru-RU"/>
        </w:rPr>
        <w:t>сохранность государственного материального резерва, а также используемую изготовителем (производителем) нефти исключительно для собственных нужд.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t>II</w:t>
      </w:r>
      <w:r w:rsidRPr="00FA0BA4">
        <w:rPr>
          <w:rFonts w:ascii="Sylfaen" w:hAnsi="Sylfaen"/>
          <w:sz w:val="24"/>
          <w:szCs w:val="24"/>
          <w:lang w:val="ru-RU"/>
        </w:rPr>
        <w:t>. Основные понятия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4. Для целей применения настоящего технического регламента используются понятия, которые означают следующее: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«безопасность нефти» - состояние нефти, при котором отсутствуют недопустимые риски, связанные с возможностью причинения вреда и (или) нанесения ущерба;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 xml:space="preserve">«выпуск в обращение нефти» - первичный переход нефти от изготовителя </w:t>
      </w:r>
      <w:r w:rsidRPr="00FA0BA4">
        <w:rPr>
          <w:rFonts w:ascii="Sylfaen" w:hAnsi="Sylfaen"/>
          <w:sz w:val="24"/>
          <w:szCs w:val="24"/>
          <w:lang w:val="ru-RU"/>
        </w:rPr>
        <w:lastRenderedPageBreak/>
        <w:t>(производителя) нефти к продавцу и (или) потребителю (в том числе отправка со склада изготовителя (производителя) нефти или отгрузка без складирования) или ввоз нефти с целью распространения на таможенной территории Союза в ходе коммерческой деятельности на безвозмездной или возмездной основе;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«изготовитель (производитель) нефти» - юридическое лицо, в том числе иностранное лицо, осуществляющее от своего имени добычу или добычу и реализацию нефти и ответственное за ее соответствие требованиям настоящего технического регламента, а также других технических регламентов Союза, действие которых на нее распространяется;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«нефть» - жидкая природная ископаемая смесь углеводородов широкого физико-химического состава, подготовленная к транспортировке магистральным трубопроводом, железнодорожным, автомобильным и водным транспортом и (или) к использованию в качестве сырья на нефтеперерабатывающих и нефтехимических производствах;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«обращение нефти на рынке» - движение нефти от изготовителя (производителя) нефти к потребителю;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«партия нефти» - количество нефти, сопровождаемое одним документом о количестве (маршрутное поручение, или акт приема-сдачи нефти, или накладная на отгрузку, или коносамент) и одним паспортом;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«потребитель» - юридическое лицо или физическое лицо, зарегистрированное в качестве индивидуального предпринимателя, имеющие намерение заказать или приобрести либо заказывающие, приобретающие или использующие нефть;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«продавец (в том числе импортер)» - юридическое лицо или физическое лицо, зарегистрированное в качестве индивидуального предпринимателя, являющиеся резидентом государства - члена Союза, осуществляющие реализацию нефти потребителю в соответствии с законодательством государства - члена Союза и ответственные за размещение на рынке Союза нефти и ее соответствие требованиям настоящего технического регламента, а также других технических регламентов Союза, действие которых на нее распространяется;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«уполномоченное изготовителем (производителем) нефти лицо» - зарегистрированные в установленном законодательством государства - члена Союза порядке на его территории юридическое лицо или физическое лицо, зарегистрированное в качестве индивидуального предпринимателя, которые на основании договора с изготовителем (производителем) нефти, в том числе с иностранным изготовителем (производителем) нефти, осуществляют действия от имени этого изготовителя (производителя) нефти при оценке соответствия и выпуске в обращение нефти на рынке Союза, а также несут ответственность за соответствие нефти требованиям настоящего технического регламента, а также других технических регламентов Союза, действие которых на нее распространяется.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lastRenderedPageBreak/>
        <w:t>III</w:t>
      </w:r>
      <w:r w:rsidRPr="00FA0BA4">
        <w:rPr>
          <w:rFonts w:ascii="Sylfaen" w:hAnsi="Sylfaen"/>
          <w:sz w:val="24"/>
          <w:szCs w:val="24"/>
          <w:lang w:val="ru-RU"/>
        </w:rPr>
        <w:t>. Правила обращения нефти на рынке Союза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5. Нефть, выпускаемая в обращение и находящаяся в обращении на рынке Союза, должна соответствовать требованиям настоящего технического регламента, а также требованиям других технических регламентов Союза, действие которых на нее распространяется.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6. Каждая партия нефти, выпускаемая в обращение и находящаяся в обращении на рынке Союза, должна сопровождаться паспортом, который содержит следующие сведения: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а) наименование, место нахождения (адрес) юридического лица или фамилия, имя и отчество (при наличии), место жительства физического лица, зарегистрированного в качестве индивидуального предпринимателя, являющихся изготовителем (производителем) нефти или продавцом (в том числе импортером) либо уполномоченным изготовителем (производителем) нефти лицом, оформившим паспорт;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б) товарный знак изготовителя (производителя) нефти (при наличии);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в) обозначение и наименование документа, в соответствии с которым изготовлена (произведена) нефть (при наличии), и ее наименование и обозначение в соответствии с этим документом;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г) нормативные значения показателей нефти, установленные в требованиях к показателям нефти согласно приложению и в документе, в соответствии с которым изготовлена (произведена) нефть, а также фактические результаты лабораторных испытаний с указанием наименования собственной испытательной лаборатории или аккредитованной испытательной лаборатории, включенной</w:t>
      </w:r>
      <w:r w:rsidRPr="00FA0BA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FA0BA4">
        <w:rPr>
          <w:rFonts w:ascii="Sylfaen" w:hAnsi="Sylfaen"/>
          <w:sz w:val="24"/>
          <w:szCs w:val="24"/>
          <w:lang w:val="ru-RU"/>
        </w:rPr>
        <w:t>в Единый реестр органов по оценке соответствия Евразийского экономического союза (далее - Единый реестр);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д) номер партии;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е) единый знак обращения продукции на рынке Союза;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ж) номер и дата выдачи паспорта;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з) фамилия, инициалы и подпись лица, оформившего паспорт.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7. Паспорт оформляется на русском языке и при наличии соответствующих требований в законодательстве государства - члена Союза на государственном (государственных) языке (языках) государства - члена Союза, на территории которого осуществляется реализация нефти.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8. При реализации нефти продавец (в том числе импортер) обязан представить по требованию потребителя копию паспорта.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9. Паспорт оформляется при приеме (сдаче) нефти для целей транспортировки, хранения, переработки и реализации.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lastRenderedPageBreak/>
        <w:t>IV</w:t>
      </w:r>
      <w:r w:rsidRPr="00FA0BA4">
        <w:rPr>
          <w:rFonts w:ascii="Sylfaen" w:hAnsi="Sylfaen"/>
          <w:sz w:val="24"/>
          <w:szCs w:val="24"/>
          <w:lang w:val="ru-RU"/>
        </w:rPr>
        <w:t>. Требования безопасности нефти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10. Нефть, выпускаемая в обращение и находящаяся в обращении на рынке Союза, должна соответствовать требованиям к показателям, указанным в приложении к настоящему техническому регламенту.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11. При изготовлении (производстве) и транспортировке нефти не допускается применение химических реагентов, содержащих хлорорганические соединения.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t>V</w:t>
      </w:r>
      <w:r w:rsidRPr="00FA0BA4">
        <w:rPr>
          <w:rFonts w:ascii="Sylfaen" w:hAnsi="Sylfaen"/>
          <w:sz w:val="24"/>
          <w:szCs w:val="24"/>
          <w:lang w:val="ru-RU"/>
        </w:rPr>
        <w:t>. Обеспечение соответствия нефти требованиям безопасности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12. Безопасность нефти обеспечивается соблюдением требований, установленных настоящим техническим регламентом, а также</w:t>
      </w:r>
      <w:r w:rsidRPr="00FA0BA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FA0BA4">
        <w:rPr>
          <w:rFonts w:ascii="Sylfaen" w:hAnsi="Sylfaen"/>
          <w:sz w:val="24"/>
          <w:szCs w:val="24"/>
          <w:lang w:val="ru-RU"/>
        </w:rPr>
        <w:t>требований других технических регламентов Союза, действие которых на нее распространяется.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13. Методы испытаний, проводимых при оценке соответствия нефти требованиям настоящего технического регламента, устанавливаются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t>VI</w:t>
      </w:r>
      <w:r w:rsidRPr="00FA0BA4">
        <w:rPr>
          <w:rFonts w:ascii="Sylfaen" w:hAnsi="Sylfaen"/>
          <w:sz w:val="24"/>
          <w:szCs w:val="24"/>
          <w:lang w:val="ru-RU"/>
        </w:rPr>
        <w:t>. Оценка соответствия нефти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14. Нефть перед выпуском в обращение на рынке Союза подлежит оценке соответствия требованиям настоящего технического регламента, которая проводится в форме испытаний с оформлением паспорта.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15. Оценка соответствия нефти требованиям настоящего технического регламента осуществляется заявителем (юридическим лицом или физическим лицом, зарегистрированным в качестве индивидуального предпринимателя), зарегистрированным на территории государства - члена Союза в соответствии с его законодательством, являющимся изготовителем (производителем) нефти или продавцом (в том числе импортером) либо уполномоченным изготовителем (производителем) нефти лицом, с использованием средств измерений, отвечающих требованиям, установленным законодательством государств - членов Союза в области обеспечения единства измерений.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16. Порядок проведения испытаний включает в себя: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а) отбор проб (образцов) нефти;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lastRenderedPageBreak/>
        <w:t>б) проведение испытаний проб (образцов) нефти собственной испытательной лабораторией или аккредитованной испытательной лабораторией, включенной в Единый реестр;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в) внесение результатов испытаний и заключения о соответствии нефти требованиям настоящего технического регламента в паспорт.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17. Проведение испытаний осуществляется в соответствии со стандартами, указанными в пункте 13 настоящего технического регламента.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  <w:lang w:val="ru-RU"/>
        </w:rPr>
      </w:pPr>
      <w:r w:rsidRPr="001D7E39">
        <w:rPr>
          <w:rFonts w:ascii="Sylfaen" w:hAnsi="Sylfaen"/>
          <w:sz w:val="24"/>
          <w:szCs w:val="24"/>
        </w:rPr>
        <w:t>VII</w:t>
      </w:r>
      <w:r w:rsidRPr="00FA0BA4">
        <w:rPr>
          <w:rFonts w:ascii="Sylfaen" w:hAnsi="Sylfaen"/>
          <w:sz w:val="24"/>
          <w:szCs w:val="24"/>
          <w:lang w:val="ru-RU"/>
        </w:rPr>
        <w:t>. Маркировка нефти единым знаком обращения продукции</w:t>
      </w:r>
      <w:r w:rsidRPr="00FA0BA4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FA0BA4">
        <w:rPr>
          <w:rFonts w:ascii="Sylfaen" w:hAnsi="Sylfaen"/>
          <w:sz w:val="24"/>
          <w:szCs w:val="24"/>
          <w:lang w:val="ru-RU"/>
        </w:rPr>
        <w:t>на рынке Союза</w:t>
      </w:r>
    </w:p>
    <w:p w:rsidR="00FA0BA4" w:rsidRPr="001D7E39" w:rsidRDefault="00FA0BA4" w:rsidP="00FA0BA4">
      <w:pPr>
        <w:spacing w:after="120"/>
        <w:ind w:firstLine="567"/>
      </w:pP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 xml:space="preserve">18. Нефть, соответствующая требованиям настоящего технического регламента, а также требованиям других технических регламентов Союза, действие которых на нее распространяется, и прошедшая процедуру оценки соответствия согласно разделу </w:t>
      </w:r>
      <w:r w:rsidRPr="001D7E39">
        <w:rPr>
          <w:rFonts w:ascii="Sylfaen" w:hAnsi="Sylfaen"/>
          <w:sz w:val="24"/>
          <w:szCs w:val="24"/>
        </w:rPr>
        <w:t>VI</w:t>
      </w:r>
      <w:r w:rsidRPr="00FA0BA4">
        <w:rPr>
          <w:rFonts w:ascii="Sylfaen" w:hAnsi="Sylfaen"/>
          <w:sz w:val="24"/>
          <w:szCs w:val="24"/>
          <w:lang w:val="ru-RU"/>
        </w:rPr>
        <w:t xml:space="preserve"> настоящего технического регламента, маркируется единым знаком обращения продукции на рынке Союза.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19. Маркировка единым знаком обращения продукции на рынке Союза осуществляется перед выпуском нефти в обращение на рынке Союза.</w:t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A0BA4">
        <w:rPr>
          <w:rFonts w:ascii="Sylfaen" w:hAnsi="Sylfaen"/>
          <w:sz w:val="24"/>
          <w:szCs w:val="24"/>
          <w:lang w:val="ru-RU"/>
        </w:rPr>
        <w:t>20. Единый знак обращения продукции на рынке Союза проставляется в паспорте.</w:t>
      </w:r>
    </w:p>
    <w:p w:rsidR="00FA0BA4" w:rsidRDefault="00FA0BA4" w:rsidP="00FA0BA4">
      <w:pPr>
        <w:rPr>
          <w:rFonts w:eastAsia="Times New Roman" w:cs="Times New Roman"/>
        </w:rPr>
      </w:pPr>
      <w:r>
        <w:br w:type="page"/>
      </w:r>
    </w:p>
    <w:p w:rsidR="00FA0BA4" w:rsidRPr="00FA0BA4" w:rsidRDefault="00FA0BA4" w:rsidP="00FA0BA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ru-RU"/>
        </w:rPr>
      </w:pPr>
      <w:r w:rsidRPr="00FA0BA4">
        <w:rPr>
          <w:rStyle w:val="Headerorfooter"/>
          <w:rFonts w:ascii="Sylfaen" w:hAnsi="Sylfaen"/>
          <w:sz w:val="24"/>
          <w:szCs w:val="24"/>
          <w:lang w:val="ru-RU"/>
        </w:rPr>
        <w:lastRenderedPageBreak/>
        <w:t>ПРИЛОЖЕНИЕ</w:t>
      </w:r>
    </w:p>
    <w:p w:rsidR="00FA0BA4" w:rsidRPr="001D7E39" w:rsidRDefault="00FA0BA4" w:rsidP="00FA0BA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FA0BA4">
        <w:rPr>
          <w:rFonts w:ascii="Sylfaen" w:hAnsi="Sylfaen"/>
          <w:sz w:val="24"/>
          <w:szCs w:val="24"/>
          <w:lang w:val="ru-RU"/>
        </w:rPr>
        <w:t xml:space="preserve">к техническому регламенту Евразийского экономического союза «О безопасности нефти, подготовленной к транспортировке и (или) использованию» </w:t>
      </w:r>
      <w:r w:rsidRPr="001D7E39">
        <w:rPr>
          <w:rFonts w:ascii="Sylfaen" w:hAnsi="Sylfaen"/>
          <w:sz w:val="24"/>
          <w:szCs w:val="24"/>
        </w:rPr>
        <w:t>(ТР ЕАЭС 045/2017)</w:t>
      </w:r>
    </w:p>
    <w:p w:rsidR="00FA0BA4" w:rsidRDefault="00FA0BA4" w:rsidP="00FA0BA4">
      <w:pPr>
        <w:pStyle w:val="Bodytext40"/>
        <w:shd w:val="clear" w:color="auto" w:fill="auto"/>
        <w:spacing w:before="0" w:line="240" w:lineRule="auto"/>
        <w:rPr>
          <w:rStyle w:val="Bodytext4Spacing2pt"/>
          <w:rFonts w:ascii="Sylfaen" w:hAnsi="Sylfaen"/>
          <w:b/>
          <w:bCs/>
          <w:sz w:val="24"/>
          <w:szCs w:val="24"/>
        </w:rPr>
      </w:pPr>
    </w:p>
    <w:p w:rsidR="00FA0BA4" w:rsidRPr="001D7E39" w:rsidRDefault="00FA0BA4" w:rsidP="00FA0BA4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1D7E39">
        <w:rPr>
          <w:rStyle w:val="Bodytext4Spacing2pt"/>
          <w:rFonts w:ascii="Sylfaen" w:hAnsi="Sylfaen"/>
          <w:sz w:val="24"/>
          <w:szCs w:val="24"/>
        </w:rPr>
        <w:t>ТРЕБОВАНИЯ</w:t>
      </w:r>
    </w:p>
    <w:p w:rsidR="00FA0BA4" w:rsidRDefault="00FA0BA4" w:rsidP="00FA0BA4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1D7E39">
        <w:rPr>
          <w:rFonts w:ascii="Sylfaen" w:hAnsi="Sylfaen"/>
          <w:sz w:val="24"/>
          <w:szCs w:val="24"/>
        </w:rPr>
        <w:t xml:space="preserve">к </w:t>
      </w:r>
      <w:proofErr w:type="spellStart"/>
      <w:r w:rsidRPr="001D7E39">
        <w:rPr>
          <w:rFonts w:ascii="Sylfaen" w:hAnsi="Sylfaen"/>
          <w:sz w:val="24"/>
          <w:szCs w:val="24"/>
        </w:rPr>
        <w:t>показателям</w:t>
      </w:r>
      <w:proofErr w:type="spellEnd"/>
      <w:r w:rsidRPr="001D7E39">
        <w:rPr>
          <w:rFonts w:ascii="Sylfaen" w:hAnsi="Sylfaen"/>
          <w:sz w:val="24"/>
          <w:szCs w:val="24"/>
        </w:rPr>
        <w:t xml:space="preserve"> </w:t>
      </w:r>
      <w:proofErr w:type="spellStart"/>
      <w:r w:rsidRPr="001D7E39">
        <w:rPr>
          <w:rFonts w:ascii="Sylfaen" w:hAnsi="Sylfaen"/>
          <w:sz w:val="24"/>
          <w:szCs w:val="24"/>
        </w:rPr>
        <w:t>нефти</w:t>
      </w:r>
      <w:proofErr w:type="spellEnd"/>
    </w:p>
    <w:p w:rsidR="00FA0BA4" w:rsidRPr="00BB0F98" w:rsidRDefault="00FA0BA4" w:rsidP="00FA0BA4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576"/>
      </w:tblGrid>
      <w:tr w:rsidR="00FA0BA4" w:rsidRPr="001D7E39" w:rsidTr="00C91946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D7E39">
              <w:rPr>
                <w:rFonts w:ascii="Sylfaen" w:hAnsi="Sylfaen"/>
                <w:sz w:val="24"/>
                <w:szCs w:val="24"/>
              </w:rPr>
              <w:t>Наименование</w:t>
            </w:r>
            <w:proofErr w:type="spellEnd"/>
            <w:r w:rsidRPr="001D7E3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D7E39">
              <w:rPr>
                <w:rFonts w:ascii="Sylfaen" w:hAnsi="Sylfae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D7E39">
              <w:rPr>
                <w:rFonts w:ascii="Sylfaen" w:hAnsi="Sylfaen"/>
                <w:sz w:val="24"/>
                <w:szCs w:val="24"/>
              </w:rPr>
              <w:t>Нормативные</w:t>
            </w:r>
            <w:proofErr w:type="spellEnd"/>
            <w:r w:rsidRPr="001D7E3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D7E39">
              <w:rPr>
                <w:rFonts w:ascii="Sylfaen" w:hAnsi="Sylfaen"/>
                <w:sz w:val="24"/>
                <w:szCs w:val="24"/>
              </w:rPr>
              <w:t>значения</w:t>
            </w:r>
            <w:proofErr w:type="spellEnd"/>
          </w:p>
        </w:tc>
      </w:tr>
      <w:tr w:rsidR="00FA0BA4" w:rsidRPr="001D7E39" w:rsidTr="00C91946">
        <w:trPr>
          <w:jc w:val="center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0BA4" w:rsidRPr="00FA0BA4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Массовая доля сероводорода, млн</w:t>
            </w:r>
            <w:r w:rsidRPr="00FA0BA4">
              <w:rPr>
                <w:rFonts w:ascii="Sylfaen" w:hAnsi="Sylfaen"/>
                <w:sz w:val="24"/>
                <w:szCs w:val="24"/>
                <w:vertAlign w:val="superscript"/>
                <w:lang w:val="ru-RU"/>
              </w:rPr>
              <w:t>-1</w:t>
            </w: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FA0BA4">
              <w:rPr>
                <w:rFonts w:ascii="Sylfaen" w:hAnsi="Sylfaen"/>
                <w:sz w:val="24"/>
                <w:szCs w:val="24"/>
                <w:lang w:val="ru-RU" w:bidi="en-US"/>
              </w:rPr>
              <w:t>(</w:t>
            </w:r>
            <w:r w:rsidRPr="001D7E39">
              <w:rPr>
                <w:rFonts w:ascii="Sylfaen" w:hAnsi="Sylfaen"/>
                <w:sz w:val="24"/>
                <w:szCs w:val="24"/>
                <w:lang w:bidi="en-US"/>
              </w:rPr>
              <w:t>ppm</w:t>
            </w:r>
            <w:r w:rsidRPr="00FA0BA4">
              <w:rPr>
                <w:rFonts w:ascii="Sylfaen" w:hAnsi="Sylfaen"/>
                <w:sz w:val="24"/>
                <w:szCs w:val="24"/>
                <w:lang w:val="ru-RU" w:bidi="en-US"/>
              </w:rPr>
              <w:t xml:space="preserve">), </w:t>
            </w: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не более</w:t>
            </w:r>
          </w:p>
        </w:tc>
        <w:tc>
          <w:tcPr>
            <w:tcW w:w="4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D7E39">
              <w:rPr>
                <w:rFonts w:ascii="Sylfaen" w:hAnsi="Sylfaen"/>
                <w:sz w:val="24"/>
                <w:szCs w:val="24"/>
              </w:rPr>
              <w:t>100 (20</w:t>
            </w:r>
            <w:r w:rsidRPr="00253737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sym w:font="Symbol" w:char="F02A"/>
            </w:r>
            <w:r w:rsidRPr="001D7E39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FA0BA4" w:rsidRPr="001D7E39" w:rsidTr="00C91946">
        <w:trPr>
          <w:jc w:val="center"/>
        </w:trPr>
        <w:tc>
          <w:tcPr>
            <w:tcW w:w="4673" w:type="dxa"/>
            <w:shd w:val="clear" w:color="auto" w:fill="FFFFFF"/>
            <w:vAlign w:val="center"/>
          </w:tcPr>
          <w:p w:rsidR="00FA0BA4" w:rsidRPr="00FA0BA4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Массовая доля метил- и этилмеркаптанов в сумме, млн</w:t>
            </w:r>
            <w:r w:rsidRPr="00FA0BA4">
              <w:rPr>
                <w:rFonts w:ascii="Sylfaen" w:hAnsi="Sylfaen"/>
                <w:sz w:val="24"/>
                <w:szCs w:val="24"/>
                <w:vertAlign w:val="superscript"/>
                <w:lang w:val="ru-RU"/>
              </w:rPr>
              <w:t>-1</w:t>
            </w:r>
            <w:r w:rsidRPr="00FA0BA4">
              <w:rPr>
                <w:rFonts w:ascii="Sylfaen" w:hAnsi="Sylfaen"/>
                <w:sz w:val="24"/>
                <w:szCs w:val="24"/>
                <w:lang w:val="ru-RU" w:bidi="en-US"/>
              </w:rPr>
              <w:t xml:space="preserve"> (</w:t>
            </w:r>
            <w:r w:rsidRPr="001D7E39">
              <w:rPr>
                <w:rFonts w:ascii="Sylfaen" w:hAnsi="Sylfaen"/>
                <w:sz w:val="24"/>
                <w:szCs w:val="24"/>
                <w:lang w:bidi="en-US"/>
              </w:rPr>
              <w:t>ppm</w:t>
            </w:r>
            <w:r w:rsidRPr="00FA0BA4">
              <w:rPr>
                <w:rFonts w:ascii="Sylfaen" w:hAnsi="Sylfaen"/>
                <w:sz w:val="24"/>
                <w:szCs w:val="24"/>
                <w:lang w:val="ru-RU" w:bidi="en-US"/>
              </w:rPr>
              <w:t xml:space="preserve">), </w:t>
            </w: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не более</w:t>
            </w:r>
          </w:p>
        </w:tc>
        <w:tc>
          <w:tcPr>
            <w:tcW w:w="4576" w:type="dxa"/>
            <w:shd w:val="clear" w:color="auto" w:fill="FFFFFF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D7E39">
              <w:rPr>
                <w:rFonts w:ascii="Sylfaen" w:hAnsi="Sylfaen"/>
                <w:sz w:val="24"/>
                <w:szCs w:val="24"/>
              </w:rPr>
              <w:t>100 (40*)</w:t>
            </w:r>
          </w:p>
        </w:tc>
      </w:tr>
      <w:tr w:rsidR="00FA0BA4" w:rsidRPr="001D7E39" w:rsidTr="00C91946">
        <w:trPr>
          <w:jc w:val="center"/>
        </w:trPr>
        <w:tc>
          <w:tcPr>
            <w:tcW w:w="4673" w:type="dxa"/>
            <w:shd w:val="clear" w:color="auto" w:fill="FFFFFF"/>
            <w:vAlign w:val="center"/>
          </w:tcPr>
          <w:p w:rsidR="00FA0BA4" w:rsidRPr="00FA0BA4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Массовая доля воды, %, не более</w:t>
            </w:r>
          </w:p>
        </w:tc>
        <w:tc>
          <w:tcPr>
            <w:tcW w:w="4576" w:type="dxa"/>
            <w:shd w:val="clear" w:color="auto" w:fill="FFFFFF"/>
            <w:vAlign w:val="center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D7E39">
              <w:rPr>
                <w:rFonts w:ascii="Sylfaen" w:hAnsi="Sylfaen"/>
                <w:sz w:val="24"/>
                <w:szCs w:val="24"/>
              </w:rPr>
              <w:t>1 (0,5*)</w:t>
            </w:r>
          </w:p>
        </w:tc>
      </w:tr>
      <w:tr w:rsidR="00FA0BA4" w:rsidRPr="001D7E39" w:rsidTr="00C91946">
        <w:trPr>
          <w:jc w:val="center"/>
        </w:trPr>
        <w:tc>
          <w:tcPr>
            <w:tcW w:w="4673" w:type="dxa"/>
            <w:shd w:val="clear" w:color="auto" w:fill="FFFFFF"/>
            <w:vAlign w:val="center"/>
          </w:tcPr>
          <w:p w:rsidR="00FA0BA4" w:rsidRPr="00FA0BA4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Массовая концентрация хлористых солей, мг/дм</w:t>
            </w:r>
            <w:r w:rsidRPr="00FA0BA4">
              <w:rPr>
                <w:rFonts w:ascii="Sylfaen" w:hAnsi="Sylfaen"/>
                <w:sz w:val="24"/>
                <w:szCs w:val="24"/>
                <w:vertAlign w:val="superscript"/>
                <w:lang w:val="ru-RU"/>
              </w:rPr>
              <w:t>3</w:t>
            </w: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, не более</w:t>
            </w:r>
          </w:p>
        </w:tc>
        <w:tc>
          <w:tcPr>
            <w:tcW w:w="4576" w:type="dxa"/>
            <w:shd w:val="clear" w:color="auto" w:fill="FFFFFF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D7E39">
              <w:rPr>
                <w:rFonts w:ascii="Sylfaen" w:hAnsi="Sylfaen"/>
                <w:sz w:val="24"/>
                <w:szCs w:val="24"/>
              </w:rPr>
              <w:t>900 (100*)</w:t>
            </w:r>
          </w:p>
        </w:tc>
      </w:tr>
      <w:tr w:rsidR="00FA0BA4" w:rsidRPr="001D7E39" w:rsidTr="00C91946">
        <w:trPr>
          <w:jc w:val="center"/>
        </w:trPr>
        <w:tc>
          <w:tcPr>
            <w:tcW w:w="4673" w:type="dxa"/>
            <w:shd w:val="clear" w:color="auto" w:fill="FFFFFF"/>
            <w:vAlign w:val="center"/>
          </w:tcPr>
          <w:p w:rsidR="00FA0BA4" w:rsidRPr="00FA0BA4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Давление насыщенных паров, кПа (мм рт. ст.), не более</w:t>
            </w:r>
          </w:p>
        </w:tc>
        <w:tc>
          <w:tcPr>
            <w:tcW w:w="4576" w:type="dxa"/>
            <w:shd w:val="clear" w:color="auto" w:fill="FFFFFF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D7E39">
              <w:rPr>
                <w:rFonts w:ascii="Sylfaen" w:hAnsi="Sylfaen"/>
                <w:sz w:val="24"/>
                <w:szCs w:val="24"/>
              </w:rPr>
              <w:t>66,7 (500)</w:t>
            </w:r>
            <w:r w:rsidRPr="002D316B">
              <w:rPr>
                <w:rStyle w:val="FootnoteReference"/>
                <w:rFonts w:ascii="Sylfaen" w:hAnsi="Sylfaen"/>
                <w:sz w:val="24"/>
                <w:szCs w:val="24"/>
              </w:rPr>
              <w:t xml:space="preserve"> </w:t>
            </w:r>
            <w:r w:rsidRPr="002D316B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"/>
              <w:sym w:font="Symbol" w:char="F02A"/>
            </w:r>
            <w:r w:rsidRPr="002D316B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</w:tr>
      <w:tr w:rsidR="00FA0BA4" w:rsidRPr="001D7E39" w:rsidTr="00C91946">
        <w:trPr>
          <w:jc w:val="center"/>
        </w:trPr>
        <w:tc>
          <w:tcPr>
            <w:tcW w:w="4673" w:type="dxa"/>
            <w:shd w:val="clear" w:color="auto" w:fill="FFFFFF"/>
            <w:vAlign w:val="bottom"/>
          </w:tcPr>
          <w:p w:rsidR="00FA0BA4" w:rsidRPr="00FA0BA4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Массовая доля органических хлоридов во фракции, выкипающей до температуры 204 °С, млн</w:t>
            </w:r>
            <w:r w:rsidRPr="00FA0BA4">
              <w:rPr>
                <w:rFonts w:ascii="Sylfaen" w:hAnsi="Sylfaen"/>
                <w:sz w:val="24"/>
                <w:szCs w:val="24"/>
                <w:vertAlign w:val="superscript"/>
                <w:lang w:val="ru-RU"/>
              </w:rPr>
              <w:t>-1</w:t>
            </w:r>
            <w:r w:rsidRPr="00FA0BA4">
              <w:rPr>
                <w:rFonts w:ascii="Sylfaen" w:hAnsi="Sylfaen"/>
                <w:sz w:val="24"/>
                <w:szCs w:val="24"/>
                <w:lang w:val="ru-RU" w:bidi="en-US"/>
              </w:rPr>
              <w:t xml:space="preserve"> (</w:t>
            </w:r>
            <w:r w:rsidRPr="001D7E39">
              <w:rPr>
                <w:rFonts w:ascii="Sylfaen" w:hAnsi="Sylfaen"/>
                <w:sz w:val="24"/>
                <w:szCs w:val="24"/>
                <w:lang w:bidi="en-US"/>
              </w:rPr>
              <w:t>ppm</w:t>
            </w:r>
            <w:r w:rsidRPr="00FA0BA4">
              <w:rPr>
                <w:rFonts w:ascii="Sylfaen" w:hAnsi="Sylfaen"/>
                <w:sz w:val="24"/>
                <w:szCs w:val="24"/>
                <w:lang w:val="ru-RU" w:bidi="en-US"/>
              </w:rPr>
              <w:t xml:space="preserve">), </w:t>
            </w:r>
            <w:r w:rsidRPr="00FA0BA4">
              <w:rPr>
                <w:rFonts w:ascii="Sylfaen" w:hAnsi="Sylfaen"/>
                <w:sz w:val="24"/>
                <w:szCs w:val="24"/>
                <w:lang w:val="ru-RU"/>
              </w:rPr>
              <w:t>не более</w:t>
            </w:r>
          </w:p>
        </w:tc>
        <w:tc>
          <w:tcPr>
            <w:tcW w:w="4576" w:type="dxa"/>
            <w:shd w:val="clear" w:color="auto" w:fill="FFFFFF"/>
          </w:tcPr>
          <w:p w:rsidR="00FA0BA4" w:rsidRPr="001D7E39" w:rsidRDefault="00FA0BA4" w:rsidP="00C9194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D7E39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</w:tbl>
    <w:p w:rsidR="00E520AD" w:rsidRDefault="00E520AD">
      <w:bookmarkStart w:id="0" w:name="_GoBack"/>
      <w:bookmarkEnd w:id="0"/>
    </w:p>
    <w:sectPr w:rsidR="00E520AD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67" w:rsidRDefault="00312367" w:rsidP="00FA0BA4">
      <w:r>
        <w:separator/>
      </w:r>
    </w:p>
  </w:endnote>
  <w:endnote w:type="continuationSeparator" w:id="0">
    <w:p w:rsidR="00312367" w:rsidRDefault="00312367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67" w:rsidRDefault="00312367" w:rsidP="00FA0BA4">
      <w:r>
        <w:separator/>
      </w:r>
    </w:p>
  </w:footnote>
  <w:footnote w:type="continuationSeparator" w:id="0">
    <w:p w:rsidR="00312367" w:rsidRDefault="00312367" w:rsidP="00FA0BA4">
      <w:r>
        <w:continuationSeparator/>
      </w:r>
    </w:p>
  </w:footnote>
  <w:footnote w:id="1">
    <w:p w:rsidR="00FA0BA4" w:rsidRPr="002D316B" w:rsidRDefault="00FA0BA4" w:rsidP="00FA0BA4">
      <w:pPr>
        <w:pStyle w:val="FootnoteText"/>
        <w:spacing w:after="120"/>
        <w:jc w:val="both"/>
        <w:rPr>
          <w:sz w:val="24"/>
          <w:szCs w:val="24"/>
        </w:rPr>
      </w:pPr>
      <w:r w:rsidRPr="00253737">
        <w:rPr>
          <w:rStyle w:val="FootnoteReference"/>
        </w:rPr>
        <w:sym w:font="Symbol" w:char="F02A"/>
      </w:r>
      <w:r>
        <w:t xml:space="preserve"> </w:t>
      </w:r>
      <w:r w:rsidRPr="002D316B">
        <w:rPr>
          <w:sz w:val="24"/>
          <w:szCs w:val="24"/>
        </w:rPr>
        <w:t>При передаче нефти на транспортировку магистральным трубопроводом или переработку.</w:t>
      </w:r>
    </w:p>
  </w:footnote>
  <w:footnote w:id="2">
    <w:p w:rsidR="00FA0BA4" w:rsidRPr="002D316B" w:rsidRDefault="00FA0BA4" w:rsidP="00FA0BA4">
      <w:pPr>
        <w:pStyle w:val="FootnoteText"/>
        <w:spacing w:after="120"/>
        <w:jc w:val="both"/>
        <w:rPr>
          <w:sz w:val="24"/>
          <w:szCs w:val="24"/>
        </w:rPr>
      </w:pPr>
      <w:r w:rsidRPr="002D316B">
        <w:rPr>
          <w:rStyle w:val="FootnoteReference"/>
          <w:sz w:val="24"/>
          <w:szCs w:val="24"/>
        </w:rPr>
        <w:sym w:font="Symbol" w:char="F02A"/>
      </w:r>
      <w:r w:rsidRPr="002D316B">
        <w:rPr>
          <w:rStyle w:val="FootnoteReference"/>
          <w:sz w:val="24"/>
          <w:szCs w:val="24"/>
        </w:rPr>
        <w:sym w:font="Symbol" w:char="F02A"/>
      </w:r>
      <w:r w:rsidRPr="002D316B">
        <w:rPr>
          <w:sz w:val="24"/>
          <w:szCs w:val="24"/>
        </w:rPr>
        <w:t xml:space="preserve"> </w:t>
      </w:r>
      <w:r w:rsidRPr="002D316B">
        <w:rPr>
          <w:sz w:val="24"/>
          <w:szCs w:val="24"/>
        </w:rPr>
        <w:t xml:space="preserve">Не </w:t>
      </w:r>
      <w:r w:rsidRPr="002D316B">
        <w:rPr>
          <w:sz w:val="24"/>
          <w:szCs w:val="24"/>
        </w:rPr>
        <w:t>определяется при температуре застывания нефти 10 °С и выше.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312367"/>
    <w:rsid w:val="00DE60AE"/>
    <w:rsid w:val="00E520AD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1</cp:revision>
  <dcterms:created xsi:type="dcterms:W3CDTF">2019-07-08T07:30:00Z</dcterms:created>
  <dcterms:modified xsi:type="dcterms:W3CDTF">2019-07-08T07:31:00Z</dcterms:modified>
</cp:coreProperties>
</file>