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85C" w:rsidRPr="001F2939" w:rsidRDefault="00462775" w:rsidP="002C4BCB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ՀԱՍՏԱՏՎԱԾ Է</w:t>
      </w:r>
    </w:p>
    <w:p w:rsidR="002D515D" w:rsidRPr="001F2939" w:rsidRDefault="00462775" w:rsidP="002C4BCB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 xml:space="preserve">Եվրասիական տնտեսական </w:t>
      </w:r>
      <w:r w:rsidR="002C4BCB" w:rsidRPr="004A1AEC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հանձնաժողովի կոլեգիայի</w:t>
      </w:r>
      <w:r w:rsidR="002C4BCB" w:rsidRPr="001F2939">
        <w:rPr>
          <w:rFonts w:ascii="Sylfaen" w:hAnsi="Sylfaen"/>
          <w:sz w:val="24"/>
          <w:szCs w:val="24"/>
        </w:rPr>
        <w:t xml:space="preserve"> </w:t>
      </w:r>
      <w:r w:rsidRPr="001F2939">
        <w:rPr>
          <w:rFonts w:ascii="Sylfaen" w:hAnsi="Sylfaen"/>
          <w:sz w:val="24"/>
          <w:szCs w:val="24"/>
        </w:rPr>
        <w:t>2012 թվականի հոկտեմբերի 18-ի թիվ 189 որոշմամբ</w:t>
      </w:r>
    </w:p>
    <w:p w:rsidR="0047668E" w:rsidRPr="001F2939" w:rsidRDefault="0047668E" w:rsidP="008D7E0F">
      <w:pPr>
        <w:pStyle w:val="Heading220"/>
        <w:shd w:val="clear" w:color="auto" w:fill="auto"/>
        <w:spacing w:before="0" w:after="160" w:line="360" w:lineRule="auto"/>
        <w:outlineLvl w:val="9"/>
        <w:rPr>
          <w:rStyle w:val="Heading22Spacing2pt"/>
          <w:rFonts w:ascii="Sylfaen" w:hAnsi="Sylfaen"/>
          <w:b/>
          <w:bCs/>
          <w:spacing w:val="0"/>
          <w:sz w:val="24"/>
          <w:szCs w:val="24"/>
        </w:rPr>
      </w:pPr>
      <w:bookmarkStart w:id="0" w:name="bookmark6"/>
    </w:p>
    <w:p w:rsidR="0005285C" w:rsidRPr="001F2939" w:rsidRDefault="00462775" w:rsidP="008D7E0F">
      <w:pPr>
        <w:pStyle w:val="Heading220"/>
        <w:shd w:val="clear" w:color="auto" w:fill="auto"/>
        <w:spacing w:before="0" w:after="160" w:line="360" w:lineRule="auto"/>
        <w:outlineLvl w:val="9"/>
        <w:rPr>
          <w:rFonts w:ascii="Sylfaen" w:hAnsi="Sylfaen"/>
          <w:sz w:val="24"/>
          <w:szCs w:val="24"/>
        </w:rPr>
      </w:pPr>
      <w:r w:rsidRPr="001F2939">
        <w:rPr>
          <w:rStyle w:val="Heading22Spacing2pt"/>
          <w:rFonts w:ascii="Sylfaen" w:hAnsi="Sylfaen"/>
          <w:b/>
          <w:spacing w:val="0"/>
          <w:sz w:val="24"/>
          <w:szCs w:val="24"/>
        </w:rPr>
        <w:t>ՑԱՆԿ</w:t>
      </w:r>
      <w:bookmarkEnd w:id="0"/>
    </w:p>
    <w:p w:rsidR="0005285C" w:rsidRPr="001F2939" w:rsidRDefault="00462775" w:rsidP="008D7E0F">
      <w:pPr>
        <w:pStyle w:val="Bodytext11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 xml:space="preserve">այն ստանդարտների, որոնք ներառում են հետազոտությունների (փորձարկումների)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չափումների այն կանոնները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մեթոդները, այդ թվում՝ նմուշառման այն կանոնները, որոնք անհրաժեշտ են «Կահույքագործական արտադրանքի անվտանգության մասին» Մաքսային միության տեխնիկական կանոնակարգի </w:t>
      </w:r>
      <w:r w:rsidR="00125BB1" w:rsidRPr="001F2939">
        <w:rPr>
          <w:rFonts w:ascii="Sylfaen" w:hAnsi="Sylfaen"/>
          <w:sz w:val="24"/>
          <w:szCs w:val="24"/>
        </w:rPr>
        <w:t xml:space="preserve">(ՄՄ ՏԿ 025/2012) </w:t>
      </w:r>
      <w:r w:rsidRPr="001F2939">
        <w:rPr>
          <w:rFonts w:ascii="Sylfaen" w:hAnsi="Sylfaen"/>
          <w:sz w:val="24"/>
          <w:szCs w:val="24"/>
        </w:rPr>
        <w:t xml:space="preserve">պահանջները կիրառելու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կատարելու ու տեխնիկական կարգավորման օբյեկտների համապատասխանության գնահատում իրականացնելու համար</w:t>
      </w:r>
    </w:p>
    <w:p w:rsidR="0047668E" w:rsidRPr="001F2939" w:rsidRDefault="00462775" w:rsidP="008D7E0F">
      <w:pPr>
        <w:spacing w:after="160" w:line="360" w:lineRule="auto"/>
        <w:rPr>
          <w:rFonts w:eastAsia="Times New Roman" w:cs="Times New Roman"/>
          <w:b/>
          <w:bCs/>
        </w:rPr>
      </w:pPr>
      <w:r w:rsidRPr="001F2939">
        <w:br w:type="page"/>
      </w:r>
    </w:p>
    <w:tbl>
      <w:tblPr>
        <w:tblOverlap w:val="never"/>
        <w:tblW w:w="150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2693"/>
        <w:gridCol w:w="3685"/>
        <w:gridCol w:w="5295"/>
        <w:gridCol w:w="1984"/>
        <w:gridCol w:w="426"/>
      </w:tblGrid>
      <w:tr w:rsidR="009F4839" w:rsidRPr="001F2939" w:rsidTr="002C4BCB">
        <w:trPr>
          <w:gridAfter w:val="1"/>
          <w:wAfter w:w="426" w:type="dxa"/>
          <w:tblHeader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Համարը՝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ը/կ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Ծանոթագրություն</w:t>
            </w:r>
          </w:p>
        </w:tc>
      </w:tr>
      <w:tr w:rsidR="009F4839" w:rsidRPr="001F2939" w:rsidTr="002C4BCB">
        <w:trPr>
          <w:gridAfter w:val="1"/>
          <w:wAfter w:w="426" w:type="dxa"/>
          <w:tblHeader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</w:p>
        </w:tc>
      </w:tr>
      <w:tr w:rsidR="0005285C" w:rsidRPr="001F2939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I. Փորձարկումների համար կահույքի նմուշառման կանոնները</w:t>
            </w:r>
          </w:p>
        </w:tc>
      </w:tr>
      <w:tr w:rsidR="009F4839" w:rsidRPr="001F2939" w:rsidTr="00DE4760">
        <w:trPr>
          <w:gridAfter w:val="1"/>
          <w:wAfter w:w="426" w:type="dxa"/>
          <w:trHeight w:val="6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երկրորդ - չորրորդ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3.4.2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F4839" w:rsidRPr="001F2939" w:rsidTr="00DE4760">
        <w:trPr>
          <w:gridAfter w:val="1"/>
          <w:wAfter w:w="426" w:type="dxa"/>
          <w:trHeight w:val="6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trHeight w:val="6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3.2.2 կետի երրորդ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26756-85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trHeight w:val="7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կետեր 4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2C4BC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2C4BC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9F4839" w:rsidRPr="001F2939" w:rsidTr="00DE4760">
        <w:trPr>
          <w:gridAfter w:val="1"/>
          <w:wAfter w:w="426" w:type="dxa"/>
          <w:trHeight w:val="5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2.3.2 կետի երկրորդ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16854-91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Բազկաթոռներ հանդիսադահլիճների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ուսումնական հաստատությունների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3.6 կետի երկրորդ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23190-78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3.7 կետի երկրորդ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</w:t>
            </w:r>
            <w:r w:rsidR="00B94948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պահեստային տարածքների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երկրորդ, երրորդ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հինգերորդ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 xml:space="preserve">3.4.2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հունվարի 1-ը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II. Գործառական չափերի չափման մեթոդներ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վեցերորդ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7.1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ուսումնական հաստատությունների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III. Փորձարկումների մեթոդներ</w:t>
            </w:r>
          </w:p>
        </w:tc>
      </w:tr>
      <w:tr w:rsidR="009F4839" w:rsidRPr="001F2939" w:rsidTr="002C4BCB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երկրորդ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4211-4-2012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ույթների փորձարկում: Մաս 4: </w:t>
            </w:r>
            <w:r w:rsidR="0028412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Հարվածի նկատմամբ դ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իմադրության գնահատում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581-2-2012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2: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 xml:space="preserve">Նստելու կահույքի մեխանիկական անվտանգության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581-3-2012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3: Սեղանների մեխանիկական անվտանգության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B1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-րդ կետ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ՍՏԲ 1268-2006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Ծալովի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ձ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ափոխվող կահույք: Սեղաններ: Ընդհանուր տեխնիկական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փորձարկումների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չորրորդ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12B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7.9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6799-2005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Ապակյա արտադրատեսակներ կահույքի համար: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5.1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12.1.044-89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Աշխատանքի անվտանգության ստանդարտների համակարգ: Նյութերի հրդեհապայթանվտանգություն: Ցուցանիշների անվանացանկը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դրանք որոշելու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1-ին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527-3-2016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գրասենյակային: Սեղաններ աշխատանքային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գրասեղաններ: Մաս 3: Կառուցվածքի կայունությունը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մեխանիկական ամրությունը որոշելու համար փորձարկումների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1730-2013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Կենցաղային կահույք: Սեղաններ: Ամրության, երկարակեցության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կայունության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12029-93 (ԻՍՕ 7173-89)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Աթոռներ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աթոռակներ: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19194-73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Կահույքի ոտնակների ամրացման ամրությունը որոշելու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8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19195-89 (ՍՏ ՏՓԽ 6472-88)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Ուղղահայաց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հորիզոնական պտտման առանցքով դռների ամրացման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19882-91 (ԻՍՕ 7171-88)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պահախցավոր: Կայունության,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դեֆորմացման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23380-83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Սեղաններ՝ 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ուսուցիչների համար: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28102-89 (ՍՏ ՏՓԽ 6240-88)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պահախցավոր: Մետաղաձողերի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28105-89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պահախցավոր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սեղաններ: Շարժական արկղերի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կիսարկղերի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28136-89 (ՍՏ ՏՓԽ 6241-88)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ind w:right="4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Պատի պահախցավոր կահույք: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28793-90 (ԻՍՕ 7172-88)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Սեղաններ: Կայունության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54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30099-93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Սեղաններ: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trHeight w:val="71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30209-94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պահախցավոր: Դռներ տարաշարժվող: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30212-94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AC39B4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Լրագր</w:t>
            </w:r>
            <w:r w:rsidR="001C6D2F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ասեղաններ</w:t>
            </w:r>
            <w:r w:rsidR="00462775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="00462775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գրասեղաններ: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19882-91 (ԻՍՕ 7172-88)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պահախցավոր: Կայունության,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դեֆորմացման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1022-2013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Կենցաղային կահույք: Կահույք նստելու համար: Կայունությունը որոշելու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1728-2013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Կենցաղային կահույք: Կահույք նստելու համար: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14314-94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Փափուկ տարրերի երկարակեցության փորձարկման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8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17340-87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Մահճակալների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19120-93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Բազմոց-մահճակալներ, բազմոցներ, բազկաթոռ-մահճակալներ, բազկաթոռներ հանգստի համար, օթոցներ, թախտեր, նստարաններ, փափկաթոռներ: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23381-89 (ՍՏ ՏՓԽ 6474-88)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մանկական 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մանկական 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28777-90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Մանկական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28777-2016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Մանկական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30210-94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Երկհարկ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30211-94 (ԻՍՕ 7174-1-88)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Աթոռներ: Կայունության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4-րդ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21640-91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Փափուկ տարրեր: Փափկության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5-րդ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19918.3-79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Ոչ զսպանակավոր փափուկ տարրերի մնացորդային դեֆորմացման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6-րդ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26003-83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Բազկաթոռներ հանդիսադահլիճների համար: Կայունության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26003-2016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Բազկաթոռներ հանդիսադահլիճների համար: Կայունության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7-րդ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DBB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4.10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4.14 - 4.17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կետեր</w:t>
            </w:r>
          </w:p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26756-85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7.10, 7.11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7.14 - 7.16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կետեր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8-րդ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BB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կետեր 4.7 - 4.9</w:t>
            </w:r>
          </w:p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23190-78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9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B1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 4.4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Կահույք՝ գրավաճառային, պահեստային տարածքների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128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3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հավելված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30255-2014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Փայտանյութ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ֆորմալդեհիդի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այլ վնասակար ցնդող քիմիական նյութերի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34039-2016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ֆոսֆորական անհիդրիդի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34040-2016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ցիանաջրածնի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657DEC">
        <w:trPr>
          <w:gridAfter w:val="1"/>
          <w:wAfter w:w="426" w:type="dxa"/>
          <w:trHeight w:val="100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քլորային ջրածնի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34042-2016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ծծմբի երկօքսիդի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ԿՄՍ 752:2013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Փակ խցիկներում կահույքից,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նյութերից ֆորմալդեհիդի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այլ վնասակար ցնդող քիմիական նյութերի անջատման որոշման մեթոդ</w:t>
            </w:r>
            <w:r w:rsidR="002C797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: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Ընդհանուր պահանջներ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265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16000-6-2016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6: Փորձանմուշների ակտիվ ընտրության եղանակով Tenax TA կլանիչը որոշելու համար փակ տարածությունների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խցիկի օդի մեջ ցնդող օրգանական միացությունների որոշում՝ ՄՍԴ/ԲԻԴ (մասսպեկտրոմետրային դետեկտորով/բոցաիոնիզացվող դետեկտոր) օգտագործմամբ, որից հետո պետք է կատարել ջերմային դեսորբում (կլանվածքազատում)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գազաքրոմատագրական անալիզ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13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16000-9-2009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9: Շինարարական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հարդարման նյութերից ցնդող օրգանական միացությունների անջատման որոշում: Փորձարկման խցիկի օգտագործմամբ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121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16000-10-2009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10: Շինարարական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հարդարման նյութերից ցնդող օրգանական միացությունների անջատման որոշում: Փորձարկման բջջի օգտագործմամբ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16017-1-2007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Աշխատանքային գոտու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մթնոլորտային օդը: Սորբման խողովակի միջոցով ցնդող օրգանական միացությունների փորձանմուշների ընտրություն, որից հետո պետք է կատարել ջերմային դեսորբում (կլանվածքազատում)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գազաքրոմատագրական անալիզ մազախողովակային սյունակների օգտագործմամբ: Մաս 1: Պոմպավորման մեթոդով փորձանմուշների ընտրությունը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657DEC">
        <w:trPr>
          <w:gridAfter w:val="1"/>
          <w:wAfter w:w="426" w:type="dxa"/>
          <w:trHeight w:val="15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4.1.3167-14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հեքսանի, բենզոլի, տոլուոլի, էթիլբենզոլի, մ-, օ-, պ-քսիլոլների, իզոպրոպիլբենզոլի, ն-պրոպիլբենզոլի, ստիրոլի, α -մեթիլստիրոլի, բենզալդեհիդի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կիրառվում է </w:t>
            </w:r>
            <w:proofErr w:type="spellStart"/>
            <w:r w:rsidRPr="002021FC">
              <w:rPr>
                <w:rFonts w:ascii="Sylfaen" w:hAnsi="Sylfaen" w:cs="Times New Roman"/>
                <w:sz w:val="20"/>
                <w:szCs w:val="20"/>
              </w:rPr>
              <w:t>մինչև</w:t>
            </w:r>
            <w:proofErr w:type="spellEnd"/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 համապատասխան միջպետական ստանդարտը սույն ցանկում ներառելը</w:t>
            </w: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4.1.3168-14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դիմեթիլֆտալատի, դիմեթիլտերեֆտալատի, դիէթիլֆտալատի, դիբութիլֆտալատի, բութիլբենզիլֆտալատի, բիս(2-էթիլհեքսիլ)</w:t>
            </w:r>
            <w:r w:rsidR="002C797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ֆտալատի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դիօկտիլֆտալատի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կիրառվում է </w:t>
            </w:r>
            <w:proofErr w:type="spellStart"/>
            <w:r w:rsidRPr="002021FC">
              <w:rPr>
                <w:rFonts w:ascii="Sylfaen" w:hAnsi="Sylfaen" w:cs="Times New Roman"/>
                <w:sz w:val="20"/>
                <w:szCs w:val="20"/>
              </w:rPr>
              <w:t>մինչև</w:t>
            </w:r>
            <w:proofErr w:type="spellEnd"/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 համապատասխան միջպետական ստանդարտը սույն ցանկում ներառելը</w:t>
            </w:r>
          </w:p>
        </w:tc>
      </w:tr>
      <w:tr w:rsidR="009F4839" w:rsidRPr="001F2939" w:rsidTr="00657DEC">
        <w:trPr>
          <w:gridAfter w:val="1"/>
          <w:wAfter w:w="426" w:type="dxa"/>
          <w:trHeight w:val="203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4.1.3170-14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ացետալդեհիդի, ացետոնի, մեթիլացետատի, էթիլացետատի, մեթանոլի, իզոպրոպանոլի, էթանոլի, ն–պրոպիլացետատի, ն–պրոպանոլի, իզոբութիլացետատի, բութիլացետատի, իզոբութանոլի, ն–բութանոլի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կիրառվում է </w:t>
            </w:r>
            <w:proofErr w:type="spellStart"/>
            <w:r w:rsidRPr="002021FC">
              <w:rPr>
                <w:rFonts w:ascii="Sylfaen" w:hAnsi="Sylfaen" w:cs="Times New Roman"/>
                <w:sz w:val="20"/>
                <w:szCs w:val="20"/>
              </w:rPr>
              <w:t>մինչև</w:t>
            </w:r>
            <w:proofErr w:type="spellEnd"/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 համապատասխան միջպետական ստանդարտը սույն ցանկում ներառելը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1615-2001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Օդում օրգանական լուծիչների գոլորշիների կոնցենտրացիաների քանակական գազաքրոմատագրական որոշման մեթոդիկա՝ դրանց համատեղ առկայության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կիրառվում է </w:t>
            </w:r>
            <w:proofErr w:type="spellStart"/>
            <w:r w:rsidRPr="002021FC">
              <w:rPr>
                <w:rFonts w:ascii="Sylfaen" w:hAnsi="Sylfaen" w:cs="Times New Roman"/>
                <w:sz w:val="20"/>
                <w:szCs w:val="20"/>
              </w:rPr>
              <w:t>մինչև</w:t>
            </w:r>
            <w:proofErr w:type="spellEnd"/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 համապատասխան միջպետական ստանդարտը սույն ցանկում ներառելը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2056-2004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Կլիմայական խցիկի օդի մեջ մեթանոլի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կիրառվում է </w:t>
            </w:r>
            <w:proofErr w:type="spellStart"/>
            <w:r w:rsidRPr="002021FC">
              <w:rPr>
                <w:rFonts w:ascii="Sylfaen" w:hAnsi="Sylfaen" w:cs="Times New Roman"/>
                <w:sz w:val="20"/>
                <w:szCs w:val="20"/>
              </w:rPr>
              <w:t>մինչև</w:t>
            </w:r>
            <w:proofErr w:type="spellEnd"/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 համապատասխան միջպետական </w:t>
            </w:r>
            <w:r w:rsidRPr="002021FC">
              <w:rPr>
                <w:rFonts w:ascii="Sylfaen" w:hAnsi="Sylfaen" w:cs="Times New Roman"/>
                <w:sz w:val="20"/>
                <w:szCs w:val="20"/>
              </w:rPr>
              <w:lastRenderedPageBreak/>
              <w:t>ստանդարտը սույն ցանկում ներառելը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2057-2004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Կլիմայական խցիկի մեջ անհիդրիդի, դիբութիլֆտալատի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դիօկտիլֆտալատի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կիրառվում է </w:t>
            </w:r>
            <w:proofErr w:type="spellStart"/>
            <w:r w:rsidRPr="002021FC">
              <w:rPr>
                <w:rFonts w:ascii="Sylfaen" w:hAnsi="Sylfaen" w:cs="Times New Roman"/>
                <w:sz w:val="20"/>
                <w:szCs w:val="20"/>
              </w:rPr>
              <w:t>մինչև</w:t>
            </w:r>
            <w:proofErr w:type="spellEnd"/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 համապատասխան միջպետական ստանդարտը սույն ցանկում ներառելը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2101-2004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Կլիմայական խցիկի օդի մեջ վինիլացետատի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կիրառվում է </w:t>
            </w:r>
            <w:proofErr w:type="spellStart"/>
            <w:r w:rsidRPr="002021FC">
              <w:rPr>
                <w:rFonts w:ascii="Sylfaen" w:hAnsi="Sylfaen" w:cs="Times New Roman"/>
                <w:sz w:val="20"/>
                <w:szCs w:val="20"/>
              </w:rPr>
              <w:t>մինչև</w:t>
            </w:r>
            <w:proofErr w:type="spellEnd"/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 համապատասխան միջպետական ստանդարտը սույն ցանկում ներառելը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3121-2009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Բարձրարդյունավետ հեղուկային քրոմատագրման մեթոդով կլիմայական խցիկի մեջ հեքսամեթիլենդիամինի քանակական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կիրառվում է </w:t>
            </w:r>
            <w:proofErr w:type="spellStart"/>
            <w:r w:rsidRPr="002021FC">
              <w:rPr>
                <w:rFonts w:ascii="Sylfaen" w:hAnsi="Sylfaen" w:cs="Times New Roman"/>
                <w:sz w:val="20"/>
                <w:szCs w:val="20"/>
              </w:rPr>
              <w:t>մինչև</w:t>
            </w:r>
            <w:proofErr w:type="spellEnd"/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 համապատասխան միջպետական ստանդարտը սույն ցանկում ներառելը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3123-2009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Բարձրարդյունավետ հեղուկային քրոմատագրման մեթոդով կլիմայական խցիկի մեջ 2,4-տոլուիլենդիիզոցիանատի քանակական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2021FC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կիրառվում է </w:t>
            </w:r>
            <w:proofErr w:type="spellStart"/>
            <w:r w:rsidRPr="002021FC">
              <w:rPr>
                <w:rFonts w:ascii="Sylfaen" w:hAnsi="Sylfaen" w:cs="Times New Roman"/>
                <w:sz w:val="20"/>
                <w:szCs w:val="20"/>
              </w:rPr>
              <w:t>մինչև</w:t>
            </w:r>
            <w:proofErr w:type="spellEnd"/>
            <w:r w:rsidRPr="002021FC">
              <w:rPr>
                <w:rFonts w:ascii="Sylfaen" w:hAnsi="Sylfaen" w:cs="Times New Roman"/>
                <w:sz w:val="20"/>
                <w:szCs w:val="20"/>
              </w:rPr>
              <w:t xml:space="preserve"> համապատասխան միջպետական ստանդարտը սույն ցանկում ներառելը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երկրորդ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ույթի կայունության գնահատում սառը հեղուկների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101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4211-2-2012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ույթի փորձարկում: Մաս 2: Կայունության գնահատում խոնավ ջերմության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4211-3-2012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ույթների փորձարկում: Մաս 3: Կայունության գնահատում չոր ջերմության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16143-81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Մասեր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փայտից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փայտանյութից: Թափանցիկ լաքի ծածկույթների փայլի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27627-88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Մասեր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փայտից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փայտանյութից: Բծերի առաջացման նկատմամբ պաշտպանական–դեկորատիվ պատվածքների կայունության որոշման գնահատում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չորրորդ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B1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5.3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30877-2003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Նյութեր մանածագործական։ Ծածկեր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գորգագործական, մեքենայական արտադրության։ Անվտանգության ցուցանիշները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դրանց որոշման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հինգերորդ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33795-2016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Փայտ</w:t>
            </w:r>
            <w:r w:rsidR="00BF1BA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հումք, փայտանյութ, կիսաֆաբրիկատներ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փայտից ու փայտանյութից արտադրատեսակներ: Ռադիոնուկլիդների թույլատրելի տեսակարար ակտիվություն, նմուշառում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ռադիոնուկլիդների տեսակարար ակտիվության չափման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վեցերորդ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30108-94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Շինարարական նյութեր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արտադրատեսակներ: Բնական ռադիոնուկլիդների արդյունավետ տեսակարար ակտիվության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5-րդ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1021-1-2016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I: Բռնկման աղբյուր՝ այրվող ծխախոտ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657DEC">
        <w:trPr>
          <w:gridAfter w:val="1"/>
          <w:wAfter w:w="426" w:type="dxa"/>
          <w:trHeight w:val="80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1021-2-2016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2: Բռնկման աղբյուր, որը համարժեք է լուցկու բոցին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3"/>
                <w:rFonts w:ascii="Sylfaen" w:eastAsia="Angsana New" w:hAnsi="Sylfaen"/>
                <w:sz w:val="20"/>
                <w:szCs w:val="20"/>
              </w:rPr>
              <w:t>ՍՏ ՂՀ ԵՆ</w:t>
            </w:r>
            <w:r w:rsidRPr="001F2939">
              <w:rPr>
                <w:rFonts w:ascii="Sylfaen" w:hAnsi="Sylfaen"/>
                <w:sz w:val="20"/>
                <w:szCs w:val="20"/>
              </w:rPr>
              <w:t xml:space="preserve"> 1021-1-2015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1: Բռնկման աղբյուր՝ այրվող ծխախոտ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 ՂՀ ԵՆ 1021-2-2015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2: Բռնկման աղբյուր, որը համարժեք է լուցկու բոցին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50810-95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Մանածագործական նյութերի հրդեհային անվտանգություն: Գործվածքներ դեկորատիվ: Բոցավառման փորձարկման մեթոդը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դասակարգումը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53294-2009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Նյութեր մանածագործական։ Անկողնային պարագաներ: Կահույքի փափուկ տարրեր: Գալարավարագույրներ: Վարագույրներ: Բոցավառման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657DEC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1023-3-2016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գրասենյակային: Միջնորմեր: Մաս 3: </w:t>
            </w:r>
            <w:r w:rsidRPr="001F2939">
              <w:rPr>
                <w:rStyle w:val="Bodytext2TimesNewRoman3"/>
                <w:rFonts w:ascii="Sylfaen" w:eastAsia="Angsana New" w:hAnsi="Sylfaen"/>
                <w:sz w:val="20"/>
                <w:szCs w:val="20"/>
              </w:rPr>
              <w:t>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05285C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657DEC" w:rsidRPr="001F2939" w:rsidRDefault="00657DEC" w:rsidP="00657DEC">
      <w:pPr>
        <w:spacing w:after="120"/>
        <w:jc w:val="center"/>
        <w:rPr>
          <w:lang w:val="en-US"/>
        </w:rPr>
      </w:pPr>
    </w:p>
    <w:p w:rsidR="00657DEC" w:rsidRPr="00657DEC" w:rsidRDefault="00657DEC" w:rsidP="00657DEC">
      <w:pPr>
        <w:spacing w:after="160" w:line="360" w:lineRule="auto"/>
        <w:jc w:val="center"/>
        <w:rPr>
          <w:lang w:val="en-US"/>
        </w:rPr>
      </w:pPr>
      <w:r w:rsidRPr="001F2939">
        <w:rPr>
          <w:lang w:val="en-US"/>
        </w:rPr>
        <w:t>_________________</w:t>
      </w:r>
    </w:p>
    <w:sectPr w:rsidR="00657DEC" w:rsidRPr="00657DEC" w:rsidSect="00657DEC">
      <w:footerReference w:type="default" r:id="rId7"/>
      <w:pgSz w:w="16840" w:h="11907" w:code="9"/>
      <w:pgMar w:top="1418" w:right="1418" w:bottom="1418" w:left="1418" w:header="0" w:footer="6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37C4" w:rsidRDefault="00E337C4" w:rsidP="0005285C">
      <w:r>
        <w:separator/>
      </w:r>
    </w:p>
  </w:endnote>
  <w:endnote w:type="continuationSeparator" w:id="0">
    <w:p w:rsidR="00E337C4" w:rsidRDefault="00E337C4" w:rsidP="0005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9047"/>
      <w:docPartObj>
        <w:docPartGallery w:val="Page Numbers (Bottom of Page)"/>
        <w:docPartUnique/>
      </w:docPartObj>
    </w:sdtPr>
    <w:sdtContent>
      <w:p w:rsidR="00657DEC" w:rsidRDefault="002478B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293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37C4" w:rsidRDefault="00E337C4"/>
  </w:footnote>
  <w:footnote w:type="continuationSeparator" w:id="0">
    <w:p w:rsidR="00E337C4" w:rsidRDefault="00E337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C50"/>
    <w:multiLevelType w:val="multilevel"/>
    <w:tmpl w:val="BA1E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5447B"/>
    <w:multiLevelType w:val="multilevel"/>
    <w:tmpl w:val="E940E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739882">
    <w:abstractNumId w:val="1"/>
  </w:num>
  <w:num w:numId="2" w16cid:durableId="210143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5C"/>
    <w:rsid w:val="000065A5"/>
    <w:rsid w:val="000322F9"/>
    <w:rsid w:val="0005285C"/>
    <w:rsid w:val="0010389E"/>
    <w:rsid w:val="001043DE"/>
    <w:rsid w:val="00106207"/>
    <w:rsid w:val="00125BB1"/>
    <w:rsid w:val="0014175D"/>
    <w:rsid w:val="00150746"/>
    <w:rsid w:val="00167137"/>
    <w:rsid w:val="001C6D2F"/>
    <w:rsid w:val="001E3675"/>
    <w:rsid w:val="001F2939"/>
    <w:rsid w:val="002021FC"/>
    <w:rsid w:val="0024151A"/>
    <w:rsid w:val="002478B4"/>
    <w:rsid w:val="002729F2"/>
    <w:rsid w:val="00282633"/>
    <w:rsid w:val="0028412B"/>
    <w:rsid w:val="002C4BCB"/>
    <w:rsid w:val="002C797B"/>
    <w:rsid w:val="002D2662"/>
    <w:rsid w:val="002D515D"/>
    <w:rsid w:val="002F08F4"/>
    <w:rsid w:val="003C5485"/>
    <w:rsid w:val="0045155D"/>
    <w:rsid w:val="00462775"/>
    <w:rsid w:val="0047668E"/>
    <w:rsid w:val="004936ED"/>
    <w:rsid w:val="004A1AEC"/>
    <w:rsid w:val="004B7DD0"/>
    <w:rsid w:val="004C0AE5"/>
    <w:rsid w:val="004C64C1"/>
    <w:rsid w:val="004F6DBB"/>
    <w:rsid w:val="00536E29"/>
    <w:rsid w:val="00547EB1"/>
    <w:rsid w:val="005637C0"/>
    <w:rsid w:val="00573843"/>
    <w:rsid w:val="005C1B2C"/>
    <w:rsid w:val="005C5B64"/>
    <w:rsid w:val="005E4479"/>
    <w:rsid w:val="005F278F"/>
    <w:rsid w:val="005F59E1"/>
    <w:rsid w:val="0063417D"/>
    <w:rsid w:val="00657DEC"/>
    <w:rsid w:val="007165B1"/>
    <w:rsid w:val="007B199D"/>
    <w:rsid w:val="007E74E3"/>
    <w:rsid w:val="00835C09"/>
    <w:rsid w:val="008D7E0F"/>
    <w:rsid w:val="00984A5A"/>
    <w:rsid w:val="009A1FD8"/>
    <w:rsid w:val="009F4839"/>
    <w:rsid w:val="00A21903"/>
    <w:rsid w:val="00A4643B"/>
    <w:rsid w:val="00A60B05"/>
    <w:rsid w:val="00A751F2"/>
    <w:rsid w:val="00AC39B4"/>
    <w:rsid w:val="00AC3A4E"/>
    <w:rsid w:val="00AE2AE5"/>
    <w:rsid w:val="00B74577"/>
    <w:rsid w:val="00B84DBA"/>
    <w:rsid w:val="00B94948"/>
    <w:rsid w:val="00BA3222"/>
    <w:rsid w:val="00BB73DF"/>
    <w:rsid w:val="00BF1BA9"/>
    <w:rsid w:val="00C11712"/>
    <w:rsid w:val="00CB085A"/>
    <w:rsid w:val="00CC30C0"/>
    <w:rsid w:val="00CC698A"/>
    <w:rsid w:val="00CD2D78"/>
    <w:rsid w:val="00D16B8B"/>
    <w:rsid w:val="00D63C33"/>
    <w:rsid w:val="00D977C5"/>
    <w:rsid w:val="00DA1611"/>
    <w:rsid w:val="00DE4760"/>
    <w:rsid w:val="00DE680E"/>
    <w:rsid w:val="00E337C4"/>
    <w:rsid w:val="00E61ABF"/>
    <w:rsid w:val="00E64A3A"/>
    <w:rsid w:val="00E76CBF"/>
    <w:rsid w:val="00E8609A"/>
    <w:rsid w:val="00EE415A"/>
    <w:rsid w:val="00F07637"/>
    <w:rsid w:val="00F57940"/>
    <w:rsid w:val="00F8159C"/>
    <w:rsid w:val="00FD6802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2EE9"/>
  <w15:docId w15:val="{C91E56E8-73DF-4806-B578-3DB56804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285C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285C"/>
    <w:rPr>
      <w:color w:val="0066CC"/>
      <w:u w:val="single"/>
    </w:rPr>
  </w:style>
  <w:style w:type="character" w:customStyle="1" w:styleId="Bodytext11">
    <w:name w:val="Body text (11)_"/>
    <w:basedOn w:val="DefaultParagraphFont"/>
    <w:link w:val="Bodytext11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mallCaps">
    <w:name w:val="Body text (11) + Small Caps"/>
    <w:basedOn w:val="Bodytext11"/>
    <w:rsid w:val="0005285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5285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0">
    <w:name w:val="Body text (2) + Times New Roman"/>
    <w:aliases w:val="15 pt,Bold"/>
    <w:basedOn w:val="Bodytext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">
    <w:name w:val="Body text (12)_"/>
    <w:basedOn w:val="DefaultParagraphFont"/>
    <w:link w:val="Bodytext120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Bold">
    <w:name w:val="Body text (12) + Bold"/>
    <w:basedOn w:val="Bodytext1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1">
    <w:name w:val="Body text (2) + Times New Roman"/>
    <w:aliases w:val="1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imesNewRoman2">
    <w:name w:val="Body text (2) + Times New Roman"/>
    <w:aliases w:val="11 pt,Spacing 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imesNewRoman3">
    <w:name w:val="Body text (2) + Times New Roman"/>
    <w:aliases w:val="1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110">
    <w:name w:val="Body text (11)"/>
    <w:basedOn w:val="Normal"/>
    <w:link w:val="Bodytext11"/>
    <w:rsid w:val="0005285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5285C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528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5285C"/>
    <w:pPr>
      <w:shd w:val="clear" w:color="auto" w:fill="FFFFFF"/>
      <w:spacing w:before="420" w:line="482" w:lineRule="exact"/>
      <w:jc w:val="both"/>
    </w:pPr>
    <w:rPr>
      <w:rFonts w:ascii="Angsana New" w:eastAsia="Angsana New" w:hAnsi="Angsana New" w:cs="Angsana New"/>
      <w:sz w:val="38"/>
      <w:szCs w:val="38"/>
    </w:rPr>
  </w:style>
  <w:style w:type="paragraph" w:customStyle="1" w:styleId="Heading220">
    <w:name w:val="Heading #2 (2)"/>
    <w:basedOn w:val="Normal"/>
    <w:link w:val="Heading22"/>
    <w:rsid w:val="0005285C"/>
    <w:pPr>
      <w:shd w:val="clear" w:color="auto" w:fill="FFFFFF"/>
      <w:spacing w:before="360" w:after="36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20">
    <w:name w:val="Body text (12)"/>
    <w:basedOn w:val="Normal"/>
    <w:link w:val="Bodytext12"/>
    <w:rsid w:val="0005285C"/>
    <w:pPr>
      <w:shd w:val="clear" w:color="auto" w:fill="FFFFFF"/>
      <w:spacing w:before="360" w:line="48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0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6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DB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BB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7DE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DE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7DE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D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 Karamyan</dc:creator>
  <cp:lastModifiedBy>Mher Karamyan</cp:lastModifiedBy>
  <cp:revision>4</cp:revision>
  <dcterms:created xsi:type="dcterms:W3CDTF">2025-09-11T08:48:00Z</dcterms:created>
  <dcterms:modified xsi:type="dcterms:W3CDTF">2025-09-11T08:56:00Z</dcterms:modified>
</cp:coreProperties>
</file>