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AFC" w:rsidRPr="001F2939" w:rsidRDefault="00327AFC" w:rsidP="00327AFC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ՀԱՍՏԱՏՎԱԾ Է</w:t>
      </w:r>
    </w:p>
    <w:p w:rsidR="00327AFC" w:rsidRPr="001F2939" w:rsidRDefault="00327AFC" w:rsidP="00327AFC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proofErr w:type="spellStart"/>
      <w:r w:rsidRPr="001F2939">
        <w:rPr>
          <w:rFonts w:ascii="Sylfaen" w:hAnsi="Sylfaen"/>
          <w:sz w:val="24"/>
          <w:szCs w:val="24"/>
        </w:rPr>
        <w:t>Եվրասիական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տնտեսական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br/>
      </w:r>
      <w:proofErr w:type="spellStart"/>
      <w:r w:rsidRPr="001F2939">
        <w:rPr>
          <w:rFonts w:ascii="Sylfaen" w:hAnsi="Sylfaen"/>
          <w:sz w:val="24"/>
          <w:szCs w:val="24"/>
        </w:rPr>
        <w:t>հանձնաժողովի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կոլեգիայի</w:t>
      </w:r>
      <w:proofErr w:type="spellEnd"/>
      <w:r w:rsidRPr="001F2939">
        <w:rPr>
          <w:rFonts w:ascii="Sylfaen" w:hAnsi="Sylfaen"/>
          <w:sz w:val="24"/>
          <w:szCs w:val="24"/>
        </w:rPr>
        <w:t xml:space="preserve"> 2012 </w:t>
      </w:r>
      <w:proofErr w:type="spellStart"/>
      <w:r w:rsidRPr="001F2939">
        <w:rPr>
          <w:rFonts w:ascii="Sylfaen" w:hAnsi="Sylfaen"/>
          <w:sz w:val="24"/>
          <w:szCs w:val="24"/>
        </w:rPr>
        <w:t>թվականի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հոկտեմբերի</w:t>
      </w:r>
      <w:proofErr w:type="spellEnd"/>
      <w:r w:rsidRPr="001F2939">
        <w:rPr>
          <w:rFonts w:ascii="Sylfaen" w:hAnsi="Sylfaen"/>
          <w:sz w:val="24"/>
          <w:szCs w:val="24"/>
        </w:rPr>
        <w:t xml:space="preserve"> 18-ի </w:t>
      </w:r>
      <w:proofErr w:type="spellStart"/>
      <w:r w:rsidRPr="001F2939">
        <w:rPr>
          <w:rFonts w:ascii="Sylfaen" w:hAnsi="Sylfaen"/>
          <w:sz w:val="24"/>
          <w:szCs w:val="24"/>
        </w:rPr>
        <w:t>թիվ</w:t>
      </w:r>
      <w:proofErr w:type="spellEnd"/>
      <w:r w:rsidRPr="001F2939">
        <w:rPr>
          <w:rFonts w:ascii="Sylfaen" w:hAnsi="Sylfaen"/>
          <w:sz w:val="24"/>
          <w:szCs w:val="24"/>
        </w:rPr>
        <w:t xml:space="preserve"> 189 </w:t>
      </w:r>
      <w:proofErr w:type="spellStart"/>
      <w:r w:rsidRPr="001F2939">
        <w:rPr>
          <w:rFonts w:ascii="Sylfaen" w:hAnsi="Sylfaen"/>
          <w:sz w:val="24"/>
          <w:szCs w:val="24"/>
        </w:rPr>
        <w:t>որոշմամբ</w:t>
      </w:r>
      <w:proofErr w:type="spellEnd"/>
    </w:p>
    <w:p w:rsidR="00327AFC" w:rsidRPr="001F2939" w:rsidRDefault="00327AFC" w:rsidP="00327AFC">
      <w:pPr>
        <w:pStyle w:val="Bodytext120"/>
        <w:shd w:val="clear" w:color="auto" w:fill="auto"/>
        <w:spacing w:before="0" w:after="160" w:line="360" w:lineRule="auto"/>
        <w:ind w:left="9072"/>
        <w:jc w:val="center"/>
        <w:rPr>
          <w:rFonts w:ascii="Sylfaen" w:hAnsi="Sylfaen"/>
          <w:sz w:val="24"/>
          <w:szCs w:val="24"/>
        </w:rPr>
      </w:pPr>
      <w:r w:rsidRPr="001F2939">
        <w:rPr>
          <w:rFonts w:ascii="Sylfaen" w:hAnsi="Sylfaen"/>
          <w:sz w:val="24"/>
          <w:szCs w:val="24"/>
        </w:rPr>
        <w:t>(</w:t>
      </w:r>
      <w:proofErr w:type="spellStart"/>
      <w:r w:rsidRPr="001F2939">
        <w:rPr>
          <w:rFonts w:ascii="Sylfaen" w:hAnsi="Sylfaen"/>
          <w:sz w:val="24"/>
          <w:szCs w:val="24"/>
        </w:rPr>
        <w:t>Եվրասիական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տնտեսական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հանձնաժողովի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կոլեգիայի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r w:rsidRPr="001F2939">
        <w:rPr>
          <w:rFonts w:ascii="Sylfaen" w:hAnsi="Sylfaen"/>
          <w:sz w:val="24"/>
          <w:szCs w:val="24"/>
        </w:rPr>
        <w:br/>
        <w:t xml:space="preserve">2017 </w:t>
      </w:r>
      <w:proofErr w:type="spellStart"/>
      <w:r w:rsidRPr="001F2939">
        <w:rPr>
          <w:rFonts w:ascii="Sylfaen" w:hAnsi="Sylfaen"/>
          <w:sz w:val="24"/>
          <w:szCs w:val="24"/>
        </w:rPr>
        <w:t>թվականի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նոյեմբերի</w:t>
      </w:r>
      <w:proofErr w:type="spellEnd"/>
      <w:r w:rsidRPr="001F2939">
        <w:rPr>
          <w:rFonts w:ascii="Sylfaen" w:hAnsi="Sylfaen"/>
          <w:sz w:val="24"/>
          <w:szCs w:val="24"/>
        </w:rPr>
        <w:t xml:space="preserve"> 7-ի </w:t>
      </w:r>
      <w:r w:rsidRPr="001F2939">
        <w:rPr>
          <w:rFonts w:ascii="Sylfaen" w:hAnsi="Sylfaen"/>
          <w:sz w:val="24"/>
          <w:szCs w:val="24"/>
        </w:rPr>
        <w:br/>
      </w:r>
      <w:proofErr w:type="spellStart"/>
      <w:r w:rsidRPr="001F2939">
        <w:rPr>
          <w:rFonts w:ascii="Sylfaen" w:hAnsi="Sylfaen"/>
          <w:sz w:val="24"/>
          <w:szCs w:val="24"/>
        </w:rPr>
        <w:t>թիվ</w:t>
      </w:r>
      <w:proofErr w:type="spellEnd"/>
      <w:r w:rsidRPr="001F2939">
        <w:rPr>
          <w:rFonts w:ascii="Sylfaen" w:hAnsi="Sylfaen"/>
          <w:sz w:val="24"/>
          <w:szCs w:val="24"/>
        </w:rPr>
        <w:t xml:space="preserve"> 136 </w:t>
      </w:r>
      <w:proofErr w:type="spellStart"/>
      <w:r w:rsidRPr="001F2939">
        <w:rPr>
          <w:rFonts w:ascii="Sylfaen" w:hAnsi="Sylfaen"/>
          <w:sz w:val="24"/>
          <w:szCs w:val="24"/>
        </w:rPr>
        <w:t>որոշման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խմբագրությամբ</w:t>
      </w:r>
      <w:proofErr w:type="spellEnd"/>
      <w:r w:rsidRPr="001F2939">
        <w:rPr>
          <w:rFonts w:ascii="Sylfaen" w:hAnsi="Sylfaen"/>
          <w:sz w:val="24"/>
          <w:szCs w:val="24"/>
        </w:rPr>
        <w:t>)</w:t>
      </w:r>
    </w:p>
    <w:p w:rsidR="00327AFC" w:rsidRPr="001F2939" w:rsidRDefault="00327AFC" w:rsidP="00327AFC">
      <w:pPr>
        <w:pStyle w:val="Heading2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0" w:name="bookmark3"/>
      <w:r w:rsidRPr="001F2939">
        <w:rPr>
          <w:rStyle w:val="Heading22Spacing2pt"/>
          <w:rFonts w:ascii="Sylfaen" w:eastAsiaTheme="majorEastAsia" w:hAnsi="Sylfaen"/>
          <w:spacing w:val="0"/>
          <w:sz w:val="24"/>
          <w:szCs w:val="24"/>
        </w:rPr>
        <w:t>ՑԱՆԿ</w:t>
      </w:r>
      <w:bookmarkEnd w:id="0"/>
    </w:p>
    <w:p w:rsidR="00327AFC" w:rsidRPr="001F2939" w:rsidRDefault="00327AFC" w:rsidP="00327AFC">
      <w:pPr>
        <w:pStyle w:val="Heading220"/>
        <w:shd w:val="clear" w:color="auto" w:fill="auto"/>
        <w:spacing w:before="0" w:after="160" w:line="360" w:lineRule="auto"/>
        <w:ind w:left="567" w:right="537"/>
        <w:outlineLvl w:val="9"/>
        <w:rPr>
          <w:rFonts w:ascii="Sylfaen" w:hAnsi="Sylfaen"/>
          <w:sz w:val="24"/>
          <w:szCs w:val="24"/>
        </w:rPr>
      </w:pPr>
      <w:bookmarkStart w:id="1" w:name="bookmark4"/>
      <w:proofErr w:type="spellStart"/>
      <w:r w:rsidRPr="001F2939">
        <w:rPr>
          <w:rFonts w:ascii="Sylfaen" w:hAnsi="Sylfaen"/>
          <w:sz w:val="24"/>
          <w:szCs w:val="24"/>
        </w:rPr>
        <w:t>այն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ստանդարտների</w:t>
      </w:r>
      <w:proofErr w:type="spellEnd"/>
      <w:r w:rsidRPr="001F2939">
        <w:rPr>
          <w:rFonts w:ascii="Sylfaen" w:hAnsi="Sylfaen"/>
          <w:sz w:val="24"/>
          <w:szCs w:val="24"/>
        </w:rPr>
        <w:t xml:space="preserve">, </w:t>
      </w:r>
      <w:proofErr w:type="spellStart"/>
      <w:r w:rsidRPr="001F2939">
        <w:rPr>
          <w:rFonts w:ascii="Sylfaen" w:hAnsi="Sylfaen"/>
          <w:sz w:val="24"/>
          <w:szCs w:val="24"/>
        </w:rPr>
        <w:t>որոնց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կամավոր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հիմունքով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կիրառման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արդյունքում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ապահովվում</w:t>
      </w:r>
      <w:proofErr w:type="spellEnd"/>
      <w:r w:rsidRPr="001F2939">
        <w:rPr>
          <w:rFonts w:ascii="Sylfaen" w:hAnsi="Sylfaen"/>
          <w:sz w:val="24"/>
          <w:szCs w:val="24"/>
        </w:rPr>
        <w:t xml:space="preserve"> է </w:t>
      </w:r>
      <w:r w:rsidRPr="001F2939">
        <w:rPr>
          <w:rFonts w:ascii="Sylfaen" w:hAnsi="Sylfaen"/>
          <w:sz w:val="24"/>
          <w:szCs w:val="24"/>
        </w:rPr>
        <w:br/>
        <w:t>«</w:t>
      </w:r>
      <w:proofErr w:type="spellStart"/>
      <w:r w:rsidRPr="001F2939">
        <w:rPr>
          <w:rFonts w:ascii="Sylfaen" w:hAnsi="Sylfaen"/>
          <w:sz w:val="24"/>
          <w:szCs w:val="24"/>
        </w:rPr>
        <w:t>Կահույքագործական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արտադրանքի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անվտանգության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մասին</w:t>
      </w:r>
      <w:proofErr w:type="spellEnd"/>
      <w:r w:rsidRPr="001F2939">
        <w:rPr>
          <w:rFonts w:ascii="Sylfaen" w:hAnsi="Sylfaen"/>
          <w:sz w:val="24"/>
          <w:szCs w:val="24"/>
        </w:rPr>
        <w:t xml:space="preserve">» </w:t>
      </w:r>
      <w:proofErr w:type="spellStart"/>
      <w:r w:rsidRPr="001F2939">
        <w:rPr>
          <w:rFonts w:ascii="Sylfaen" w:hAnsi="Sylfaen"/>
          <w:sz w:val="24"/>
          <w:szCs w:val="24"/>
        </w:rPr>
        <w:t>Մաքսային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միության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տեխնիկական</w:t>
      </w:r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կանոնակարգի</w:t>
      </w:r>
      <w:proofErr w:type="spellEnd"/>
      <w:r w:rsidRPr="001F2939">
        <w:rPr>
          <w:rFonts w:ascii="Sylfaen" w:hAnsi="Sylfaen"/>
          <w:sz w:val="24"/>
          <w:szCs w:val="24"/>
        </w:rPr>
        <w:t xml:space="preserve"> (ՄՄ ՏԿ 025/2012) </w:t>
      </w:r>
      <w:proofErr w:type="spellStart"/>
      <w:r w:rsidRPr="001F2939">
        <w:rPr>
          <w:rFonts w:ascii="Sylfaen" w:hAnsi="Sylfaen"/>
          <w:sz w:val="24"/>
          <w:szCs w:val="24"/>
        </w:rPr>
        <w:t>պահանջների</w:t>
      </w:r>
      <w:bookmarkEnd w:id="1"/>
      <w:proofErr w:type="spellEnd"/>
      <w:r w:rsidRPr="001F2939">
        <w:rPr>
          <w:rFonts w:ascii="Sylfaen" w:hAnsi="Sylfaen"/>
          <w:sz w:val="24"/>
          <w:szCs w:val="24"/>
        </w:rPr>
        <w:t xml:space="preserve"> </w:t>
      </w:r>
      <w:proofErr w:type="spellStart"/>
      <w:r w:rsidRPr="001F2939">
        <w:rPr>
          <w:rFonts w:ascii="Sylfaen" w:hAnsi="Sylfaen"/>
          <w:sz w:val="24"/>
          <w:szCs w:val="24"/>
        </w:rPr>
        <w:t>պահպանումը</w:t>
      </w:r>
      <w:proofErr w:type="spellEnd"/>
    </w:p>
    <w:p w:rsidR="00327AFC" w:rsidRPr="001F2939" w:rsidRDefault="00327AFC" w:rsidP="00327AFC">
      <w:pPr>
        <w:pStyle w:val="Heading220"/>
        <w:shd w:val="clear" w:color="auto" w:fill="auto"/>
        <w:spacing w:before="0" w:after="160" w:line="360" w:lineRule="auto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149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3543"/>
        <w:gridCol w:w="3686"/>
        <w:gridCol w:w="4626"/>
        <w:gridCol w:w="6"/>
        <w:gridCol w:w="1787"/>
        <w:gridCol w:w="395"/>
      </w:tblGrid>
      <w:tr w:rsidR="00327AFC" w:rsidRPr="001F2939" w:rsidTr="000B35B8">
        <w:trPr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Համարը՝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ը/կ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Ստանդարտի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նշագիրը</w:t>
            </w:r>
            <w:proofErr w:type="spellEnd"/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Ծանոթագրություն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14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I. Ընդհանուր տեխնիկական պայմանների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տեխնիկական պահանջների ստանդարտները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2.2.29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2.2.30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2.2.4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2.2.7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2.2.8, 2.3.4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2.3.5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2.3.1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2.3.2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16371-93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կիրառվում է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մինչ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2018 թվականի հունվարի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2-րդ կետի երկրորդ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7.1 - 7.3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7.4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5.2.30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5.2.31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5.2.4 - 5.2.7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5.2.8, 5.3.4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5.3.5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5.3.1 - 5.3.3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5.4.1 - 5.4.5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5.4.6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16371-2014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Կահույք: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1.5.1 - 1.5.6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1.5.23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1.5.8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1.5.9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1.3 ենթաբաժին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1.6 ենթաբաժին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16854-91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Բազկաթոռներ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հանդիսադահլիճների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հինգերորդ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2.2.5.1, 2.2.5.2.1, 2.2.5.3, 2.2.6.1 ենթակետեր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2.2.15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2.2.16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2.2.17 - 2.2.19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2.2.8 - 2.2.10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2.3 ենթաբաժին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2.4 ենթաբաժին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19917-93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Կահույք՝ նստելու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կիրառվում է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մինչ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2018 թվականի հունվարի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հինգերորդ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վեցերորդ պարբերություններ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5.1 կետ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7.1 - 7.3 կետեր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5.2.5.1 - 5.2.5.3 ենթակետեր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5.2.16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5.2.6.1 ենթակետ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5.2.7 - 5.2.9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5.2.15.1 - 5.2.15.4 ենթակետեր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ind w:right="132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5.2.18, 5.2.19, 5.3.2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5.3.3 կետեր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>5.3.4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5.4 ենթաբաժին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19917-2014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Կահույք՝ նստելու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պառկելու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հոդված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ԳՕՍՏ 20400-2013 (բացի 30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56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եզրույթներից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)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Կահույքագործական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արտադրանք: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Եզրույթներ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սահմանումներ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5.2.11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5.2.14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5.2.8 - 5.2.10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5.2.12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22046-2002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ուսումնական հաստատությունների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2.19, 2.22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2.24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2.25 - 2.27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2.29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23190-78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գրավաճառային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երկրորդ պարբերություն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2-րդ կետի երրորդ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2.15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2.17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2.20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23508-79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գրավաճառային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՝ պահեստային տարածքների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չորրորդ պարբերություն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1.24, 1.36 - 1.39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1.41 կետեր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1.30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1.32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կետ 1.33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կետ 1.4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26756-85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Կահույք՝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առ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տրի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ձեռնարկությունների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2-րդ կետի երկրորդից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չորրոդ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պարբերություններ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3-րդ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4–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րդ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5-րդ կետեր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26756-2016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Կահույք՝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առ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տրի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ձեռնարկությունների համար: Ընդհանուր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 2-րդ կետի չորրորդ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5.1.13.1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5.1.13.2 ենթակետեր ԳՕՍՏ 6799-2005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Ապակյա արտադրատեսակներ կահույքի համար: Տեխնիկական պայմաններ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3-րդ կետի առաջին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երկրորդ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527-2-2016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 գրասենյակային: Սեղաններ աշխատանքային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գրասեղաններ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: Մաս 2: Անվտանգության պահանջները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4.1.2 կետ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33095-2014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Բնափայտից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փայտանյութերից կահույքի վրա պաշտպանական–դեկորատիվ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պատվածքներ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: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Դասակարգումը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նշագրերը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երրորդ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բաժին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581-1-2012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քեմպինգների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համար սեղաններ: Մաս 1: Անվտանգության ընդհանուր պահանջները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16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581-2-2012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քեմպինգների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համար սեղաններ: Մաս 2: Նստելու կահույքի մեխանիկական անվտանգության պահանջները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581-3-2012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Բացօթյա տարածքներում օգտագործվող կահույք: Նստելու համար կահույք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բնակելի, հասարակական տարածքների ու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քեմպինգների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համար սեղաններ: Մաս 3: Սեղանների մեխանիկական անվտանգության պահանջները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փորձարկման մեթոդները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5-րդ հոդվածի 2-րդ կետ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ԵՆ 1023-2-2016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Կահույք գրասենյակային: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Միջնորմեր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: Մաս 2: Մեխանիկական անվտանգության պահանջները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42" w:right="17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կիրառվում է 2019 թվականի հունվարի 1-ից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2-րդ կետի երկրորդ, երրորդ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հինգերորդ պարբերություններ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4.2 - 4.6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4.8 կետեր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 xml:space="preserve">հավելված Ա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>ՍՏԲ 1268-2006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Ծալովի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ձ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ափոխվող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կահույք: Սեղաններ: Ընդհանուր տեխնիկական պահանջները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փորձարկումների մեթոդները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14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II. Գործառական չափերի ստանդարտներ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5-րդ հոդվածի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br/>
              <w:t>2-րդ կետի վեցերորդ պարբերություն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5994-93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Դպրոցական նստարաններ: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11015-93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Սեղաններ աշակերտական: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11016-93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4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Աթոռներ աշակերտական: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18313-93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Ուսուցիչների համար սեղաններ: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18314-93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Աշակերտական, լաբորատոր սեղաններ: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18607-93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Սեղաններ ցուցադրական: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18666-95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Ուսումնական պիտույքների համար պահարաններ: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27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19301.1-2016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Սեղանների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Աթոռների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29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19301.3-94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Մահճակալների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կիրառվում է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մինչ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2019 թվականի հունվարի 1-ը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30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19301.3-2016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Կահույք՝ մանկական, նախադպրոցական: Մահճակալների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31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19549-93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Գծագրության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նկարչության համար աշակերտական սեղաններ: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32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19550-93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Օտար լեզվի դասասենյակների համար աշակերտական սեղաններ: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33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20902-95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Ճաշի սեղաններ աշակերտական: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34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TimesNewRoman"/>
                <w:rFonts w:ascii="Sylfaen" w:eastAsia="Angsana New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22359-93</w:t>
            </w:r>
          </w:p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(ԻՍՕ 5970-79)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Հանդիսադահլիճների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համար աթոռներ: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35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22360-95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Ցուցադրման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արտաձգիչ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լաբորատոր 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lastRenderedPageBreak/>
              <w:t xml:space="preserve">պահարաններ: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36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22361-95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Ուսուցման տեխնիկական միջոցների համար </w:t>
            </w:r>
            <w:proofErr w:type="spellStart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հենակալներ</w:t>
            </w:r>
            <w:proofErr w:type="spellEnd"/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: Տիպեր </w:t>
            </w:r>
            <w:r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և</w:t>
            </w: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 xml:space="preserve">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  <w:tr w:rsidR="00327AFC" w:rsidRPr="001F2939" w:rsidTr="000B35B8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37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ԳՕՍՏ 26682-2016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F2939">
              <w:rPr>
                <w:rStyle w:val="Bodytext2TimesNewRoman"/>
                <w:rFonts w:ascii="Sylfaen" w:eastAsia="Angsana New" w:hAnsi="Sylfaen"/>
                <w:sz w:val="20"/>
                <w:szCs w:val="20"/>
              </w:rPr>
              <w:t>Կահույք նախադպրոցական հաստատությունների համար: Գործառական չափեր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FFFFFF"/>
          </w:tcPr>
          <w:p w:rsidR="00327AFC" w:rsidRPr="001F2939" w:rsidRDefault="00327AFC" w:rsidP="000B35B8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96697D" w:rsidRDefault="0096697D"/>
    <w:sectPr w:rsidR="0096697D" w:rsidSect="00327AFC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FC"/>
    <w:rsid w:val="000C2FE8"/>
    <w:rsid w:val="000F73F9"/>
    <w:rsid w:val="001D07C9"/>
    <w:rsid w:val="00207C23"/>
    <w:rsid w:val="0024151A"/>
    <w:rsid w:val="00300FC8"/>
    <w:rsid w:val="0030728B"/>
    <w:rsid w:val="00310D47"/>
    <w:rsid w:val="00327AFC"/>
    <w:rsid w:val="00365F8A"/>
    <w:rsid w:val="00392202"/>
    <w:rsid w:val="003D7E6A"/>
    <w:rsid w:val="00457AE2"/>
    <w:rsid w:val="006601B5"/>
    <w:rsid w:val="006940B8"/>
    <w:rsid w:val="00806C12"/>
    <w:rsid w:val="0083338A"/>
    <w:rsid w:val="00835185"/>
    <w:rsid w:val="008F3194"/>
    <w:rsid w:val="0096697D"/>
    <w:rsid w:val="009932CF"/>
    <w:rsid w:val="009F0604"/>
    <w:rsid w:val="00BB6B63"/>
    <w:rsid w:val="00BD3CBC"/>
    <w:rsid w:val="00CD4E02"/>
    <w:rsid w:val="00D00DC7"/>
    <w:rsid w:val="00F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5A598-A27D-4DCE-A707-9E77DFA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7AFC"/>
    <w:pPr>
      <w:widowControl w:val="0"/>
      <w:spacing w:after="0" w:line="240" w:lineRule="auto"/>
    </w:pPr>
    <w:rPr>
      <w:rFonts w:ascii="Sylfaen" w:eastAsia="Sylfaen" w:hAnsi="Sylfaen" w:cs="Sylfaen"/>
      <w:color w:val="000000"/>
      <w:kern w:val="0"/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A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A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A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A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AFC"/>
    <w:rPr>
      <w:b/>
      <w:bCs/>
      <w:smallCaps/>
      <w:color w:val="2F5496" w:themeColor="accent1" w:themeShade="BF"/>
      <w:spacing w:val="5"/>
    </w:rPr>
  </w:style>
  <w:style w:type="character" w:customStyle="1" w:styleId="Bodytext2">
    <w:name w:val="Body text (2)_"/>
    <w:basedOn w:val="DefaultParagraphFont"/>
    <w:link w:val="Bodytext20"/>
    <w:rsid w:val="00327AFC"/>
    <w:rPr>
      <w:rFonts w:ascii="Angsana New" w:eastAsia="Angsana New" w:hAnsi="Angsana New" w:cs="Angsana New"/>
      <w:sz w:val="38"/>
      <w:szCs w:val="38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327AF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27AF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Heading22Spacing2pt">
    <w:name w:val="Heading #2 (2) + Spacing 2 pt"/>
    <w:basedOn w:val="Heading22"/>
    <w:rsid w:val="00327AF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TimesNewRoman">
    <w:name w:val="Body text (2) + Times New Roman"/>
    <w:aliases w:val="11 pt"/>
    <w:basedOn w:val="Bodytext2"/>
    <w:rsid w:val="00327A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327AFC"/>
    <w:pPr>
      <w:shd w:val="clear" w:color="auto" w:fill="FFFFFF"/>
      <w:spacing w:before="420" w:line="482" w:lineRule="exact"/>
      <w:jc w:val="both"/>
    </w:pPr>
    <w:rPr>
      <w:rFonts w:ascii="Angsana New" w:eastAsia="Angsana New" w:hAnsi="Angsana New" w:cs="Angsana New"/>
      <w:color w:val="auto"/>
      <w:kern w:val="2"/>
      <w:sz w:val="38"/>
      <w:szCs w:val="38"/>
      <w:lang w:val="en-US" w:eastAsia="en-US" w:bidi="ar-SA"/>
    </w:rPr>
  </w:style>
  <w:style w:type="paragraph" w:customStyle="1" w:styleId="Heading220">
    <w:name w:val="Heading #2 (2)"/>
    <w:basedOn w:val="Normal"/>
    <w:link w:val="Heading22"/>
    <w:rsid w:val="00327AFC"/>
    <w:pPr>
      <w:shd w:val="clear" w:color="auto" w:fill="FFFFFF"/>
      <w:spacing w:before="360" w:after="36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30"/>
      <w:szCs w:val="30"/>
      <w:lang w:val="en-US" w:eastAsia="en-US" w:bidi="ar-SA"/>
    </w:rPr>
  </w:style>
  <w:style w:type="paragraph" w:customStyle="1" w:styleId="Bodytext120">
    <w:name w:val="Body text (12)"/>
    <w:basedOn w:val="Normal"/>
    <w:link w:val="Bodytext12"/>
    <w:rsid w:val="00327AFC"/>
    <w:pPr>
      <w:shd w:val="clear" w:color="auto" w:fill="FFFFFF"/>
      <w:spacing w:before="360" w:line="482" w:lineRule="exact"/>
      <w:jc w:val="both"/>
    </w:pPr>
    <w:rPr>
      <w:rFonts w:ascii="Times New Roman" w:eastAsia="Times New Roman" w:hAnsi="Times New Roman" w:cs="Times New Roman"/>
      <w:color w:val="auto"/>
      <w:kern w:val="2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 Karamyan</dc:creator>
  <cp:keywords/>
  <dc:description/>
  <cp:lastModifiedBy>Mher Karamyan</cp:lastModifiedBy>
  <cp:revision>1</cp:revision>
  <dcterms:created xsi:type="dcterms:W3CDTF">2025-09-11T08:44:00Z</dcterms:created>
  <dcterms:modified xsi:type="dcterms:W3CDTF">2025-09-11T08:48:00Z</dcterms:modified>
</cp:coreProperties>
</file>