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A24EC" w14:textId="77777777" w:rsidR="00D54678" w:rsidRPr="00BC4BF5" w:rsidRDefault="00987882" w:rsidP="00490C88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УТВЕРЖДЕНЫ</w:t>
      </w:r>
    </w:p>
    <w:p w14:paraId="59574C65" w14:textId="77777777" w:rsidR="00BF4E27" w:rsidRPr="00B4444A" w:rsidRDefault="00987882" w:rsidP="00490C88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 xml:space="preserve">Решением Высшего Евразийского экономического совета </w:t>
      </w:r>
    </w:p>
    <w:p w14:paraId="051AB6A8" w14:textId="77777777" w:rsidR="00D54678" w:rsidRDefault="00987882" w:rsidP="00490C88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от</w:t>
      </w:r>
      <w:r w:rsidR="00BF4E27" w:rsidRPr="00B4444A">
        <w:rPr>
          <w:rFonts w:ascii="Sylfaen" w:hAnsi="Sylfaen"/>
          <w:sz w:val="24"/>
          <w:szCs w:val="24"/>
        </w:rPr>
        <w:t xml:space="preserve"> _______ </w:t>
      </w:r>
      <w:r w:rsidRPr="00BC4BF5">
        <w:rPr>
          <w:rFonts w:ascii="Sylfaen" w:hAnsi="Sylfaen"/>
          <w:sz w:val="24"/>
          <w:szCs w:val="24"/>
        </w:rPr>
        <w:t>201</w:t>
      </w:r>
      <w:r w:rsidR="00BF4E27" w:rsidRPr="00B4444A">
        <w:rPr>
          <w:rFonts w:ascii="Sylfaen" w:hAnsi="Sylfaen"/>
          <w:sz w:val="24"/>
          <w:szCs w:val="24"/>
        </w:rPr>
        <w:t>_</w:t>
      </w:r>
      <w:r w:rsidRPr="00BC4BF5">
        <w:rPr>
          <w:rFonts w:ascii="Sylfaen" w:hAnsi="Sylfaen"/>
          <w:sz w:val="24"/>
          <w:szCs w:val="24"/>
        </w:rPr>
        <w:t>г. №</w:t>
      </w:r>
    </w:p>
    <w:p w14:paraId="6CDDF716" w14:textId="77777777" w:rsidR="00490C88" w:rsidRPr="00BC4BF5" w:rsidRDefault="00490C88" w:rsidP="00490C88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</w:p>
    <w:p w14:paraId="1A5CFFB4" w14:textId="77777777" w:rsidR="00D54678" w:rsidRPr="00BC4BF5" w:rsidRDefault="00987882" w:rsidP="00490C88">
      <w:pPr>
        <w:pStyle w:val="Bodytext30"/>
        <w:shd w:val="clear" w:color="auto" w:fill="auto"/>
        <w:spacing w:before="0" w:line="240" w:lineRule="auto"/>
        <w:ind w:left="567" w:right="559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Основные направления и этапы реализации</w:t>
      </w:r>
      <w:r w:rsidR="00BC4BF5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скоординированной (согласованной) транспортной политики</w:t>
      </w:r>
      <w:r w:rsidR="00BC4BF5">
        <w:rPr>
          <w:rFonts w:ascii="Sylfaen" w:hAnsi="Sylfaen"/>
          <w:sz w:val="24"/>
          <w:szCs w:val="24"/>
        </w:rPr>
        <w:t xml:space="preserve"> </w:t>
      </w:r>
      <w:r w:rsidR="00012CE0">
        <w:rPr>
          <w:rFonts w:ascii="Sylfaen" w:hAnsi="Sylfaen"/>
          <w:sz w:val="24"/>
          <w:szCs w:val="24"/>
        </w:rPr>
        <w:t>государств-</w:t>
      </w:r>
      <w:r w:rsidRPr="00BC4BF5">
        <w:rPr>
          <w:rFonts w:ascii="Sylfaen" w:hAnsi="Sylfaen"/>
          <w:sz w:val="24"/>
          <w:szCs w:val="24"/>
        </w:rPr>
        <w:t>членов Евразийского экономического союза</w:t>
      </w:r>
    </w:p>
    <w:p w14:paraId="7CCA67D7" w14:textId="77777777" w:rsidR="00490C88" w:rsidRDefault="00490C88" w:rsidP="00BC4BF5">
      <w:pPr>
        <w:pStyle w:val="Bodytext20"/>
        <w:shd w:val="clear" w:color="auto" w:fill="auto"/>
        <w:spacing w:before="0" w:after="120" w:line="240" w:lineRule="auto"/>
        <w:ind w:left="220"/>
        <w:rPr>
          <w:rFonts w:ascii="Sylfaen" w:hAnsi="Sylfaen"/>
          <w:sz w:val="24"/>
          <w:szCs w:val="24"/>
        </w:rPr>
      </w:pPr>
    </w:p>
    <w:p w14:paraId="7BFE9FEF" w14:textId="77777777" w:rsidR="00D54678" w:rsidRDefault="00987882" w:rsidP="00490C88">
      <w:pPr>
        <w:pStyle w:val="Bodytext20"/>
        <w:shd w:val="clear" w:color="auto" w:fill="auto"/>
        <w:spacing w:before="0" w:after="120" w:line="240" w:lineRule="auto"/>
        <w:ind w:left="220"/>
        <w:jc w:val="center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I. Общие положения</w:t>
      </w:r>
    </w:p>
    <w:p w14:paraId="724A8556" w14:textId="77777777" w:rsidR="00490C88" w:rsidRPr="00BC4BF5" w:rsidRDefault="00490C88" w:rsidP="00490C88">
      <w:pPr>
        <w:pStyle w:val="Bodytext20"/>
        <w:shd w:val="clear" w:color="auto" w:fill="auto"/>
        <w:spacing w:before="0" w:after="120" w:line="240" w:lineRule="auto"/>
        <w:ind w:left="220"/>
        <w:jc w:val="center"/>
        <w:rPr>
          <w:rFonts w:ascii="Sylfaen" w:hAnsi="Sylfaen"/>
          <w:sz w:val="24"/>
          <w:szCs w:val="24"/>
        </w:rPr>
      </w:pPr>
    </w:p>
    <w:p w14:paraId="2FEA3BA4" w14:textId="77777777" w:rsidR="00D54678" w:rsidRPr="00BC4BF5" w:rsidRDefault="00987882" w:rsidP="00490C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Настоящие Основные направления разработаны и реализуются в соответствии с Договором о Евразийском экономическом союзе от 29 мая 2014 года (далее -</w:t>
      </w:r>
      <w:r w:rsidRPr="00BC4BF5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BC4BF5">
        <w:rPr>
          <w:rFonts w:ascii="Sylfaen" w:hAnsi="Sylfaen"/>
          <w:sz w:val="24"/>
          <w:szCs w:val="24"/>
        </w:rPr>
        <w:t>Договор о Союзе), а также целями и задачами социально-эко</w:t>
      </w:r>
      <w:r w:rsidR="00012CE0">
        <w:rPr>
          <w:rFonts w:ascii="Sylfaen" w:hAnsi="Sylfaen"/>
          <w:sz w:val="24"/>
          <w:szCs w:val="24"/>
        </w:rPr>
        <w:t>номического развития государств</w:t>
      </w:r>
      <w:r w:rsidRPr="00BC4BF5">
        <w:rPr>
          <w:rFonts w:ascii="Sylfaen" w:hAnsi="Sylfaen"/>
          <w:sz w:val="24"/>
          <w:szCs w:val="24"/>
        </w:rPr>
        <w:t>-членов Евразийского экономического союза (далее соответственно -</w:t>
      </w:r>
      <w:r w:rsidRPr="00BC4BF5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BC4BF5">
        <w:rPr>
          <w:rFonts w:ascii="Sylfaen" w:hAnsi="Sylfaen"/>
          <w:sz w:val="24"/>
          <w:szCs w:val="24"/>
        </w:rPr>
        <w:t>государства-члены, Союз).</w:t>
      </w:r>
    </w:p>
    <w:p w14:paraId="47FEBEBF" w14:textId="77777777" w:rsidR="00D54678" w:rsidRPr="00BC4BF5" w:rsidRDefault="00987882" w:rsidP="00490C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Настоящие Основные направления определяют условия и этапы дальнейшего формирования и развития единого транспортного пространства и общего рынка транспортных услуг Союза в сфере автомобильного, воздушного, водного и железнодорожного транспорта с учетом различий международного правового регулирования, технологических особенностей различных видов транспорта и состояния транспортной инфраструктуры государств-членов.</w:t>
      </w:r>
    </w:p>
    <w:p w14:paraId="12E879C2" w14:textId="77777777" w:rsidR="00D54678" w:rsidRPr="00BC4BF5" w:rsidRDefault="00987882" w:rsidP="00490C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Союз обладает высоким экономическим потенциалом, совокупный объем экономик государств-членов составляет более 2,2 трлн долларов США. Вместе с тем повышение экономического роста требует опережающего развития транспортных услуг для удовлетворения растущего спроса на перевозки в условиях</w:t>
      </w:r>
      <w:r w:rsidR="00490C88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увеличивающегося объема производства товаров. Мировая практика показывает, что прирост промышленного производства на 1 процент вызывает увеличение объема перевозок на 1,5 -</w:t>
      </w:r>
      <w:r w:rsidRPr="00BC4BF5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BC4BF5">
        <w:rPr>
          <w:rFonts w:ascii="Sylfaen" w:hAnsi="Sylfaen"/>
          <w:sz w:val="24"/>
          <w:szCs w:val="24"/>
        </w:rPr>
        <w:t>1,7 процента.</w:t>
      </w:r>
    </w:p>
    <w:p w14:paraId="7B93CF2E" w14:textId="77777777" w:rsidR="00D54678" w:rsidRPr="00BC4BF5" w:rsidRDefault="00987882" w:rsidP="00490C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Выгодное географическое расположение государств-членов между такими мировыми экономическими игроками и рынками, как страны Европейского союза и Юго-Восточной Азии, Китай, вызывает их заинтересованность в развитии интеграции с Союзом, в том числе в рамках инициатив по сопряжению процессов строительства Союза и Экономического пояса Шелкового пути.</w:t>
      </w:r>
    </w:p>
    <w:p w14:paraId="70801164" w14:textId="77777777" w:rsidR="00D54678" w:rsidRPr="00BC4BF5" w:rsidRDefault="00987882" w:rsidP="00490C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Экономические связи между государствами-членами обеспечиваются практически всеми видами транспорта, развитие которых осуществляется во взаимодействии с другими отраслями экономики (машиностроение, топливная энергетика, аграрная промышленность, строительство, горная металлургия, сельское хозяйство и др.), что является одним из важных факторов экономического роста.</w:t>
      </w:r>
    </w:p>
    <w:p w14:paraId="7C2828ED" w14:textId="77777777" w:rsidR="00D54678" w:rsidRPr="00BC4BF5" w:rsidRDefault="00987882" w:rsidP="00490C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lastRenderedPageBreak/>
        <w:t>Государства-члены последовательно развивают существующий потенциал своих транспортных комплексов в соответствии с настоящими Основными направлениями.</w:t>
      </w:r>
    </w:p>
    <w:p w14:paraId="2BB71930" w14:textId="77777777" w:rsidR="00D54678" w:rsidRPr="00BC4BF5" w:rsidRDefault="00987882" w:rsidP="00490C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Государства-члены самостоятельно разрабатывают, формируют и реализуют национальную транспортную политику, в том числе принимают национальные программы развития транспорта и иные меры по реализации транспортной политики, не противоречащие настоящим Основным направлениям.</w:t>
      </w:r>
    </w:p>
    <w:p w14:paraId="2A4E217A" w14:textId="77777777" w:rsidR="00D54678" w:rsidRPr="00BC4BF5" w:rsidRDefault="00987882" w:rsidP="00490C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Положения настоящих Основных направлений не затрагивают прав и обязательств государств-членов, вытекающих из международных договоров, участниками которых они являются.</w:t>
      </w:r>
    </w:p>
    <w:p w14:paraId="12671366" w14:textId="77777777" w:rsidR="00D54678" w:rsidRPr="00BC4BF5" w:rsidRDefault="00987882" w:rsidP="00490C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Для целей настоящих Основных направлений используются понятия, которые означают следующее:</w:t>
      </w:r>
    </w:p>
    <w:p w14:paraId="175FEDE0" w14:textId="77777777" w:rsidR="00D54678" w:rsidRPr="00BC4BF5" w:rsidRDefault="00987882" w:rsidP="00490C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«евразийский транспортный коридор» -</w:t>
      </w:r>
      <w:r w:rsidRPr="00BC4BF5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BC4BF5">
        <w:rPr>
          <w:rFonts w:ascii="Sylfaen" w:hAnsi="Sylfaen"/>
          <w:sz w:val="24"/>
          <w:szCs w:val="24"/>
        </w:rPr>
        <w:t>совокупность маршрутов, интегрированных в том числе в сеть международных транспортных коридоров, проход</w:t>
      </w:r>
      <w:r w:rsidR="00012CE0">
        <w:rPr>
          <w:rFonts w:ascii="Sylfaen" w:hAnsi="Sylfaen"/>
          <w:sz w:val="24"/>
          <w:szCs w:val="24"/>
        </w:rPr>
        <w:t>ящих по территориям государств-</w:t>
      </w:r>
      <w:r w:rsidRPr="00BC4BF5">
        <w:rPr>
          <w:rFonts w:ascii="Sylfaen" w:hAnsi="Sylfaen"/>
          <w:sz w:val="24"/>
          <w:szCs w:val="24"/>
        </w:rPr>
        <w:t>членов и обеспечивающих перевозки пассажиров и грузов в международном сообщении на направлениях их наибольшей концентрации, а также совокупность технологических и организационно-правовых условий осуществления этих перевозок;</w:t>
      </w:r>
    </w:p>
    <w:p w14:paraId="5635583B" w14:textId="77777777" w:rsidR="00D54678" w:rsidRPr="00BC4BF5" w:rsidRDefault="00987882" w:rsidP="00490C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«интеллектуальная транспортная система» -</w:t>
      </w:r>
      <w:r w:rsidRPr="00BC4BF5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BC4BF5">
        <w:rPr>
          <w:rFonts w:ascii="Sylfaen" w:hAnsi="Sylfaen"/>
          <w:sz w:val="24"/>
          <w:szCs w:val="24"/>
        </w:rPr>
        <w:t>совокупность информационных и коммуникационных технологий, применяемых в области транспорта и инфраструктуры;</w:t>
      </w:r>
    </w:p>
    <w:p w14:paraId="5786AF91" w14:textId="77777777" w:rsidR="00D54678" w:rsidRPr="00BC4BF5" w:rsidRDefault="00987882" w:rsidP="00490C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«прямая смешанная перевозка» -</w:t>
      </w:r>
      <w:r w:rsidRPr="00BC4BF5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BC4BF5">
        <w:rPr>
          <w:rFonts w:ascii="Sylfaen" w:hAnsi="Sylfaen"/>
          <w:sz w:val="24"/>
          <w:szCs w:val="24"/>
        </w:rPr>
        <w:t>перевозка двумя или более видами транспорта по единому перевозочному документу, оформленному на весь маршрут следования.</w:t>
      </w:r>
    </w:p>
    <w:p w14:paraId="650A293C" w14:textId="77777777" w:rsidR="00D54678" w:rsidRPr="00BC4BF5" w:rsidRDefault="00987882" w:rsidP="00490C8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Иные понятия, используемые в настоящих Основных направлениях, понимаются в значениях, определенных Договором о Союзе.</w:t>
      </w:r>
    </w:p>
    <w:p w14:paraId="51DCE1A6" w14:textId="77777777" w:rsidR="00490C88" w:rsidRDefault="00490C88" w:rsidP="00BC4BF5">
      <w:pPr>
        <w:pStyle w:val="Bodytext2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</w:rPr>
      </w:pPr>
    </w:p>
    <w:p w14:paraId="21C98B00" w14:textId="77777777" w:rsidR="00D54678" w:rsidRDefault="00987882" w:rsidP="001E1638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II. Основные направления и этапы реализации скоординированной</w:t>
      </w:r>
      <w:r w:rsidR="00BC4BF5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(согласованной) транспортной политики государств-членов</w:t>
      </w:r>
    </w:p>
    <w:p w14:paraId="4BE655D7" w14:textId="77777777" w:rsidR="001E1638" w:rsidRPr="00BC4BF5" w:rsidRDefault="001E1638" w:rsidP="001E1638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</w:p>
    <w:p w14:paraId="5E7806F3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Государства-члены</w:t>
      </w:r>
      <w:r w:rsidR="00BC4BF5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проводят</w:t>
      </w:r>
      <w:r w:rsidR="00BC4BF5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скоординированную</w:t>
      </w:r>
      <w:r w:rsidR="00197E6B" w:rsidRPr="00BC4BF5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(согласованную) транспортную политику, направленную на последовательное и поэтапное формирование единого транспортного пространства на принципах конкуренции, открытости, безопасности, надежности, доступности и экологичности и создание общего рынка транспортных услуг Союза, где создаются равные (паритетные) условия</w:t>
      </w:r>
      <w:r w:rsidR="00453635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оказания транспортных услуг с учетом особенностей, предусмотренных Договором о Союзе.</w:t>
      </w:r>
    </w:p>
    <w:p w14:paraId="3DAF7D0E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Реализация настоящих Основных направлений осуществляется государствами-членами поэтапно с учетом:</w:t>
      </w:r>
    </w:p>
    <w:p w14:paraId="105D67B1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 xml:space="preserve">договоренностей государств-членов по вопросам транспорта, закрепленных в </w:t>
      </w:r>
      <w:r w:rsidRPr="00BC4BF5">
        <w:rPr>
          <w:rFonts w:ascii="Sylfaen" w:hAnsi="Sylfaen"/>
          <w:sz w:val="24"/>
          <w:szCs w:val="24"/>
        </w:rPr>
        <w:lastRenderedPageBreak/>
        <w:t>Договоре о Союзе;</w:t>
      </w:r>
    </w:p>
    <w:p w14:paraId="6A5FB077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национальных интересов каждого из государств-членов, уровня их экономического развития, степени развития национального рынка транспортных услуг;</w:t>
      </w:r>
    </w:p>
    <w:p w14:paraId="7401A3CA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особенностей регулирования транспортного сектора экономики и специфики его отраслей;</w:t>
      </w:r>
    </w:p>
    <w:p w14:paraId="7DF55F0F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обязательств государств-членов, принятых ими при вступлении во Всемирную торговую организацию, а также в рамках международных договоров;</w:t>
      </w:r>
    </w:p>
    <w:p w14:paraId="494CCB31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возможностей разработки и применения по взаимному согласию государств-членов общих подходов в целях обеспечения общих преимуществ на глобальном рынке транспортных услуг.</w:t>
      </w:r>
    </w:p>
    <w:p w14:paraId="221C03AC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Отдельные положения настоящих Основных направлений реализуются посредством заключения международных договоров и принятия актов органами Союза.</w:t>
      </w:r>
    </w:p>
    <w:p w14:paraId="27C5B467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Государства-члены поэтапно проводят мероприятия по формированию единого транспортного пространства и созданию общего рынка транспортных услуг Союза, исходя из особенностей отраслевого развития и положений, закрепленных в Договоре о Союзе для отдельных видов транспорта.</w:t>
      </w:r>
    </w:p>
    <w:p w14:paraId="66A6A1DE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Государства-члены</w:t>
      </w:r>
      <w:r w:rsidR="00BC4BF5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проводят</w:t>
      </w:r>
      <w:r w:rsidR="00BC4BF5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скоординированную</w:t>
      </w:r>
      <w:r w:rsidR="00453635" w:rsidRPr="00BC4BF5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(согласованную) транспортную политику по созданию общего рынка транспортных услуг Союза в сфере автомобильного, воздушного, водного и железнодорожного транспорта с учетом положений соответствующих разделов настоящих Основных направлений.</w:t>
      </w:r>
    </w:p>
    <w:p w14:paraId="219CA24F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Порядок, условия и этапность либерализации транспортных услуг определяются в международных договорах в рамках Союза. При этом для отдельных государств-членов могут предусматриваться более поздние сроки либерализации, что не является препятствием для других государств-членов осуществлять деятельность по формированию общего рынка транспортных услуг Союза.</w:t>
      </w:r>
    </w:p>
    <w:p w14:paraId="110B7051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Цели настоящих Основных направлений достигаются путем решения следующих задач:</w:t>
      </w:r>
    </w:p>
    <w:p w14:paraId="7EE08F11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принятие согласованных мер по обеспечению общих преимуществ в сфере транспорта и реализация наилучших международных практик, в том числе содействие более полной реализации географических преимуществ Союза при осуществлении транзитных транспортно-экономических связей между Европой и Азией, изучение, анализ и согласованное внедрение передового зарубежного опыта;</w:t>
      </w:r>
    </w:p>
    <w:p w14:paraId="07DD6F7F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интеграция транспортных систем государств-членов в мировую транспортную систему, в рамках которой государства-члены:</w:t>
      </w:r>
    </w:p>
    <w:p w14:paraId="550B1967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определяют перечень международных договоров в области транспорта, по которым возможна выработка скоординированных позиций в целях учета интересов государств-членов в международных организациях;</w:t>
      </w:r>
    </w:p>
    <w:p w14:paraId="25DA5C16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lastRenderedPageBreak/>
        <w:t>создают условия для увеличения объемов и расширения географии экспорта транспортных услуг субъектами транспортной деятельности государств-членов;</w:t>
      </w:r>
    </w:p>
    <w:p w14:paraId="450B7F66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реализуют совместные проекты в сфере транспорта и инфраструктуры в рамках сопряжения процесса строительства Союза с международными транспортными инициативами;</w:t>
      </w:r>
    </w:p>
    <w:p w14:paraId="652349DD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эффективное использование Союзом своего транзитного потенциала, что предусматривает:</w:t>
      </w:r>
    </w:p>
    <w:p w14:paraId="15D58D03" w14:textId="77777777" w:rsidR="0045363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 xml:space="preserve">повышение привлекательности транспортной инфраструктуры; </w:t>
      </w:r>
    </w:p>
    <w:p w14:paraId="3C8F6AE1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оптимальные условия (гибкие привлекательные тарифы, оптимизацию и упрощение видов контроля, совершенствование логистических технологий и др.) для осуществления международных перевозок пассажиров и грузов;</w:t>
      </w:r>
    </w:p>
    <w:p w14:paraId="65041BD1" w14:textId="77777777" w:rsidR="0045363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 xml:space="preserve">разработку и реализацию программ, способствующих развитию транзитных и мультимодальных перевозок пассажиров и грузов; </w:t>
      </w:r>
    </w:p>
    <w:p w14:paraId="69AC1836" w14:textId="77777777" w:rsidR="0045363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 xml:space="preserve">повышение качества транспортных услуг путем: </w:t>
      </w:r>
    </w:p>
    <w:p w14:paraId="0A29B00E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внедрения успешного передового опыта и наилучших международных практик в области пассажирских и грузовых перевозок, обеспечения транспортной доступности, регулярности и комфорта для пассажиров, применения передовых логистических технологий в области доставки грузов;</w:t>
      </w:r>
    </w:p>
    <w:p w14:paraId="7C53B3CB" w14:textId="77777777" w:rsidR="0045363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 xml:space="preserve">создания условий для обновления подвижного состава; </w:t>
      </w:r>
    </w:p>
    <w:p w14:paraId="3225611E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развития систем информационного обеспечения потребителей услуг пассажирских перевозок;</w:t>
      </w:r>
    </w:p>
    <w:p w14:paraId="5F0B84CD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создания условий для беспрепятственного, удобного и</w:t>
      </w:r>
      <w:r w:rsidR="00BC4BF5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безопасного доступа лиц с ограниченными физическими</w:t>
      </w:r>
      <w:r w:rsidR="00453635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возможностями к транспортной инфраструктуре и транспортным средствам общественного пассажирского транспорта;</w:t>
      </w:r>
    </w:p>
    <w:p w14:paraId="57F2A28F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обеспечение безопасности на транспорте, совершенствование законодательства государств-членов в этой сфере, в том числе с учетом</w:t>
      </w:r>
      <w:r w:rsidR="00453635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положений международных договоров, участниками которых являются государства-члены;</w:t>
      </w:r>
    </w:p>
    <w:p w14:paraId="12532BFB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снижение вредного воздействия транспорта на окружающую среду и здоровье человека, внедрение альтернативных видов топлива и возобновляемых источников энергии с целью снижения выбросов парниковых газов и увеличения доли применения экономичных и экологичных транспортных средств;</w:t>
      </w:r>
    </w:p>
    <w:p w14:paraId="1BCB0278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формирование благоприятного инвестиционного климата, стимулирование привлечения капитальных вложений в развитие проектов в сфере транспорта, в том числе посредством разработки и внедрения инновационных технологий, снижения ресурсоемкости перевозок и их воздействия на окружающую среду, широкого внедрения в практику механизмов государственно-частного партнерства и концессионных соглашений, а также создание иных условий для повышения инвестиционной привлекательности.</w:t>
      </w:r>
    </w:p>
    <w:p w14:paraId="562A779B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lastRenderedPageBreak/>
        <w:t>Реализация настоящих Основных направлений осуществляется с учетом следующих приоритетов:</w:t>
      </w:r>
    </w:p>
    <w:p w14:paraId="363B501F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создание и развитие евразийских транспортных коридоров посредством:</w:t>
      </w:r>
    </w:p>
    <w:p w14:paraId="1C7D94CC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согласованного установления государствами-членами транспортных коридоров и маршрутов;</w:t>
      </w:r>
    </w:p>
    <w:p w14:paraId="18C2204B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обеспечения технологической совместимости евразийских транспортных коридоров;</w:t>
      </w:r>
    </w:p>
    <w:p w14:paraId="6A5D89FA" w14:textId="77777777" w:rsidR="0045363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 xml:space="preserve">координации планирования и диспетчеризации трафика; </w:t>
      </w:r>
    </w:p>
    <w:p w14:paraId="21832685" w14:textId="77777777" w:rsidR="0045363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 xml:space="preserve">согласования привлекательных и гибких тарифных условий; </w:t>
      </w:r>
    </w:p>
    <w:p w14:paraId="3F6988F8" w14:textId="77777777" w:rsidR="0045363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 xml:space="preserve">упрощения процедур таможенного и иных видов контроля; </w:t>
      </w:r>
    </w:p>
    <w:p w14:paraId="4EB864F7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развития прямых смешанных перевозок;</w:t>
      </w:r>
    </w:p>
    <w:p w14:paraId="13062D87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внедрения интеллектуальных транспортных систем (в том числе информационных систем) и применения современных технических средств (технического оснащения), позволяющих упростить передачу информации о товарах и транспортных средствах;</w:t>
      </w:r>
    </w:p>
    <w:p w14:paraId="6F0D46B1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развития современного придорожного и сопутствующего сервиса;</w:t>
      </w:r>
    </w:p>
    <w:p w14:paraId="6B5DEC69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реализация и развитие транзитного потенциала в рамках Союза, разработка и реализация мер, направленных на расширение евразийских транспортных связей, обеспечение свободы транзита с учетом договоренностей государств-членов по вопросам развития различных видов транспорта, устранение барьеров и упрощение процедур, влияющих на перемещение пассажиров и грузов;</w:t>
      </w:r>
    </w:p>
    <w:p w14:paraId="0D435895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координация развития транспортной инфраструктуры, в рамках которой государства-члены:</w:t>
      </w:r>
    </w:p>
    <w:p w14:paraId="6BA9F6E9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взаимно информируют о планируемых к реализации проектах по созданию или совершенствованию объектов транспортной инфраструктуры;</w:t>
      </w:r>
    </w:p>
    <w:p w14:paraId="72723DFB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обеспечивают увязку планируемых к реализации кооперационных проектов по развитию объектов индустриально- инновационной инфраструктуры (промышленных кластеров, индустриальных парков и технопарков) с реализуемыми и планируемыми к реализации проектами создания объектов транспортной инфраструктуры в государствах-членах;</w:t>
      </w:r>
    </w:p>
    <w:p w14:paraId="23C0B168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обеспечивают устранение «узких мест» сопредельной инфраструктуры, техническое оснащение стыковых пунктов и пунктов пропуска с учетом экономической целесообразности;</w:t>
      </w:r>
    </w:p>
    <w:p w14:paraId="3262B9ED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создание логистических центров и транспортных организаций, обеспечивающих оптимизацию процессов перевозки, взаимное информирование о реализации национальных проектов и программ, направленных на развитие транспортно-логистической инфраструктуры государств-членов, увеличение доли государств-членов на глобальном рынке транспортно-логистических услуг;</w:t>
      </w:r>
    </w:p>
    <w:p w14:paraId="10837618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lastRenderedPageBreak/>
        <w:t>привлечение и использование кадрового потенциала путем создания условий для рационального использования высокопрофессиональных специалистов в области транспорта, гармонизации профессиональных и квалификационных требований к специалистам, развития сотрудничества в сфере обучения, а также подготовки, переподготовки и повышения квалификации специалистов, развития конкурентоспособных центров, обеспечивающих подготовку кадров и повышение квалификации персонала;</w:t>
      </w:r>
    </w:p>
    <w:p w14:paraId="1E5624A7" w14:textId="77777777" w:rsidR="0045363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 xml:space="preserve">развитие науки и инноваций в сфере транспорта, в том числе: </w:t>
      </w:r>
    </w:p>
    <w:p w14:paraId="69C8DB67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 xml:space="preserve">создание условий для планирования и проведения совместных исследований в целях разработки и внедрения инновационных технологий и интеллектуальных транспортных систем, энергосберегающих технологий, экологических («зеленых») технологий, в том числе технологий, расширяющих использование альтернативных видов топлива и позволяющих снижать объемы выброса парниковых газов, скоростных и высокоскоростных транспортных систем, навигационных спутниковых систем </w:t>
      </w:r>
      <w:r w:rsidRPr="00BC4BF5">
        <w:rPr>
          <w:rFonts w:ascii="Sylfaen" w:hAnsi="Sylfaen"/>
          <w:sz w:val="24"/>
          <w:szCs w:val="24"/>
          <w:lang w:val="en-US" w:eastAsia="en-US" w:bidi="en-US"/>
        </w:rPr>
        <w:t>GPS</w:t>
      </w:r>
      <w:r w:rsidRPr="00BC4BF5">
        <w:rPr>
          <w:rFonts w:ascii="Sylfaen" w:hAnsi="Sylfaen"/>
          <w:sz w:val="24"/>
          <w:szCs w:val="24"/>
        </w:rPr>
        <w:t>/ГЛОНАСС, информационных технологий организации перевозок, беспилотных транспортных средств;</w:t>
      </w:r>
    </w:p>
    <w:p w14:paraId="5995FC39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формирование и развитие совместных современных, конкурентоспособных научно-образовательных центров;</w:t>
      </w:r>
    </w:p>
    <w:p w14:paraId="69F9EF92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расширение научно-технического сотрудничества, обмена информацией, передовым опытом («ноу-хау») с целью развития транспортных технологий.</w:t>
      </w:r>
    </w:p>
    <w:p w14:paraId="34689E37" w14:textId="77777777" w:rsidR="00453635" w:rsidRDefault="00453635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14:paraId="2C8A6638" w14:textId="77777777" w:rsidR="00D54678" w:rsidRPr="00BC4BF5" w:rsidRDefault="00987882" w:rsidP="00453635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Автомобильный транспорт</w:t>
      </w:r>
    </w:p>
    <w:p w14:paraId="54803BB3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 xml:space="preserve">Одним из основных направлений скоординированной (согласованной) транспортной политики государств-членов в сфере автомобильного транспорта является реализация Программы поэтапной либерализации выполнения перевозчиками, зарегистрированными на </w:t>
      </w:r>
      <w:r w:rsidR="00012CE0">
        <w:rPr>
          <w:rFonts w:ascii="Sylfaen" w:hAnsi="Sylfaen"/>
          <w:sz w:val="24"/>
          <w:szCs w:val="24"/>
        </w:rPr>
        <w:t>территории одного из государств</w:t>
      </w:r>
      <w:r w:rsidRPr="00BC4BF5">
        <w:rPr>
          <w:rFonts w:ascii="Sylfaen" w:hAnsi="Sylfaen"/>
          <w:sz w:val="24"/>
          <w:szCs w:val="24"/>
        </w:rPr>
        <w:t>-членов Евразийского экономического союза, автомобильных перевозок грузов между пунктами, расположенными на</w:t>
      </w:r>
      <w:r w:rsidR="00012CE0">
        <w:rPr>
          <w:rFonts w:ascii="Sylfaen" w:hAnsi="Sylfaen"/>
          <w:sz w:val="24"/>
          <w:szCs w:val="24"/>
        </w:rPr>
        <w:t xml:space="preserve"> территории другого государства</w:t>
      </w:r>
      <w:r w:rsidRPr="00BC4BF5">
        <w:rPr>
          <w:rFonts w:ascii="Sylfaen" w:hAnsi="Sylfaen"/>
          <w:sz w:val="24"/>
          <w:szCs w:val="24"/>
        </w:rPr>
        <w:t>-члена Евразийского экономического союза, на период с 2016 по 2025 годы, утвержденной Решением Высшего Евразийского экономического совета от 8 мая 2015 г. № 13.</w:t>
      </w:r>
    </w:p>
    <w:p w14:paraId="567F1532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Основными направлениями скоординированной (согласованной) транспортной политики государств-членов в сфере автомобильного транспорта являются следующие.</w:t>
      </w:r>
    </w:p>
    <w:p w14:paraId="645D10D4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Развитие интеллектуальных транспортных систем.</w:t>
      </w:r>
    </w:p>
    <w:p w14:paraId="615B83E8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Этапы реализации:</w:t>
      </w:r>
    </w:p>
    <w:p w14:paraId="0EE054E5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анализ существующих в государствах-членах интеллектуальных транспортных систем;</w:t>
      </w:r>
    </w:p>
    <w:p w14:paraId="4F258119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выработка и принятие согласованных подходов по взаимодействию национальных интеллектуальных транспортных систем;</w:t>
      </w:r>
    </w:p>
    <w:p w14:paraId="6CD686DA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lastRenderedPageBreak/>
        <w:t>совершенствование</w:t>
      </w:r>
      <w:r w:rsidR="00BC4BF5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взаимодействия</w:t>
      </w:r>
      <w:r w:rsidR="00BC4BF5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национальных</w:t>
      </w:r>
      <w:r w:rsidR="00453635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интеллектуальных транспортных систем.</w:t>
      </w:r>
    </w:p>
    <w:p w14:paraId="7D00532D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Развитие пассажирских перевозок.</w:t>
      </w:r>
    </w:p>
    <w:p w14:paraId="1083DA77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Этапы реализации:</w:t>
      </w:r>
    </w:p>
    <w:p w14:paraId="2D60B71C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анализ современного состояния рынка пассажирских перевозок в государствах-членах;</w:t>
      </w:r>
    </w:p>
    <w:p w14:paraId="725D89A1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выработка и принятие согласованных подходов по совершенствованию организации и контроля автомобильных пассажирских перевозок;</w:t>
      </w:r>
    </w:p>
    <w:p w14:paraId="0975EB3D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создание и развитие информационного обеспечения рынка услуг пассажирских перевозок.</w:t>
      </w:r>
    </w:p>
    <w:p w14:paraId="0BCE3F7B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Развитие и обеспечение сохранности инфраструктуры автомобильных дорог.</w:t>
      </w:r>
    </w:p>
    <w:p w14:paraId="02660DA1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Этапы реализации:</w:t>
      </w:r>
    </w:p>
    <w:p w14:paraId="202598F4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проведение анализа эксплуатационных характеристик автомобильных дорог государств-членов, входящих в евразийские транспортные коридоры;</w:t>
      </w:r>
    </w:p>
    <w:p w14:paraId="5D699CB6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установление на основе проведенного анализа согласованных требований к предельно допустимым массам, осевым нагрузкам, габаритам автотранспортных средств и сроков начала их применения для движения по евразийским транспортным коридорам;</w:t>
      </w:r>
    </w:p>
    <w:p w14:paraId="37ADDB51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установление требований к предельно допустимым массам, осевым нагрузкам, габаритам автотранспортных средств при осуществлении международных автомобильных перевозок в соответствии с техническим регламентом Таможенного союза «Безопасность автомобильных дорог» (ГР ТС 014/2011), принятым Решением Комиссии Таможенного союза от 18 октября 2011 г. № 827;</w:t>
      </w:r>
    </w:p>
    <w:p w14:paraId="23C38D2A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совершенствование механизма контроля за въездом (выездом) и перемещением крупногабаритных и (или) тяжеловесных</w:t>
      </w:r>
      <w:r w:rsidR="00453635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автотранспортных средств на территорию (по территории, с территории) государств-членов с учет</w:t>
      </w:r>
      <w:r w:rsidR="00012CE0">
        <w:rPr>
          <w:rFonts w:ascii="Sylfaen" w:hAnsi="Sylfaen"/>
          <w:sz w:val="24"/>
          <w:szCs w:val="24"/>
        </w:rPr>
        <w:t>ом законодательства государств-</w:t>
      </w:r>
      <w:r w:rsidRPr="00BC4BF5">
        <w:rPr>
          <w:rFonts w:ascii="Sylfaen" w:hAnsi="Sylfaen"/>
          <w:sz w:val="24"/>
          <w:szCs w:val="24"/>
        </w:rPr>
        <w:t>членов, по автомобильным дорогам которых осуществляется движение, в части допустимых весовых и габаритных параметров автотранспортных средств;</w:t>
      </w:r>
    </w:p>
    <w:p w14:paraId="200B5CD3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совершенствование требований по обеспечению безопасности дорожного движения.</w:t>
      </w:r>
    </w:p>
    <w:p w14:paraId="6EF4D8F3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Повышение качества автотранспортных услуг и эффективности использования транзитного потенциала государств-членов.</w:t>
      </w:r>
    </w:p>
    <w:p w14:paraId="4233DB5D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Этапы реализации:</w:t>
      </w:r>
    </w:p>
    <w:p w14:paraId="5A7346A4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выявление и устранение барьеров, препятствующих развитию автомобильного сообщения между государствами-членами и оказанию услуг автомобильного транспорта;</w:t>
      </w:r>
    </w:p>
    <w:p w14:paraId="1369E2D7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 xml:space="preserve">создание благоприятных условий для развития евразийских транспортных коридоров и транспортной инфраструктуры, включая придорожный и </w:t>
      </w:r>
      <w:r w:rsidRPr="00BC4BF5">
        <w:rPr>
          <w:rFonts w:ascii="Sylfaen" w:hAnsi="Sylfaen"/>
          <w:sz w:val="24"/>
          <w:szCs w:val="24"/>
        </w:rPr>
        <w:lastRenderedPageBreak/>
        <w:t>сопутствующий сервис;</w:t>
      </w:r>
    </w:p>
    <w:p w14:paraId="602FFCBD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организация взаимодействия к</w:t>
      </w:r>
      <w:r w:rsidR="00012CE0">
        <w:rPr>
          <w:rFonts w:ascii="Sylfaen" w:hAnsi="Sylfaen"/>
          <w:sz w:val="24"/>
          <w:szCs w:val="24"/>
        </w:rPr>
        <w:t>омпетентных органов государств-</w:t>
      </w:r>
      <w:r w:rsidRPr="00BC4BF5">
        <w:rPr>
          <w:rFonts w:ascii="Sylfaen" w:hAnsi="Sylfaen"/>
          <w:sz w:val="24"/>
          <w:szCs w:val="24"/>
        </w:rPr>
        <w:t>членов по синхронизации процедур оформления и выдачи специальных разрешений на проезд тяжеловесных и (или) крупногабаритных автотранспортных средств и перевозку опасных грузов при осуществлении международных автомобильных перевозок по евразийским транспортным коридорам;</w:t>
      </w:r>
    </w:p>
    <w:p w14:paraId="2BFFC610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изучение существующей практики урегулирования спорных ситуаций, возникающих на внешней границе Союза с перевозчиками третьих стран, возврата автотранспортных средств в случае нарушения установленных требований по выполнению условий международных автомобильных перевозок по территории Союза и выработка общих подходов (при необходимости);</w:t>
      </w:r>
    </w:p>
    <w:p w14:paraId="0E5E20C4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анализ состояния парка автот</w:t>
      </w:r>
      <w:r w:rsidR="00012CE0">
        <w:rPr>
          <w:rFonts w:ascii="Sylfaen" w:hAnsi="Sylfaen"/>
          <w:sz w:val="24"/>
          <w:szCs w:val="24"/>
        </w:rPr>
        <w:t>ранспортных средств государств-</w:t>
      </w:r>
      <w:r w:rsidRPr="00BC4BF5">
        <w:rPr>
          <w:rFonts w:ascii="Sylfaen" w:hAnsi="Sylfaen"/>
          <w:sz w:val="24"/>
          <w:szCs w:val="24"/>
        </w:rPr>
        <w:t>членов, выработка и принятие согласованных мер для создания благоприятных условий по его обновлению.</w:t>
      </w:r>
    </w:p>
    <w:p w14:paraId="4C1BC795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Обеспечение профессиональной компетентности работников, связанных с осуществлением международных автомобильных перевозок.</w:t>
      </w:r>
    </w:p>
    <w:p w14:paraId="60C48ACD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Этапы реализации:</w:t>
      </w:r>
    </w:p>
    <w:p w14:paraId="6F0DB4FC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анализ законодательства государств-членов, регулирующего вопросы профессиональной подготовки водителей и специалистов, ответственных за организацию международных автомобильных перевозок;</w:t>
      </w:r>
    </w:p>
    <w:p w14:paraId="7BE51191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выработка и принятие согласованных подходов по гармонизации профессиональных и квалификационных требований к специалистам;</w:t>
      </w:r>
    </w:p>
    <w:p w14:paraId="1DDFE8C8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гармонизация на основе принятых согласованных подходов профессиональных и квалификационных требований к работникам юридических лиц и индивидуальных предприн</w:t>
      </w:r>
      <w:r w:rsidR="00012CE0">
        <w:rPr>
          <w:rFonts w:ascii="Sylfaen" w:hAnsi="Sylfaen"/>
          <w:sz w:val="24"/>
          <w:szCs w:val="24"/>
        </w:rPr>
        <w:t>имателей государств-</w:t>
      </w:r>
      <w:r w:rsidRPr="00BC4BF5">
        <w:rPr>
          <w:rFonts w:ascii="Sylfaen" w:hAnsi="Sylfaen"/>
          <w:sz w:val="24"/>
          <w:szCs w:val="24"/>
        </w:rPr>
        <w:t>членов, осуществляющих международные автомобильные перевозки, гармонизация требований к документам, удостоверяющим образование и наличие необходимой квалификации, к соответствующим учебным центрам и образовательным организациям, к контролю качества образования, его научно-методическому обеспечению.</w:t>
      </w:r>
    </w:p>
    <w:p w14:paraId="31F1F2EF" w14:textId="77777777" w:rsidR="00453635" w:rsidRDefault="00453635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14:paraId="2A019018" w14:textId="77777777" w:rsidR="00D54678" w:rsidRPr="00BC4BF5" w:rsidRDefault="00987882" w:rsidP="00453635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Воздушный транспорт</w:t>
      </w:r>
    </w:p>
    <w:p w14:paraId="1901B752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Согласно разделу III Протокола о скоординированной (согласованной) транспортной политике (приложение № 24 к Договору</w:t>
      </w:r>
      <w:r w:rsidR="00453635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о Союзе) развитие воздушного транспорта в Союзе предусматривает поэтапное формирование общего рынка услуг воздушного транспорта.</w:t>
      </w:r>
    </w:p>
    <w:p w14:paraId="71E28D04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Воздушное сообщение между государствами-членами регулируется положениями международных договоров, в том числе двусторонних.</w:t>
      </w:r>
    </w:p>
    <w:p w14:paraId="1B48D68E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Развитие гражданской авиации государств-членов, организация и координация международного сотрудничества по вопросам авиаперевозок между государствами-</w:t>
      </w:r>
      <w:r w:rsidRPr="00BC4BF5">
        <w:rPr>
          <w:rFonts w:ascii="Sylfaen" w:hAnsi="Sylfaen"/>
          <w:sz w:val="24"/>
          <w:szCs w:val="24"/>
        </w:rPr>
        <w:lastRenderedPageBreak/>
        <w:t>членами осуществляются в рамках Конвенции о международной гражданской авиации от 7 декабря 1944 года (далее -</w:t>
      </w:r>
      <w:r w:rsidRPr="00BC4BF5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BC4BF5">
        <w:rPr>
          <w:rFonts w:ascii="Sylfaen" w:hAnsi="Sylfaen"/>
          <w:sz w:val="24"/>
          <w:szCs w:val="24"/>
        </w:rPr>
        <w:t>Конвенция).</w:t>
      </w:r>
    </w:p>
    <w:p w14:paraId="545BC20D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Основными направлениями скоординированной (согласованной) транспортной политики государств-членов в сфере воздушного транспорта являются следующие.</w:t>
      </w:r>
    </w:p>
    <w:p w14:paraId="5F305CF7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Гармонизация</w:t>
      </w:r>
      <w:r w:rsidR="00BC4BF5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законодательства</w:t>
      </w:r>
      <w:r w:rsidR="00BC4BF5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государств-членов</w:t>
      </w:r>
      <w:r w:rsidR="006B2883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в соответствии с нормами и принципами международного права в области гражданской авиации.</w:t>
      </w:r>
    </w:p>
    <w:p w14:paraId="5D6B4D50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Этапы реализации:</w:t>
      </w:r>
    </w:p>
    <w:p w14:paraId="7881F13E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анализ законодательства государств-членов в области гражданской авиации на соответствие стандартам и рекомендуемой практике Международной организации гражданской авиации (ИКАО);</w:t>
      </w:r>
    </w:p>
    <w:p w14:paraId="2C10C90B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выработка и принятие согласованных подходов по изменению законодательства государств-членов в области гражданской авиации;</w:t>
      </w:r>
    </w:p>
    <w:p w14:paraId="1AFD65AB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приведение нормативно-правовой базы государств-членов в области гражданской авиации в соответствие с принятыми согласованными подходами.</w:t>
      </w:r>
    </w:p>
    <w:p w14:paraId="06320D38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Снижение негативного воздействия гражданской авиации на окружающую среду.</w:t>
      </w:r>
    </w:p>
    <w:p w14:paraId="4931C462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Этапы реализации:</w:t>
      </w:r>
    </w:p>
    <w:p w14:paraId="1547AF6F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оценка соответствия парка воздушных судов авиационных компаний государств-членов требованиям ИКАО в отношении авиационного шума;</w:t>
      </w:r>
    </w:p>
    <w:p w14:paraId="7A21E1E7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выработка и принятие согласованных подходов по эксплуатации воздушных судов с учетом требований ИКАО в отношении авиационного шума при регулярных воздушных сообщениях в государствах-членах.</w:t>
      </w:r>
    </w:p>
    <w:p w14:paraId="00E45E0C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Обеспечение справедливой и добросовестной конкуренции.</w:t>
      </w:r>
    </w:p>
    <w:p w14:paraId="53F8A10A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Этапы реализации:</w:t>
      </w:r>
    </w:p>
    <w:p w14:paraId="0446DCB2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выявление и устранение барьеров (проблемных вопросов) в области гражданской авиации, препятствующих развитию конкуренции на рынке перевозок воздушным транспортом между государствами-членами;</w:t>
      </w:r>
    </w:p>
    <w:p w14:paraId="2D8D525C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анализ проводимой тарифной политики и применяемых регулируемых тарифов на аэронавигационное обслуживание и услуги аэропортов государств-членов, а также условий доступа к услугам аэропортов и аэронавигации государств-членов;</w:t>
      </w:r>
    </w:p>
    <w:p w14:paraId="219D6805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выработка и принятие согласованных подходов по применению равных (недискриминационных) тарифных условий при оказании услуг аэропортов и аэронавигации;</w:t>
      </w:r>
    </w:p>
    <w:p w14:paraId="2EAC3E11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 xml:space="preserve">недопущение создания неравных (дискриминационных) условий для авиакомпаний государств-членов, назначенных и уполномоченных в соответствии с международными договорами о воздушном сообщении, при выполнении регулярных воздушных перевозок между государствами-членами, а также взимания </w:t>
      </w:r>
      <w:r w:rsidRPr="00BC4BF5">
        <w:rPr>
          <w:rFonts w:ascii="Sylfaen" w:hAnsi="Sylfaen"/>
          <w:sz w:val="24"/>
          <w:szCs w:val="24"/>
        </w:rPr>
        <w:lastRenderedPageBreak/>
        <w:t>дополнительных платежей с авиакомпаний государств-членов за использование воздушного пространства;</w:t>
      </w:r>
    </w:p>
    <w:p w14:paraId="20D5D923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беспрепятственное предоставление права на техническую посадку с некоммерческими целями в международных аэропортах государств-членов авиакомпаниям другого государства-члена;</w:t>
      </w:r>
    </w:p>
    <w:p w14:paraId="46F7C7B7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обеспечение равного (недискриминационного) доступа авиакомпаний государств-членов к наземной инфраструктуре аэропортов, в том числе выработка и принятие согласованных подходов по регулированию доступа авиакомпаний государств-членов к услугам аэропортов и аэронавигации на условиях не менее благоприятных, чем условия, созданные для авиакомпа</w:t>
      </w:r>
      <w:r w:rsidR="00012CE0">
        <w:rPr>
          <w:rFonts w:ascii="Sylfaen" w:hAnsi="Sylfaen"/>
          <w:sz w:val="24"/>
          <w:szCs w:val="24"/>
        </w:rPr>
        <w:t>ний принадлежности государству-</w:t>
      </w:r>
      <w:r w:rsidRPr="00BC4BF5">
        <w:rPr>
          <w:rFonts w:ascii="Sylfaen" w:hAnsi="Sylfaen"/>
          <w:sz w:val="24"/>
          <w:szCs w:val="24"/>
        </w:rPr>
        <w:t>члену, на территории которого оказываются услуги аэропортов и аэронавигации.</w:t>
      </w:r>
    </w:p>
    <w:p w14:paraId="2AB59392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Создание условий для обновления парка воздушных судов, модернизации и развития объектов наземной инфраструктуры аэропортов в соответствии со стандартами и рекомендуемой практикой ИКАО.</w:t>
      </w:r>
    </w:p>
    <w:p w14:paraId="12EB0496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Этапы реализации:</w:t>
      </w:r>
    </w:p>
    <w:p w14:paraId="5D1B98FA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анализ состояния парка воздушных судов государств-членов, проблем обновления, пополнения и модернизации воздушных судов;</w:t>
      </w:r>
    </w:p>
    <w:p w14:paraId="06C8884A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создание благоприятных условий (в том числе в сфере таможенно-тарифного регулирования, таможенного администрирования и иных сферах), способствующих обновлению парка воздушных судов, а также ввозу авиационных двигателей, запасных частей и оборудования, необходимых для ремонта и (или) технического обслуживания воздушных судов и (или) авиационных двигателей к ним;</w:t>
      </w:r>
    </w:p>
    <w:p w14:paraId="56212DB6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создание государствами-членами благоприятных условий для привлечения инвестиций в авиационную инфраструктуру;</w:t>
      </w:r>
    </w:p>
    <w:p w14:paraId="51E38D1C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развитие и модернизация инфраструктуры аэропортов, аэродромного оборудования, аэронавигационного и радиотехнического обеспечения полетов воздушных судов.</w:t>
      </w:r>
    </w:p>
    <w:p w14:paraId="21A95DE4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Обеспечение безопасности полетов и авиационной безопасности.</w:t>
      </w:r>
    </w:p>
    <w:p w14:paraId="7983AAD3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Этапы реализации:</w:t>
      </w:r>
    </w:p>
    <w:p w14:paraId="4B3D46EE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применение стандартов и рекомендуемой практики ИКАО при обеспечении безопасности полетов и авиационной безопасности;</w:t>
      </w:r>
    </w:p>
    <w:p w14:paraId="08D6F00E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оценка соответствия парка воздушных судов авиационных компаний государств-членов требованиям, предусмотренным приложением № 6 к Конвенции;</w:t>
      </w:r>
    </w:p>
    <w:p w14:paraId="38C40986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установление переходного периода на замену парка воздушных судов, не соответствующих требованиям, предусмотренным приложением № 6 к Конвенции;</w:t>
      </w:r>
    </w:p>
    <w:p w14:paraId="53AE3B9C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запрет на эксплуатацию воздушных судов, не соответствующих требованиям, предусмотренным приложением № 6 к Конвенции;</w:t>
      </w:r>
    </w:p>
    <w:p w14:paraId="5E31B905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lastRenderedPageBreak/>
        <w:t>создание интегрированной информационной базы данных авиационных событий для систем управления безопасностью полетов государств-членов;</w:t>
      </w:r>
    </w:p>
    <w:p w14:paraId="3493DD7E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гармонизация систем обслуживания воздушного движения в государствах-членах в целях создания «бесшовного» воздушного пространства.</w:t>
      </w:r>
    </w:p>
    <w:p w14:paraId="27A4FB19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Расширение воздушного сообщения.</w:t>
      </w:r>
    </w:p>
    <w:p w14:paraId="7F41BD21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Этапы реализации:</w:t>
      </w:r>
    </w:p>
    <w:p w14:paraId="18018D08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анализ существующих ограничений в воздушном сообщении между государствами-членами;</w:t>
      </w:r>
    </w:p>
    <w:p w14:paraId="0E8C3112" w14:textId="77777777" w:rsidR="00D54678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поэтапное формирование общего рынка услуг воздушного транспорта на основе плана мероприятий («дорожной карты») в целях реализации настоящих Основных направлений.</w:t>
      </w:r>
    </w:p>
    <w:p w14:paraId="334325C1" w14:textId="77777777" w:rsidR="006B2883" w:rsidRPr="00BC4BF5" w:rsidRDefault="006B2883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14:paraId="320C2904" w14:textId="77777777" w:rsidR="00D54678" w:rsidRPr="00BC4BF5" w:rsidRDefault="00987882" w:rsidP="006B288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Водный транспорт</w:t>
      </w:r>
    </w:p>
    <w:p w14:paraId="178E585F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Основными направлениями скоординированной (согласованной) транспортной политики государств-членов в сфере водного транспорта являются следующие.</w:t>
      </w:r>
    </w:p>
    <w:p w14:paraId="4AE0E6CA" w14:textId="77777777" w:rsidR="00D54678" w:rsidRPr="00BC4BF5" w:rsidRDefault="00987882" w:rsidP="001E1638">
      <w:pPr>
        <w:pStyle w:val="Bodytext4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Морской транспорт</w:t>
      </w:r>
    </w:p>
    <w:p w14:paraId="3102A8A7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Этапы реализации:</w:t>
      </w:r>
    </w:p>
    <w:p w14:paraId="4E0CDD44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выработка согласованных подходов при формировании консолидированной позиции государств-членов в международных организациях;</w:t>
      </w:r>
    </w:p>
    <w:p w14:paraId="5E91684C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выработка мер по упрощени</w:t>
      </w:r>
      <w:r w:rsidR="00012CE0">
        <w:rPr>
          <w:rFonts w:ascii="Sylfaen" w:hAnsi="Sylfaen"/>
          <w:sz w:val="24"/>
          <w:szCs w:val="24"/>
        </w:rPr>
        <w:t>ю процедур в портах государств-</w:t>
      </w:r>
      <w:r w:rsidRPr="00BC4BF5">
        <w:rPr>
          <w:rFonts w:ascii="Sylfaen" w:hAnsi="Sylfaen"/>
          <w:sz w:val="24"/>
          <w:szCs w:val="24"/>
        </w:rPr>
        <w:t>членов при организации перевозок в третьи страны (из третьих стран).</w:t>
      </w:r>
    </w:p>
    <w:p w14:paraId="0B5B0959" w14:textId="77777777" w:rsidR="00D54678" w:rsidRPr="00BC4BF5" w:rsidRDefault="00987882" w:rsidP="001E1638">
      <w:pPr>
        <w:pStyle w:val="Bodytext4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Внутренний водный транспорт</w:t>
      </w:r>
    </w:p>
    <w:p w14:paraId="3E8257BA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Этапы реализации:</w:t>
      </w:r>
    </w:p>
    <w:p w14:paraId="296C3D7C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принятие в рамках Союза международного договора о судоходстве;</w:t>
      </w:r>
    </w:p>
    <w:p w14:paraId="387F7964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анализ законодательства государств-членов в сфере внутреннего водного транспорта в целях определения и согласования направлений, подлежащих гармонизации;</w:t>
      </w:r>
    </w:p>
    <w:p w14:paraId="0D60C5C7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гармонизация законодательства государств-членов в соответствии с согласованными направлениями;</w:t>
      </w:r>
    </w:p>
    <w:p w14:paraId="54900B9A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выработка и принятие согласованных мер для создания благоприятных условий по обновлению флота внутреннего водного транспорта;</w:t>
      </w:r>
    </w:p>
    <w:p w14:paraId="351A0882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совершенствование порядка прохода судов по внутренним водным путям для государств-членов;</w:t>
      </w:r>
    </w:p>
    <w:p w14:paraId="42C53CD7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гармонизация программ подготовки кадров;</w:t>
      </w:r>
    </w:p>
    <w:p w14:paraId="23BBE73D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взаимное признание государствами-членами свидетельств, дипломов и документов членов экипажей судов и персонала организаций.</w:t>
      </w:r>
    </w:p>
    <w:p w14:paraId="7AA2CE8C" w14:textId="77777777" w:rsidR="00D54678" w:rsidRPr="00BC4BF5" w:rsidRDefault="00987882" w:rsidP="006B288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lastRenderedPageBreak/>
        <w:t>Железнодорожный транспорт</w:t>
      </w:r>
    </w:p>
    <w:p w14:paraId="52DAC453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 соответствии с разделом V Протокола о скоординированной (согласованной) транспортной политике (приложение № 24 к Договору о Союзе) и основываясь на международных договорах и актах, составляющих право Союза, а также учитывая результаты работы Совета по железнодорожному транспорту государств - участников Содружества Независимых Государств, Организации сотрудничества железных дорог, региональных организаций Организации Объединенных Наций и иных международных (межправительственных и межведомственных) организаций, принимая во внимание двусторонние и многосторонние международные договоры, государства-члены последовательно и поэтапно реализуют скоординированную (согласованную) транспортную политику в области железнодорожного транспорта. Основными направлениями такой политики являются следующие.</w:t>
      </w:r>
    </w:p>
    <w:p w14:paraId="2DAA7A8C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Совершенствование условий для функционирования единого транспортного пространства.</w:t>
      </w:r>
    </w:p>
    <w:p w14:paraId="002C10E6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Этапы реализации:</w:t>
      </w:r>
    </w:p>
    <w:p w14:paraId="3590F855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выработка и принятие согласованных подходов по устранению недостатков, связанных с организацией движения поездов, в том числе в</w:t>
      </w:r>
      <w:r w:rsidR="006B2883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части согласования перевозок, и внедрение безбумажных технологий организации и оформления перевозок грузов;</w:t>
      </w:r>
    </w:p>
    <w:p w14:paraId="1593B83D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создание институциональных (правовых) условий для организации обмена информацией, в том числе предварительной о товарах и транспортных средствах международной перевозки с третьими странами, в том числе предоставление перевозчикам государств-членов указанной информации перевозчиками, физическими и юридическими лицами (грузоотправителями, экспедиторами) третьих стран;</w:t>
      </w:r>
    </w:p>
    <w:p w14:paraId="5F0FB87A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выработка и принятие согласованных подходов по облегчению пересечения границ, устранению барьеров, упрощению процедур, влияющих на беспрепятственное перемещение пассажиров и грузов, с целью устранения причин, влияющих на задержки пассажирских и грузовых поездов;</w:t>
      </w:r>
    </w:p>
    <w:p w14:paraId="792502A0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проведение гибкой тарифной политики в отношении услуг по перевозке грузов железнодорожным транспортом, в том числе посредством применения согласов</w:t>
      </w:r>
      <w:r w:rsidR="00012CE0">
        <w:rPr>
          <w:rFonts w:ascii="Sylfaen" w:hAnsi="Sylfaen"/>
          <w:sz w:val="24"/>
          <w:szCs w:val="24"/>
        </w:rPr>
        <w:t>анных перевозчиками государств-</w:t>
      </w:r>
      <w:r w:rsidRPr="00BC4BF5">
        <w:rPr>
          <w:rFonts w:ascii="Sylfaen" w:hAnsi="Sylfaen"/>
          <w:sz w:val="24"/>
          <w:szCs w:val="24"/>
        </w:rPr>
        <w:t>членов сквозных тарифных ставок при перевозках грузов из третьих стран в третьи страны транзитом через территории государств-членов;</w:t>
      </w:r>
    </w:p>
    <w:p w14:paraId="1BE299F5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развитие международного пассажирского сообщения между государствами-членами;</w:t>
      </w:r>
    </w:p>
    <w:p w14:paraId="5F38F9C9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организация и согласование развития пассажирских перевозок в поездах, состоящих из вагонов повышенной комфортности, следующих по индивидуальным ниткам графика по территориям двух и более государств-членов;</w:t>
      </w:r>
    </w:p>
    <w:p w14:paraId="27D36D30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 xml:space="preserve">реализация совместных мероприятий по повышению качества пассажирских </w:t>
      </w:r>
      <w:r w:rsidRPr="00BC4BF5">
        <w:rPr>
          <w:rFonts w:ascii="Sylfaen" w:hAnsi="Sylfaen"/>
          <w:sz w:val="24"/>
          <w:szCs w:val="24"/>
        </w:rPr>
        <w:lastRenderedPageBreak/>
        <w:t>перевозок в международном сообщении, в том числе путем оптимизации графика движения поездов, сокращения времени на проведение контрольных операций в пути следования, обновления парка подвижного состава;</w:t>
      </w:r>
    </w:p>
    <w:p w14:paraId="751083C1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выработка и принятие согласованных подходов по созданию и развитию скоростного и высокоскоростного пассажирского сообщения между государствами-членами с учетом особенностей развития железнодорожного транспорта и географического положения каждого из государств-членов.</w:t>
      </w:r>
    </w:p>
    <w:p w14:paraId="159B8198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Создание условий для функционирования общего рынка услуг железнодорожного транспорта, за исключением услуг по перевозке и услуг инфраструктуры.</w:t>
      </w:r>
    </w:p>
    <w:p w14:paraId="09C76F13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Этапы реализации:</w:t>
      </w:r>
    </w:p>
    <w:p w14:paraId="42FCF0FD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проведение анализа законодательства государств-членов в целях определения возможных дополнительных услуг железнодорожного транспорта, связанных с перевозкой, и условий для их осуществления;</w:t>
      </w:r>
    </w:p>
    <w:p w14:paraId="7CB5DF84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заключение (при необходимости) международных договоров в рамках Союза, регламентирующих принципы либерализации (правовых основ регулирования торговли услугами, в том числе применения специальных экономических мер), порядок и условия оказания дополнительных услуг железнодорожного транспорта, связанных с перевозкой.</w:t>
      </w:r>
    </w:p>
    <w:p w14:paraId="684CC156" w14:textId="77777777" w:rsidR="001E1638" w:rsidRDefault="001E1638" w:rsidP="00BC4BF5">
      <w:pPr>
        <w:pStyle w:val="Bodytext20"/>
        <w:shd w:val="clear" w:color="auto" w:fill="auto"/>
        <w:spacing w:before="0" w:after="120" w:line="240" w:lineRule="auto"/>
        <w:ind w:left="200" w:firstLine="860"/>
        <w:rPr>
          <w:rFonts w:ascii="Sylfaen" w:hAnsi="Sylfaen"/>
          <w:sz w:val="24"/>
          <w:szCs w:val="24"/>
        </w:rPr>
      </w:pPr>
    </w:p>
    <w:p w14:paraId="63A20025" w14:textId="77777777" w:rsidR="00D54678" w:rsidRDefault="00987882" w:rsidP="006B288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III. Ожидаемые результаты проведения скоординированной</w:t>
      </w:r>
      <w:r w:rsidR="006B2883" w:rsidRPr="00BC4BF5">
        <w:rPr>
          <w:rFonts w:ascii="Sylfaen" w:hAnsi="Sylfaen"/>
          <w:sz w:val="24"/>
          <w:szCs w:val="24"/>
        </w:rPr>
        <w:t xml:space="preserve"> </w:t>
      </w:r>
      <w:r w:rsidRPr="00BC4BF5">
        <w:rPr>
          <w:rFonts w:ascii="Sylfaen" w:hAnsi="Sylfaen"/>
          <w:sz w:val="24"/>
          <w:szCs w:val="24"/>
        </w:rPr>
        <w:t>(согласованной) транспортной политики государств-членов</w:t>
      </w:r>
    </w:p>
    <w:p w14:paraId="58EC679A" w14:textId="77777777" w:rsidR="006B2883" w:rsidRPr="00BC4BF5" w:rsidRDefault="006B2883" w:rsidP="006B288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14:paraId="004F68D3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Реализация настоящих Основных направлений позволит обеспечить переход транспортной системы государств-членов на качественно новый уровень функционирования.</w:t>
      </w:r>
    </w:p>
    <w:p w14:paraId="01750D05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Развитие транспортной системы государств-членов обеспечит удовлетворение потребностей населения и экономики в транспортных услугах, а также повысит доступность транспортной инфраструктуры государств-членов.</w:t>
      </w:r>
    </w:p>
    <w:p w14:paraId="02812C4C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Все виды транспорта будут ориентированы на предоставление качественных конкурентоспособных транспортных услуг, что позволит существенно увеличить долю транзитных перевозок.</w:t>
      </w:r>
    </w:p>
    <w:p w14:paraId="308D194B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За счет общего улучшения состояния и перспективного развития транспортной инфраструктуры транспортные коридоры государств-членов станут привлекательными для транзитных перевозок грузов и пассажиров.</w:t>
      </w:r>
    </w:p>
    <w:p w14:paraId="30101B74" w14:textId="77777777" w:rsidR="00D54678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t>Реализация транзитного потенциала обеспечит существенные финансовые поступления в бюджеты государств-членов и их транспортных компаний.</w:t>
      </w:r>
    </w:p>
    <w:p w14:paraId="74FA0D60" w14:textId="77777777" w:rsidR="006B2883" w:rsidRPr="00BC4BF5" w:rsidRDefault="006B2883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14:paraId="37E00CB8" w14:textId="77777777" w:rsidR="00D54678" w:rsidRPr="00BC4BF5" w:rsidRDefault="00987882" w:rsidP="001E163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F5">
        <w:rPr>
          <w:rFonts w:ascii="Sylfaen" w:hAnsi="Sylfaen"/>
          <w:sz w:val="24"/>
          <w:szCs w:val="24"/>
        </w:rPr>
        <w:lastRenderedPageBreak/>
        <w:t>Транспорт станет более доступным для населения, стоимость транспортных услуг будет соразмерна с уровнем доходов граждан государств-членов.</w:t>
      </w:r>
    </w:p>
    <w:sectPr w:rsidR="00D54678" w:rsidRPr="00BC4BF5" w:rsidSect="00BC4BF5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B0C12" w14:textId="77777777" w:rsidR="00E750BE" w:rsidRDefault="00E750BE" w:rsidP="00D54678">
      <w:r>
        <w:separator/>
      </w:r>
    </w:p>
  </w:endnote>
  <w:endnote w:type="continuationSeparator" w:id="0">
    <w:p w14:paraId="01EA7E97" w14:textId="77777777" w:rsidR="00E750BE" w:rsidRDefault="00E750BE" w:rsidP="00D5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31C6D" w14:textId="77777777" w:rsidR="00E750BE" w:rsidRDefault="00E750BE"/>
  </w:footnote>
  <w:footnote w:type="continuationSeparator" w:id="0">
    <w:p w14:paraId="60030EEB" w14:textId="77777777" w:rsidR="00E750BE" w:rsidRDefault="00E750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55C8E"/>
    <w:multiLevelType w:val="multilevel"/>
    <w:tmpl w:val="43325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7B428D"/>
    <w:multiLevelType w:val="multilevel"/>
    <w:tmpl w:val="AB707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6561D8"/>
    <w:multiLevelType w:val="multilevel"/>
    <w:tmpl w:val="F3A0D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678"/>
    <w:rsid w:val="00012CE0"/>
    <w:rsid w:val="00197E6B"/>
    <w:rsid w:val="001E1638"/>
    <w:rsid w:val="00323922"/>
    <w:rsid w:val="00331541"/>
    <w:rsid w:val="00453635"/>
    <w:rsid w:val="00490C88"/>
    <w:rsid w:val="006B2883"/>
    <w:rsid w:val="00730F78"/>
    <w:rsid w:val="008C6F53"/>
    <w:rsid w:val="00987882"/>
    <w:rsid w:val="00AA34C8"/>
    <w:rsid w:val="00B4444A"/>
    <w:rsid w:val="00B74A93"/>
    <w:rsid w:val="00BC4BF5"/>
    <w:rsid w:val="00BF4E27"/>
    <w:rsid w:val="00D35016"/>
    <w:rsid w:val="00D54678"/>
    <w:rsid w:val="00E7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4863"/>
  <w15:docId w15:val="{60DEC5F9-8517-4E23-A979-DE586EE0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467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467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54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D54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D54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D54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54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54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aliases w:val="13 pt"/>
    <w:basedOn w:val="Bodytext2"/>
    <w:rsid w:val="00D5467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0">
    <w:name w:val="Body text (2) + Tahoma"/>
    <w:aliases w:val="13 pt"/>
    <w:basedOn w:val="Bodytext2"/>
    <w:rsid w:val="00D5467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D54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">
    <w:name w:val="Table caption (2)_"/>
    <w:basedOn w:val="DefaultParagraphFont"/>
    <w:link w:val="Tablecaption20"/>
    <w:rsid w:val="00D54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54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D54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D54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D54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D54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546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D54678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D5467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D546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D54678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D54678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D546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D54678"/>
    <w:pPr>
      <w:shd w:val="clear" w:color="auto" w:fill="FFFFFF"/>
      <w:spacing w:line="515" w:lineRule="exact"/>
      <w:ind w:firstLine="920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character" w:customStyle="1" w:styleId="Bodytext214pt">
    <w:name w:val="Body text (2) + 14 pt"/>
    <w:aliases w:val="Bold"/>
    <w:basedOn w:val="Bodytext2"/>
    <w:rsid w:val="008C6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TableGrid">
    <w:name w:val="Table Grid"/>
    <w:basedOn w:val="TableNormal"/>
    <w:uiPriority w:val="59"/>
    <w:rsid w:val="008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14</Pages>
  <Words>4338</Words>
  <Characters>24731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8</cp:revision>
  <dcterms:created xsi:type="dcterms:W3CDTF">2019-01-17T11:09:00Z</dcterms:created>
  <dcterms:modified xsi:type="dcterms:W3CDTF">2020-05-05T12:11:00Z</dcterms:modified>
</cp:coreProperties>
</file>