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D3" w:rsidRPr="00E62589" w:rsidRDefault="00086C93" w:rsidP="00E62589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E62589">
        <w:rPr>
          <w:rFonts w:ascii="Sylfaen" w:hAnsi="Sylfaen"/>
          <w:sz w:val="24"/>
          <w:szCs w:val="24"/>
        </w:rPr>
        <w:t>Проект</w:t>
      </w:r>
    </w:p>
    <w:p w:rsidR="00F431D3" w:rsidRPr="00E62589" w:rsidRDefault="00086C93" w:rsidP="00E62589">
      <w:pPr>
        <w:pStyle w:val="Heading20"/>
        <w:shd w:val="clear" w:color="auto" w:fill="auto"/>
        <w:spacing w:before="0" w:after="120" w:line="240" w:lineRule="auto"/>
        <w:ind w:right="140"/>
        <w:outlineLvl w:val="9"/>
        <w:rPr>
          <w:rFonts w:ascii="Sylfaen" w:hAnsi="Sylfaen"/>
          <w:sz w:val="24"/>
          <w:szCs w:val="24"/>
        </w:rPr>
      </w:pPr>
      <w:bookmarkStart w:id="1" w:name="bookmark1"/>
      <w:r w:rsidRPr="00E62589">
        <w:rPr>
          <w:rStyle w:val="Heading2Spacing4pt"/>
          <w:rFonts w:ascii="Sylfaen" w:hAnsi="Sylfaen"/>
          <w:b/>
          <w:bCs/>
          <w:spacing w:val="0"/>
          <w:sz w:val="24"/>
          <w:szCs w:val="24"/>
        </w:rPr>
        <w:t>ПЛАН</w:t>
      </w:r>
      <w:bookmarkEnd w:id="1"/>
    </w:p>
    <w:p w:rsidR="00F431D3" w:rsidRDefault="00086C93" w:rsidP="00E62589">
      <w:pPr>
        <w:pStyle w:val="Heading20"/>
        <w:shd w:val="clear" w:color="auto" w:fill="auto"/>
        <w:spacing w:before="0" w:after="120" w:line="240" w:lineRule="auto"/>
        <w:ind w:right="140"/>
        <w:outlineLvl w:val="9"/>
        <w:rPr>
          <w:rFonts w:ascii="Sylfaen" w:hAnsi="Sylfaen"/>
          <w:sz w:val="24"/>
          <w:szCs w:val="24"/>
        </w:rPr>
      </w:pPr>
      <w:bookmarkStart w:id="2" w:name="bookmark2"/>
      <w:r w:rsidRPr="00E62589">
        <w:rPr>
          <w:rFonts w:ascii="Sylfaen" w:hAnsi="Sylfaen"/>
          <w:sz w:val="24"/>
          <w:szCs w:val="24"/>
        </w:rPr>
        <w:t>мероприятий по сотрудничеству Евразийской экономической комиссии</w:t>
      </w:r>
      <w:r w:rsidR="00E62589">
        <w:rPr>
          <w:rFonts w:ascii="Sylfaen" w:hAnsi="Sylfaen"/>
          <w:sz w:val="24"/>
          <w:szCs w:val="24"/>
        </w:rPr>
        <w:t xml:space="preserve"> </w:t>
      </w:r>
      <w:r w:rsidRPr="00E62589">
        <w:rPr>
          <w:rFonts w:ascii="Sylfaen" w:hAnsi="Sylfaen"/>
          <w:sz w:val="24"/>
          <w:szCs w:val="24"/>
        </w:rPr>
        <w:t>и Европейской эко</w:t>
      </w:r>
      <w:r w:rsidR="006B52AA">
        <w:rPr>
          <w:rFonts w:ascii="Sylfaen" w:hAnsi="Sylfaen"/>
          <w:sz w:val="24"/>
          <w:szCs w:val="24"/>
        </w:rPr>
        <w:t>номической комиссии ООН на 2017</w:t>
      </w:r>
      <w:r w:rsidRPr="00E62589">
        <w:rPr>
          <w:rFonts w:ascii="Sylfaen" w:hAnsi="Sylfaen"/>
          <w:sz w:val="24"/>
          <w:szCs w:val="24"/>
        </w:rPr>
        <w:t>-2019 годы</w:t>
      </w:r>
      <w:bookmarkEnd w:id="2"/>
    </w:p>
    <w:p w:rsidR="00E62589" w:rsidRPr="00E62589" w:rsidRDefault="00E62589" w:rsidP="00E62589">
      <w:pPr>
        <w:pStyle w:val="Heading20"/>
        <w:shd w:val="clear" w:color="auto" w:fill="auto"/>
        <w:spacing w:before="0" w:after="120" w:line="240" w:lineRule="auto"/>
        <w:ind w:right="140"/>
        <w:outlineLvl w:val="9"/>
        <w:rPr>
          <w:rFonts w:ascii="Sylfaen" w:hAnsi="Sylfaen"/>
          <w:sz w:val="24"/>
          <w:szCs w:val="24"/>
        </w:rPr>
      </w:pPr>
    </w:p>
    <w:tbl>
      <w:tblPr>
        <w:tblOverlap w:val="never"/>
        <w:tblW w:w="14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5"/>
        <w:gridCol w:w="4237"/>
        <w:gridCol w:w="4255"/>
        <w:gridCol w:w="19"/>
      </w:tblGrid>
      <w:tr w:rsidR="00775C6E" w:rsidRPr="00E62589" w:rsidTr="00775C6E">
        <w:trPr>
          <w:tblHeader/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1D3" w:rsidRPr="00E62589" w:rsidRDefault="00086C93" w:rsidP="00E625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Цель сотрудничества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1D3" w:rsidRPr="00E62589" w:rsidRDefault="00086C93" w:rsidP="00E625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Ответственный исполнитель в Евразийской экономической комиссии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D3" w:rsidRPr="00E62589" w:rsidRDefault="00086C93" w:rsidP="00E625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Ответственный исполнитель в Европейской экономической комиссии ООН</w:t>
            </w:r>
          </w:p>
        </w:tc>
      </w:tr>
      <w:tr w:rsidR="00F431D3" w:rsidRPr="00E62589" w:rsidTr="00775C6E">
        <w:trPr>
          <w:jc w:val="center"/>
        </w:trPr>
        <w:tc>
          <w:tcPr>
            <w:tcW w:w="1492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I. Экономическое сотрудничество и интеграция</w:t>
            </w:r>
          </w:p>
        </w:tc>
      </w:tr>
      <w:tr w:rsidR="006951BA" w:rsidRPr="00E62589" w:rsidTr="00CA09F1">
        <w:trPr>
          <w:trHeight w:val="2452"/>
          <w:jc w:val="center"/>
        </w:trPr>
        <w:tc>
          <w:tcPr>
            <w:tcW w:w="6415" w:type="dxa"/>
            <w:shd w:val="clear" w:color="auto" w:fill="FFFFFF"/>
          </w:tcPr>
          <w:p w:rsidR="006951BA" w:rsidRPr="00E62589" w:rsidRDefault="006951BA" w:rsidP="006951B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1. Выработка предложений по совершенствованию</w:t>
            </w:r>
            <w:r>
              <w:t xml:space="preserve">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правового регулирования, выстраиванию и развитию механизмов государственно-частного партнерства в государствах - членах Евразийского экономического союза (далее -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государства-члены) с учетом лучших международных практик и опыта третьих стран и интеграционных объединений</w:t>
            </w:r>
          </w:p>
        </w:tc>
        <w:tc>
          <w:tcPr>
            <w:tcW w:w="4237" w:type="dxa"/>
            <w:shd w:val="clear" w:color="auto" w:fill="FFFFFF"/>
          </w:tcPr>
          <w:p w:rsidR="006951BA" w:rsidRPr="00E62589" w:rsidRDefault="006951BA" w:rsidP="006951B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развития</w:t>
            </w:r>
            <w:r>
              <w:t xml:space="preserve">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4274" w:type="dxa"/>
            <w:gridSpan w:val="2"/>
            <w:shd w:val="clear" w:color="auto" w:fill="FFFFFF"/>
          </w:tcPr>
          <w:p w:rsidR="006951BA" w:rsidRPr="00E62589" w:rsidRDefault="006951BA" w:rsidP="006951B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Комитет по инновациям, конкурентоспособности и государственно-частному партнерству Европейской экономической комиссии ООН (далее -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ЕЭК ООН), Группа специалистов по ГЧП ЕЭК ООН</w:t>
            </w:r>
          </w:p>
        </w:tc>
      </w:tr>
      <w:tr w:rsidR="00775C6E" w:rsidRPr="00E62589" w:rsidTr="006951BA">
        <w:trPr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2. Обмен опытом и углубление сотрудничества с интеграционными объединениями региона ЕЭК ООН в целях развития региональной экономической интеграции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развития интеграции II. Торговля</w:t>
            </w:r>
          </w:p>
        </w:tc>
        <w:tc>
          <w:tcPr>
            <w:tcW w:w="4274" w:type="dxa"/>
            <w:gridSpan w:val="2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Комитет по инновациям, конкурентоспособности и государственно-частному партнерству ЕЭК ООН</w:t>
            </w:r>
          </w:p>
        </w:tc>
      </w:tr>
      <w:tr w:rsidR="00775C6E" w:rsidRPr="00E62589" w:rsidTr="006951BA">
        <w:trPr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 xml:space="preserve">3. Изучение передового опыта Центра ООН по упрощению процедур торговли и электронным деловым операциям (СЕФАКТ ООН) по вопросам гармонизации требований к торговой информации, а также к правилам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 обмену данными и электронной документацией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таможенной инфраструктуры, Департамент информационных технологий, Департамент финансовой политики, Департамент таможенного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законодательства и правоприменительной практики</w:t>
            </w:r>
          </w:p>
        </w:tc>
        <w:tc>
          <w:tcPr>
            <w:tcW w:w="4274" w:type="dxa"/>
            <w:gridSpan w:val="2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СЕФАКТ ООН</w:t>
            </w:r>
          </w:p>
        </w:tc>
      </w:tr>
      <w:tr w:rsidR="00775C6E" w:rsidRPr="00E62589" w:rsidTr="006951BA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6B52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4. Участие в обсуж</w:t>
            </w:r>
            <w:r w:rsidR="006B52AA">
              <w:rPr>
                <w:rStyle w:val="Bodytext2115pt"/>
                <w:rFonts w:ascii="Sylfaen" w:hAnsi="Sylfaen"/>
                <w:sz w:val="24"/>
                <w:szCs w:val="24"/>
              </w:rPr>
              <w:t>дении лучших практик государств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-членов ЕЭК ООН по применению предварительного информирования в электронной форме о товарах и транспортных средствах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таможенной инфраструктуры, Департамент таможенного законодательства и правоприменительной практики, Департамент санитарных, фитосанитарных и ветеринарных мер, Департамент транспорта и инфраструктуры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СЕФАКТ ООН</w:t>
            </w:r>
          </w:p>
        </w:tc>
      </w:tr>
      <w:tr w:rsidR="00775C6E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5. Участие в разработке рекомендаций в области упрощения процедур торговли в части реализации национальных механизмов «единого окна», а также совершенствование формальностей, процедур, документов и операций, связанных с внешнеторговыми сделками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практики, Департамент торговой политики, Департамент информационных технологий, Департамент таможенной инфраструктуры, Департамент финансовой политики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СЕФАКТ ООН</w:t>
            </w:r>
          </w:p>
        </w:tc>
      </w:tr>
      <w:tr w:rsidR="006951BA" w:rsidRPr="00E62589" w:rsidTr="005D7485">
        <w:trPr>
          <w:gridAfter w:val="1"/>
          <w:wAfter w:w="19" w:type="dxa"/>
          <w:trHeight w:val="5167"/>
          <w:jc w:val="center"/>
        </w:trPr>
        <w:tc>
          <w:tcPr>
            <w:tcW w:w="6415" w:type="dxa"/>
            <w:shd w:val="clear" w:color="auto" w:fill="FFFFFF"/>
          </w:tcPr>
          <w:p w:rsidR="006951BA" w:rsidRPr="00E62589" w:rsidRDefault="006951BA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6. Обмен опытом по актуальным вопросам внедрения и развития национальных механизмов «единого окна» в системе регулирования внешнеэкономической деятельности, в том числе по вопросам информационного взаимодействия в рамках функционирования таких механизмов, направленных на упрощение процедур торговли на таможенной территории Евразийского экономического союза</w:t>
            </w:r>
          </w:p>
        </w:tc>
        <w:tc>
          <w:tcPr>
            <w:tcW w:w="4237" w:type="dxa"/>
            <w:shd w:val="clear" w:color="auto" w:fill="FFFFFF"/>
          </w:tcPr>
          <w:p w:rsidR="006951BA" w:rsidRPr="00E62589" w:rsidRDefault="006951BA" w:rsidP="006951B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практики, Департамент торговой политики, Департамент информационных технологий, Департамент таможенной инфраструктуры, Департамент санитарных, фитосанитарных и ветеринарных мер, Департамент финансовой политики, Департамент транспорта и инфраструктуры, Департамент развития предпринимательской деятельности, Департамент таможенно-тарифного и нетарифного регулирования</w:t>
            </w:r>
          </w:p>
        </w:tc>
        <w:tc>
          <w:tcPr>
            <w:tcW w:w="4255" w:type="dxa"/>
            <w:shd w:val="clear" w:color="auto" w:fill="FFFFFF"/>
          </w:tcPr>
          <w:p w:rsidR="006951BA" w:rsidRPr="00E62589" w:rsidRDefault="006951BA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СЕФАКТ ООН, региональный советник ЕЭК ООН по упрощению процедур торговли</w:t>
            </w:r>
          </w:p>
        </w:tc>
      </w:tr>
      <w:tr w:rsidR="00775C6E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7. Анализ опыта ЕЭК ООН и (или) СЕФАКТ ООН в сфере разработки и применения электронных форм, используемых при осуществлении государственных (муниципальных) закупок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конкурентной политики и политики в области государственных закупок, Департамент финансовой политики, Департамент функционирования внутренних рынков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СЕФАКТ ООН</w:t>
            </w:r>
          </w:p>
        </w:tc>
      </w:tr>
      <w:tr w:rsidR="00775C6E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 xml:space="preserve">8. Изучение методологических подходов, рекомендованных СЕФАКТ ООН, для применения в ходе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анализа и проектирования общих процессов в рамках Евразийского экономического союза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информационных технологий, Департамент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функционирования внутренних рынков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СЕФАКТ ООН</w:t>
            </w:r>
          </w:p>
        </w:tc>
      </w:tr>
      <w:tr w:rsidR="00775C6E" w:rsidRPr="00E62589" w:rsidTr="006951BA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9. Обмен опытом по вопросам применения и обеспечения выполнения мер нетарифного регулирования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таможенно-тарифного и нетарифного регулирования, Департамент функционирования внутренних рынков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Руководящий комитет по потенциалу и стандартам торговли, Рабочая группа по политике в области стандартизации и сотрудничества по вопросам регулирования</w:t>
            </w:r>
          </w:p>
        </w:tc>
      </w:tr>
      <w:tr w:rsidR="00775C6E" w:rsidRPr="00E62589" w:rsidTr="006951BA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10. Изучение возможности применения инструментов ЕЭК ООН при реализации Соглашения ВТО по упрощению процедур торговли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торговой политики, Департамент информационных технологий, Департамент таможенной инфраструктуры, Департамент таможенного законодательства и правоприменительной практики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СЕФАКТ ООН, региональный советник ЕЭК ООН по упрощению процедур торговли</w:t>
            </w:r>
          </w:p>
        </w:tc>
      </w:tr>
      <w:tr w:rsidR="00775C6E" w:rsidRPr="00E62589" w:rsidTr="006951BA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  <w:vAlign w:val="center"/>
          </w:tcPr>
          <w:p w:rsidR="00775C6E" w:rsidRPr="00E62589" w:rsidRDefault="00775C6E" w:rsidP="00775C6E">
            <w:pPr>
              <w:spacing w:after="120"/>
              <w:jc w:val="center"/>
            </w:pPr>
            <w:r w:rsidRPr="00E62589">
              <w:rPr>
                <w:rStyle w:val="Bodytext2115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III</w:t>
            </w:r>
            <w:r w:rsidRPr="00E62589">
              <w:rPr>
                <w:rStyle w:val="Bodytext2115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E62589">
              <w:rPr>
                <w:rStyle w:val="Bodytext2115pt"/>
                <w:rFonts w:ascii="Sylfaen" w:eastAsia="Sylfaen" w:hAnsi="Sylfaen"/>
                <w:sz w:val="24"/>
                <w:szCs w:val="24"/>
              </w:rPr>
              <w:t>Таможенное администрирование и регулирование</w:t>
            </w:r>
          </w:p>
        </w:tc>
      </w:tr>
      <w:tr w:rsidR="00775C6E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11. Гармонизация и рационализация таможенных процедур (операций) контроля на таможенных границах, включая упрощение их пересечения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4255" w:type="dxa"/>
            <w:shd w:val="clear" w:color="auto" w:fill="FFFFFF"/>
          </w:tcPr>
          <w:p w:rsidR="00F431D3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Рабочая группа по таможенным вопросам, связанным с транспортом, Административный комитет Международной конвенции о согласовании условий проведения контроля грузов на границах (1982 год)</w:t>
            </w:r>
          </w:p>
          <w:p w:rsidR="006951BA" w:rsidRPr="00E62589" w:rsidRDefault="006951BA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775C6E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12. Обмен опытом в сфере упрощения таможенного транзита при осуществлении автодорожных, железнодорожных перевозок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практики, Департамент транспорта и инфраструктуры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Рабочая группа по таможенным вопросам, связанным с транспортом, Административный комитет Таможенной конвенции о международной перевозке грузов с применением книжки МДП (1975 год), Комитет по внутреннему транспорту и его рабочие органы</w:t>
            </w:r>
          </w:p>
        </w:tc>
      </w:tr>
      <w:tr w:rsidR="00775C6E" w:rsidRPr="00E62589" w:rsidTr="006951BA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</w:tcPr>
          <w:p w:rsidR="00775C6E" w:rsidRPr="00E62589" w:rsidRDefault="00775C6E" w:rsidP="00775C6E">
            <w:pPr>
              <w:spacing w:after="120"/>
              <w:ind w:right="116"/>
              <w:jc w:val="center"/>
            </w:pPr>
            <w:r w:rsidRPr="00E62589">
              <w:rPr>
                <w:rStyle w:val="Bodytext2115pt"/>
                <w:rFonts w:ascii="Sylfaen" w:eastAsia="Sylfaen" w:hAnsi="Sylfaen"/>
                <w:sz w:val="24"/>
                <w:szCs w:val="24"/>
              </w:rPr>
              <w:t>IV. Транспорт и логистика</w:t>
            </w:r>
          </w:p>
        </w:tc>
      </w:tr>
      <w:tr w:rsidR="00775C6E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13. Взаимодействие в сфере транспорта, в том числе по вопросам технического регулирования, развития транзитного потенциала, транспортной инфраструктуры, включая сотрудничество для целей обеспечения реализации конвенций ЕЭК ООН в сфере транспорта и инфраструктуры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транспорта и инфраструктуры, Департамент функционирования внутренних рынков, Департамент технического регулирования и аккредитации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Комитет по внутреннему транспорту ЕЭК ООН</w:t>
            </w:r>
          </w:p>
        </w:tc>
      </w:tr>
      <w:tr w:rsidR="006951BA" w:rsidRPr="00E62589" w:rsidTr="006951BA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14. Взаимодействие в целях развития и модернизации евроазиатских транспортных связей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транспорта и инфраструктуры, Департамент торговой политики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140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Комитет по внутреннему транспорту</w:t>
            </w:r>
          </w:p>
        </w:tc>
      </w:tr>
      <w:tr w:rsidR="00775C6E" w:rsidRPr="00E62589" w:rsidTr="00A130B6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  <w:vAlign w:val="bottom"/>
          </w:tcPr>
          <w:p w:rsidR="00775C6E" w:rsidRPr="00E62589" w:rsidRDefault="00775C6E" w:rsidP="00775C6E">
            <w:pPr>
              <w:spacing w:after="120"/>
              <w:jc w:val="center"/>
            </w:pPr>
            <w:r w:rsidRPr="00E62589">
              <w:rPr>
                <w:rStyle w:val="Bodytext2115pt"/>
                <w:rFonts w:ascii="Sylfaen" w:eastAsia="Sylfaen" w:hAnsi="Sylfaen"/>
                <w:sz w:val="24"/>
                <w:szCs w:val="24"/>
              </w:rPr>
              <w:t>V. Техническое регулирование</w:t>
            </w:r>
          </w:p>
        </w:tc>
      </w:tr>
      <w:tr w:rsidR="00F431D3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 xml:space="preserve">15. Имплементация правил, норм ЕЭК ООН в области технической регламентации, стандартизации, оценки соответствия и смежных видов деятельности в международные договоры, входящие в право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Евразийского экономического союза, а также акты органов Евразийского экономического союза (технические регламенты)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технического регулирования и аккредитации, Департамент санитарных, фитосанитарных и ветеринарных мер, </w:t>
            </w: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промышленной политики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Рабочая группа по политике в области стандартизации и сотрудничества по вопросам нормативного регулирования</w:t>
            </w:r>
          </w:p>
        </w:tc>
      </w:tr>
      <w:tr w:rsidR="00775C6E" w:rsidRPr="00E62589" w:rsidTr="00985533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</w:tcPr>
          <w:p w:rsidR="00775C6E" w:rsidRPr="00E62589" w:rsidRDefault="00775C6E" w:rsidP="00775C6E">
            <w:pPr>
              <w:spacing w:after="120"/>
              <w:jc w:val="center"/>
            </w:pPr>
            <w:r w:rsidRPr="00E62589">
              <w:rPr>
                <w:rStyle w:val="Bodytext2115pt"/>
                <w:rFonts w:ascii="Sylfaen" w:eastAsia="Sylfaen" w:hAnsi="Sylfaen"/>
                <w:sz w:val="24"/>
                <w:szCs w:val="24"/>
              </w:rPr>
              <w:t>VI. Статистика</w:t>
            </w:r>
          </w:p>
        </w:tc>
      </w:tr>
      <w:tr w:rsidR="006951BA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16. Развитие статистической системы Евразийского экономического союза, обеспечивающей предоставление качественной статистической информации о социально- экономическом развитии Союза, на основе современных принципов функционирования и с учетом международных стандартов в сфере статистики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статистики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Конференция европейских статистиков</w:t>
            </w:r>
          </w:p>
        </w:tc>
      </w:tr>
      <w:tr w:rsidR="00775C6E" w:rsidRPr="00E62589" w:rsidTr="006951BA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</w:tcPr>
          <w:p w:rsidR="00775C6E" w:rsidRPr="00E62589" w:rsidRDefault="00775C6E" w:rsidP="00775C6E">
            <w:pPr>
              <w:spacing w:after="120"/>
              <w:jc w:val="center"/>
            </w:pPr>
            <w:r w:rsidRPr="00E62589">
              <w:rPr>
                <w:rStyle w:val="Bodytext2115pt"/>
                <w:rFonts w:ascii="Sylfaen" w:eastAsia="Sylfaen" w:hAnsi="Sylfaen"/>
                <w:sz w:val="24"/>
                <w:szCs w:val="24"/>
              </w:rPr>
              <w:t>VII. Энергетическая политика</w:t>
            </w:r>
          </w:p>
        </w:tc>
      </w:tr>
      <w:tr w:rsidR="006951BA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vMerge w:val="restart"/>
            <w:shd w:val="clear" w:color="auto" w:fill="FFFFFF"/>
          </w:tcPr>
          <w:p w:rsidR="006951BA" w:rsidRPr="00E62589" w:rsidRDefault="006951BA" w:rsidP="006951B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17. Определение подходов в части формирования политики в области энергетики по следующим направлениям: обеспечение устойчивого развития экономик и энергетической безопасности; повышение экономической эффективности и надежности функционирования электроэнергетических и газовых комплексов; повышение конкурентоспособности энергетического сектора экономики государств-членов и Евразийского экономического союза в целом на мировом рынке</w:t>
            </w:r>
          </w:p>
        </w:tc>
        <w:tc>
          <w:tcPr>
            <w:tcW w:w="4237" w:type="dxa"/>
            <w:shd w:val="clear" w:color="auto" w:fill="FFFFFF"/>
          </w:tcPr>
          <w:p w:rsidR="006951BA" w:rsidRPr="00E62589" w:rsidRDefault="006951BA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энергетики</w:t>
            </w:r>
          </w:p>
        </w:tc>
        <w:tc>
          <w:tcPr>
            <w:tcW w:w="4255" w:type="dxa"/>
            <w:shd w:val="clear" w:color="auto" w:fill="FFFFFF"/>
          </w:tcPr>
          <w:p w:rsidR="006951BA" w:rsidRPr="00E62589" w:rsidRDefault="006951BA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Комитет по устойчивой энергетике</w:t>
            </w:r>
          </w:p>
        </w:tc>
      </w:tr>
      <w:tr w:rsidR="006951BA" w:rsidRPr="00E62589" w:rsidTr="006951BA">
        <w:trPr>
          <w:gridAfter w:val="1"/>
          <w:wAfter w:w="19" w:type="dxa"/>
          <w:jc w:val="center"/>
        </w:trPr>
        <w:tc>
          <w:tcPr>
            <w:tcW w:w="6415" w:type="dxa"/>
            <w:vMerge/>
            <w:shd w:val="clear" w:color="auto" w:fill="FFFFFF"/>
          </w:tcPr>
          <w:p w:rsidR="006951BA" w:rsidRPr="00E62589" w:rsidRDefault="006951BA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FFFFFF"/>
          </w:tcPr>
          <w:p w:rsidR="006951BA" w:rsidRPr="00E62589" w:rsidRDefault="006951BA" w:rsidP="00775C6E">
            <w:pPr>
              <w:spacing w:after="120"/>
              <w:ind w:left="25" w:right="132"/>
            </w:pPr>
          </w:p>
        </w:tc>
        <w:tc>
          <w:tcPr>
            <w:tcW w:w="4255" w:type="dxa"/>
            <w:shd w:val="clear" w:color="auto" w:fill="FFFFFF"/>
          </w:tcPr>
          <w:p w:rsidR="006951BA" w:rsidRPr="00E62589" w:rsidRDefault="006951BA" w:rsidP="00775C6E">
            <w:pPr>
              <w:spacing w:after="120"/>
              <w:ind w:left="25" w:right="132"/>
            </w:pPr>
          </w:p>
        </w:tc>
      </w:tr>
      <w:tr w:rsidR="00775C6E" w:rsidRPr="00E62589" w:rsidTr="00FF06EF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</w:tcPr>
          <w:p w:rsidR="006951BA" w:rsidRDefault="006951BA" w:rsidP="00775C6E">
            <w:pPr>
              <w:spacing w:after="120"/>
              <w:jc w:val="center"/>
              <w:rPr>
                <w:rStyle w:val="Bodytext2115pt"/>
                <w:rFonts w:ascii="Sylfaen" w:eastAsia="Sylfaen" w:hAnsi="Sylfaen"/>
                <w:sz w:val="24"/>
                <w:szCs w:val="24"/>
              </w:rPr>
            </w:pPr>
          </w:p>
          <w:p w:rsidR="00775C6E" w:rsidRPr="00E62589" w:rsidRDefault="00775C6E" w:rsidP="00775C6E">
            <w:pPr>
              <w:spacing w:after="120"/>
              <w:jc w:val="center"/>
            </w:pPr>
            <w:r w:rsidRPr="00E62589">
              <w:rPr>
                <w:rStyle w:val="Bodytext2115pt"/>
                <w:rFonts w:ascii="Sylfaen" w:eastAsia="Sylfaen" w:hAnsi="Sylfaen"/>
                <w:sz w:val="24"/>
                <w:szCs w:val="24"/>
              </w:rPr>
              <w:lastRenderedPageBreak/>
              <w:t>VIII. Информационные технологии</w:t>
            </w:r>
          </w:p>
        </w:tc>
      </w:tr>
      <w:tr w:rsidR="00F431D3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18. Гармонизация процессов цифровой трансформации экономики. Повышение включенности в глобальные цифровые рынки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информационных технологий, Департамент функционирования внутренних рынков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E6258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СЕФАКТ ООН, региональный советник ЕЭК ООН по упрощению процедур торговли</w:t>
            </w:r>
          </w:p>
        </w:tc>
      </w:tr>
      <w:tr w:rsidR="00F431D3" w:rsidRPr="00E62589" w:rsidTr="00775C6E">
        <w:trPr>
          <w:gridAfter w:val="1"/>
          <w:wAfter w:w="19" w:type="dxa"/>
          <w:jc w:val="center"/>
        </w:trPr>
        <w:tc>
          <w:tcPr>
            <w:tcW w:w="6415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19. Выработка механизмов взаимного признания электронных документов, сформированных и удостоверенных электронной цифровой подписью в Европейском союзе и Евразийском экономическом союзе</w:t>
            </w:r>
          </w:p>
        </w:tc>
        <w:tc>
          <w:tcPr>
            <w:tcW w:w="4237" w:type="dxa"/>
            <w:shd w:val="clear" w:color="auto" w:fill="FFFFFF"/>
          </w:tcPr>
          <w:p w:rsidR="00F431D3" w:rsidRPr="00E62589" w:rsidRDefault="00086C93" w:rsidP="00775C6E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Департамент информационных технологий</w:t>
            </w:r>
          </w:p>
        </w:tc>
        <w:tc>
          <w:tcPr>
            <w:tcW w:w="4255" w:type="dxa"/>
            <w:shd w:val="clear" w:color="auto" w:fill="FFFFFF"/>
          </w:tcPr>
          <w:p w:rsidR="00F431D3" w:rsidRPr="00E62589" w:rsidRDefault="00086C93" w:rsidP="00E6258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62589">
              <w:rPr>
                <w:rStyle w:val="Bodytext2115pt"/>
                <w:rFonts w:ascii="Sylfaen" w:hAnsi="Sylfaen"/>
                <w:sz w:val="24"/>
                <w:szCs w:val="24"/>
              </w:rPr>
              <w:t>СЕФАКТ ООН</w:t>
            </w:r>
          </w:p>
        </w:tc>
      </w:tr>
    </w:tbl>
    <w:p w:rsidR="00F431D3" w:rsidRPr="00E62589" w:rsidRDefault="00F431D3" w:rsidP="00E62589">
      <w:pPr>
        <w:spacing w:after="120"/>
        <w:jc w:val="both"/>
      </w:pPr>
    </w:p>
    <w:sectPr w:rsidR="00F431D3" w:rsidRPr="00E62589" w:rsidSect="0062338E">
      <w:pgSz w:w="16838" w:h="11906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E8" w:rsidRDefault="00B259E8" w:rsidP="00F431D3">
      <w:r>
        <w:separator/>
      </w:r>
    </w:p>
  </w:endnote>
  <w:endnote w:type="continuationSeparator" w:id="0">
    <w:p w:rsidR="00B259E8" w:rsidRDefault="00B259E8" w:rsidP="00F4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E8" w:rsidRDefault="00B259E8"/>
  </w:footnote>
  <w:footnote w:type="continuationSeparator" w:id="0">
    <w:p w:rsidR="00B259E8" w:rsidRDefault="00B25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5678C"/>
    <w:multiLevelType w:val="multilevel"/>
    <w:tmpl w:val="61CC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1D3"/>
    <w:rsid w:val="00086C93"/>
    <w:rsid w:val="0062338E"/>
    <w:rsid w:val="006951BA"/>
    <w:rsid w:val="006B52AA"/>
    <w:rsid w:val="00775C6E"/>
    <w:rsid w:val="00B259E8"/>
    <w:rsid w:val="00C42159"/>
    <w:rsid w:val="00E62589"/>
    <w:rsid w:val="00F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4076"/>
  <w15:docId w15:val="{2B45486B-AE1B-4E78-9F5C-3624558E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431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31D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4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4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4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F4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431D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431D3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F431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431D3"/>
    <w:pPr>
      <w:shd w:val="clear" w:color="auto" w:fill="FFFFFF"/>
      <w:spacing w:before="3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431D3"/>
    <w:pPr>
      <w:shd w:val="clear" w:color="auto" w:fill="FFFFFF"/>
      <w:spacing w:before="420" w:line="33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cp:lastPrinted>2020-03-11T07:00:00Z</cp:lastPrinted>
  <dcterms:created xsi:type="dcterms:W3CDTF">2019-01-21T06:51:00Z</dcterms:created>
  <dcterms:modified xsi:type="dcterms:W3CDTF">2020-03-11T07:00:00Z</dcterms:modified>
</cp:coreProperties>
</file>