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ПРИЛОЖЕНИЕ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Соглашению о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Style w:val="Bodytext3Spacing2pt"/>
          <w:rFonts w:ascii="Sylfaen" w:hAnsi="Sylfaen"/>
          <w:b/>
          <w:bCs/>
          <w:sz w:val="24"/>
          <w:szCs w:val="24"/>
        </w:rPr>
      </w:pP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Style w:val="Bodytext3Spacing2pt"/>
          <w:rFonts w:ascii="Sylfaen" w:hAnsi="Sylfaen"/>
          <w:sz w:val="24"/>
          <w:szCs w:val="24"/>
        </w:rPr>
        <w:t>МЕТОДОЛОГИЯ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Pr="000153AC" w:rsidRDefault="000F48C4" w:rsidP="000F48C4">
      <w:pPr>
        <w:spacing w:after="120"/>
        <w:ind w:right="-8"/>
        <w:jc w:val="center"/>
      </w:pPr>
      <w:r w:rsidRPr="000153AC">
        <w:t>I. Общие положения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1. Настоящая Методология разработана в целях реализации положений статей 80 и 104 Договора о Евразийском экономическом союзе от 29 мая 2014 года и определяет основные подходы к формированию индикативных (прогнозных) балансов газа, нефти и нефтепродуктов Евразийского экономического союза (далее - Союз).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2. Индикативные (прогнозные) балансы газа, нефти и нефтепродуктов Союза образуют единую систему показателей, используемую в рамках Союза и в государствах - членах Союза (далее - государства-члены).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3. Индикативные (прогнозные) балансы газа, нефти и нефтепродуктов Союза формируются на 5-летний период и включают в себя отчетные показатели за предшествующий год, ожидаемые показатели за текущий год и прогнозные показатели на 3 последующих года.</w:t>
      </w: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  <w:r>
        <w:rPr>
          <w:lang w:val="en-US"/>
        </w:rPr>
        <w:t>II</w:t>
      </w:r>
      <w:r w:rsidRPr="000153AC">
        <w:t>. Определения</w:t>
      </w:r>
    </w:p>
    <w:p w:rsidR="000F48C4" w:rsidRPr="00E30887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4. Понятия, используемые в настоящей Методологии, означают следующее: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«индикативный (прогнозный) баланс государства-члена» - баланс, разрабатываемый уполномоченным органом в отношении соответственно газа, нефти и нефтепродуктов на территории государства-члена для целей формирования индикативного (прогнозного) баланса Союза;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«индикативный (прогнозный) баланс Союза» - баланс, формируемый на основе индикативных (прогнозных) балансов государств-членов в отношении соответственно газа, нефти и нефтепродуктов на таможенной территории Союза;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«баланс» - система показателей, характеризующих производство, потребление, прочие поступления и потери, импорт и экспорт газа, нефти и нефтепродуктов на территориях государств-членов или таможенной территории Союза;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lastRenderedPageBreak/>
        <w:t>«бензин автомобильный» - бензины автомобильные всех марок;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«газ» - природный газ и попутный нефтяной газ, а также газ, полученный в результате стабилизации и деэтанизации конденсата газового;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«импорт»: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в индикативных (прогнозных) балансах газа, нефти и нефтепродуктов государства-члена - величина, характеризующая количество газа, нефти, нефтепродуктов, ввозимых на территорию государства-члена, в результате чего увеличивается количество газа, нефти и нефтепродуктов на территории государства-члена;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в индикативных (прогнозных) балансах газа, нефти и нефтепродуктов Союза - величина, характеризующая количество газа, нефти, нефтепродуктов, ввозимых на территории государств-членов, в результате чего увеличивается количество газа, нефти и нефтепродуктов на таможенной территории Союза;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«мазут топочный» - топочные мазуты всех марок;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«нефтяное сырье» - нефть сырая и конденсат газовый;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«потери» - потери нефтяного сырья, образующиеся при транспортировке трубопроводным транспортом/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«рекуперированное сырье (вторичное нефтяное сырье)» - жидкие углеводороды, извлеченные из попутного нефтяного газа*, нефтесодержащих балластных вод танкеров, шламовых амбаров, загрязненных грунтов и др.;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«топливо дизельное» - дизельное топливо всех марок (летнее, зимнее, арктическое и прочее);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«топливо для реактивных двигателей» - топливо для использования в реактивных авиационных двигателях;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«экспорт»: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в индикативных (прогнозных) балансах газа, нефти и нефтепродуктов государства-члена - величина, характеризующая количество газа, нефти, нефтепродуктов, вывозимых с территории государства-члена, в результате чего уменьшается количество газа, нефти и нефтепродуктов на территории государства-члена;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 xml:space="preserve">в индикативных (прогнозных) балансах газа, нефти и нефтепродуктов Союза - величина, характеризующая количество газа, нефти и нефтепродуктов, вывозимых с территорий государств-членов, 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в результате чего уменьшается количество газа, нефти и нефтепродуктов на таможенной территории Союза.</w:t>
      </w: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Default="000F48C4" w:rsidP="000F48C4">
      <w:pPr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p w:rsidR="000F48C4" w:rsidRDefault="000F48C4" w:rsidP="000F48C4">
      <w:pPr>
        <w:spacing w:after="120"/>
        <w:ind w:left="1134" w:right="1126"/>
        <w:jc w:val="center"/>
        <w:rPr>
          <w:lang w:val="en-US"/>
        </w:rPr>
      </w:pPr>
      <w:r w:rsidRPr="000153AC">
        <w:lastRenderedPageBreak/>
        <w:t>III. Структура индикативных (прогнозных) балансов газа, нефти и нефтепродуктов</w:t>
      </w:r>
    </w:p>
    <w:p w:rsidR="000F48C4" w:rsidRPr="00067192" w:rsidRDefault="000F48C4" w:rsidP="000F48C4">
      <w:pPr>
        <w:spacing w:after="120"/>
        <w:ind w:left="1134" w:right="1126"/>
        <w:jc w:val="center"/>
        <w:rPr>
          <w:lang w:val="en-US"/>
        </w:rPr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5. Индикативные (прогнозные) балансы газа, нефти и нефтепродуктов состоят из 2 балансирующихся блоков: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первый блок «Приходная часть - ресурсы» - характеризует структуру производства (добычи) и поставок газа, нефти, нефтепродуктов в государстве-члене и содержит следующие статьи (показатели):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«Производство (добыча)»;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«Прочие поступления»;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«Импорт из государств-членов»;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«Импорт из третьих государств»;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второй блок «Расходная часть - распределение» - характеризует структуру распределения газа, нефти, нефтепродуктов в государстве-члене и содержит следующие статьи (показатели):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«Экспорт в государства-члены»;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«Экспорт в третьи государства»;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«Поставка на внутренний рынок»;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«Потери».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6. Особенности формирования отдельных статей (показателей) индикативных (прогнозных) балансов газа, нефти и нефтепродуктов определены в разделе IV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7. Значения показателей индикативных (прогнозных) балансов газа, нефти и нефтепродуктов приводятся в натуральных единицах измерения:</w:t>
      </w:r>
    </w:p>
    <w:p w:rsidR="000F48C4" w:rsidRPr="00067192" w:rsidRDefault="000F48C4" w:rsidP="000F48C4">
      <w:pPr>
        <w:spacing w:after="120"/>
        <w:ind w:right="-8" w:firstLine="567"/>
      </w:pPr>
      <w:r w:rsidRPr="000153AC">
        <w:t xml:space="preserve">для газа - </w:t>
      </w:r>
      <w:r>
        <w:t>в миллиардах кубических метров;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для нефтяного сырья - в миллионах тонн;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для бензина автомобильного, топлива дизельного, мазута топочного и топлива для реактивных двигателей - в тысячах тонн.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При формировании индикативных (прогнозных) балансов газа, нефти и нефтепродуктов государств-членов уполномоченные органы государств-членов проводят согласование друг с другом показателей импорта из государств-членов и экспорта в государства-члены для удовлетворения внутренних потребностей государств-членов. В индикативных (прогнозных) балансах газа, нефти и нефтепродуктов государств-членов и индикативных (прогнозных) балансах газа, нефти и нефтепродуктов Союза показатели, характеризующие импорт из третьих государств и экспорт в третьи государства, приводятся справочно и не требуют согласования Евразийской экономической комиссией и государствами-членами.</w:t>
      </w:r>
    </w:p>
    <w:p w:rsidR="000F48C4" w:rsidRPr="000153AC" w:rsidRDefault="000F48C4" w:rsidP="000F48C4">
      <w:pPr>
        <w:spacing w:after="120"/>
        <w:ind w:left="1134" w:right="1126"/>
        <w:jc w:val="center"/>
      </w:pPr>
      <w:r w:rsidRPr="000153AC">
        <w:lastRenderedPageBreak/>
        <w:t>IV. Особенности формирования отдельных статей (показателей) индикативных (прогнозных) балансов</w:t>
      </w:r>
    </w:p>
    <w:p w:rsidR="000F48C4" w:rsidRDefault="000F48C4" w:rsidP="000F48C4">
      <w:pPr>
        <w:spacing w:after="120"/>
        <w:ind w:right="-8"/>
        <w:rPr>
          <w:lang w:val="en-US"/>
        </w:rPr>
      </w:pPr>
    </w:p>
    <w:p w:rsidR="000F48C4" w:rsidRPr="008B0846" w:rsidRDefault="000F48C4" w:rsidP="000F48C4">
      <w:pPr>
        <w:spacing w:after="120"/>
        <w:ind w:right="-8"/>
        <w:jc w:val="center"/>
      </w:pPr>
      <w:r w:rsidRPr="000153AC">
        <w:t>1. Индикативный (прогнозный) баланс газа</w:t>
      </w:r>
    </w:p>
    <w:p w:rsidR="000F48C4" w:rsidRPr="008B0846" w:rsidRDefault="000F48C4" w:rsidP="000F48C4">
      <w:pPr>
        <w:spacing w:after="120"/>
        <w:ind w:right="-8"/>
        <w:jc w:val="center"/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8. Индикативный (прогнозный) баланс газа государства-члена разрабатывается по форме согласно приложению № 1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9. Индикативный (прогнозный) баланс газа Союза формируется по форме согласно приложению № 2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10. В статье «Добыча газа, включая нефтяной попутный» указывается суммарный объем добычи из недр природного и попутного нефтяного газа.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Объем попутного нефтяного газа, сожженного в факелах, в статью «Добыча газа, включая нефтяной попутный» не включается.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Объем газа, закачанного обратно в пласт, в статью «Добыча газа, включая нефтяной попутный» не включается.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11. В статье «Прочие поступления» учитываются газ стабилизации и деэтанизации конденсата газового, а также изменение запасов газа в подземных хранилищах газа и в газопроводных сетях.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12. В статье «Импорт» выделяются субстатьи для отображения объемов импорта (поставок) газа трубопроводным транспортом.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13. В статье «Экспорт» выделяются субстатьи для отображения объемов экспорта (поставок) газа трубопроводным транспортом и в виде сжиженного природного газа.</w:t>
      </w:r>
    </w:p>
    <w:p w:rsidR="000F48C4" w:rsidRDefault="000F48C4" w:rsidP="000F48C4">
      <w:pPr>
        <w:spacing w:after="120"/>
        <w:ind w:right="-8"/>
        <w:rPr>
          <w:lang w:val="en-US"/>
        </w:rPr>
      </w:pP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  <w:r w:rsidRPr="000153AC">
        <w:t>2. Индикативный (прогнозный) баланс нефтяного сырья</w:t>
      </w:r>
    </w:p>
    <w:p w:rsidR="000F48C4" w:rsidRPr="008B0846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14. Индикативный (прогнозный) баланс нефтяного сырья государства-члена разрабатывается по форме согласно приложению № 3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15. Индикативный (прогнозный) баланс нефтяного сырья Союза формируется по форме согласно приложению № 4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16. В статье «Добыча нефти, включая газовый конденсат» указывается объем добычи нефтяного сырья из недр.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17. В статье «Прочие поступления» учитывается объем производства рекуперированного нефтяного сырья, а также изменение остатков нефтяного сырья в системе магистрального нефтепроводного транспорта, в резервуарах нефтеперерабатывающих заводов и недропользователей.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 xml:space="preserve">18. В статье «Импорт» выделяются субстатьи для отображения объемов импорта </w:t>
      </w:r>
      <w:r w:rsidRPr="000153AC">
        <w:lastRenderedPageBreak/>
        <w:t>(поставок) нефтяного сырья трубопроводным транспортом.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19. В статье «Экспорт» выделяются субстатьи для отображения объемов экспорта (поставок) нефтяного сырья трубопроводным транспортом.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20. Потери при добыче и стабилизации нефтяного сырья в статьи индикативного (прогнозного) баланса нефтяного сырья не включаются, кроме потерь нефтяного сырья, образующихся при транспортировке трубопроводным транспортом.</w:t>
      </w: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  <w:r w:rsidRPr="000153AC">
        <w:t>3. Индикативный (прогнозный) баланс бензина автомобильного</w:t>
      </w:r>
    </w:p>
    <w:p w:rsidR="000F48C4" w:rsidRPr="008B0846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21. Индикативный (прогнозный) баланс бензина автомобильного государства-члена разрабатывается по форме согласно приложению № 5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22. Индикативный (прогнозный) баланс бензина автомобильного Союза формируется по форме согласно приложению № 6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23. В статье «Производство» указывается объем производства бензина автомобильного на нефтеперерабатывающих заводах.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24. В статье «Прочие поступления» учитываются изменения запасов бензина автомобильного в системе магистрального нефтепродуктопроводного транспорта, в резервуарах нефтеперерабатывающих заводов и предприятий нефтепродуктообеспечения.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25. В статье «Импорт» субстатьи для отображения объемов импорта (поставок) бензина автомобильного трубопроводным транспортом не выделяются.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26. В статье «Экспорт» субстатьи для отображения объемов экспорта (поставок) бензина автомобильного трубопроводным транспортом не выделяются.</w:t>
      </w: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  <w:r w:rsidRPr="000153AC">
        <w:t>4. Индикативный (прогнозный) баланс топлива дизельного</w:t>
      </w:r>
    </w:p>
    <w:p w:rsidR="000F48C4" w:rsidRPr="008B0846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27. Индикативный (прогнозный) баланс топлива дизельного государства-члена разрабатывается по форме согласно приложению № 7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28. Индикативный (прогнозный) баланс топлива дизельного Союза формируется по форме согласно приложению № 8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29. В статье «Производство» указывается объем производства топлива дизельного на нефтеперерабатывающих заводах.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 xml:space="preserve">30. В статье «Прочие поступления» учитываются изменения запасов топлива дизельного в системе магистрального нефтепродуктопроводного транспорта, в резервуарах нефтеперерабатывающих заводов и предприятий </w:t>
      </w:r>
      <w:r w:rsidRPr="000153AC">
        <w:lastRenderedPageBreak/>
        <w:t>нефтепродуктообеспечения.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31. В статье «Импорт» субстатьи для отображения объемов импорта (поставок) топлива дизельного трубопроводным транспортом не выделяются.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32. В статье «Экспорт» субстатьи для отображения объемов экспорта (поставок) топлива дизельного трубопроводным транспортом не выделяются.</w:t>
      </w:r>
    </w:p>
    <w:p w:rsidR="000F48C4" w:rsidRDefault="000F48C4" w:rsidP="000F48C4">
      <w:pPr>
        <w:spacing w:after="120"/>
        <w:ind w:right="-8"/>
        <w:rPr>
          <w:lang w:val="en-US"/>
        </w:rPr>
      </w:pPr>
    </w:p>
    <w:p w:rsidR="000F48C4" w:rsidRDefault="000F48C4" w:rsidP="000F48C4">
      <w:pPr>
        <w:spacing w:after="120"/>
        <w:ind w:right="-8"/>
        <w:jc w:val="center"/>
        <w:rPr>
          <w:lang w:val="en-US"/>
        </w:rPr>
      </w:pPr>
      <w:r w:rsidRPr="000153AC">
        <w:t>5. Индикативный (прогнозный) баланс мазута топочного</w:t>
      </w:r>
    </w:p>
    <w:p w:rsidR="000F48C4" w:rsidRPr="008B0846" w:rsidRDefault="000F48C4" w:rsidP="000F48C4">
      <w:pPr>
        <w:spacing w:after="120"/>
        <w:ind w:right="-8"/>
        <w:jc w:val="center"/>
        <w:rPr>
          <w:lang w:val="en-US"/>
        </w:rPr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33. Индикативный (прогнозный) баланс мазута топочного государства-члена разрабатывается по форме согласно приложению № 9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34. Индикативный (прогнозный) баланс мазута топочного Союза формируется по форме согласно приложению № 10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35. В статье «Производство» указывается объем товарного производства мазута топочного на нефтеперерабатывающих заводах. Расход на технологические нужды нефтеперерабатывающих заводов в балансах мазута топочного не включается.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36. В статье «Прочие поступления» учитываются изменения запасов мазута топочного в резервуарах нефтеперерабатывающих заводов и предприятий нефтепродуктообеспечения.</w:t>
      </w:r>
    </w:p>
    <w:p w:rsidR="000F48C4" w:rsidRPr="000153AC" w:rsidRDefault="000F48C4" w:rsidP="000F48C4">
      <w:pPr>
        <w:spacing w:after="120"/>
        <w:ind w:right="-8"/>
      </w:pPr>
    </w:p>
    <w:p w:rsidR="000F48C4" w:rsidRPr="000153AC" w:rsidRDefault="000F48C4" w:rsidP="000F48C4">
      <w:pPr>
        <w:spacing w:after="120"/>
        <w:ind w:left="1701" w:right="1693"/>
        <w:jc w:val="center"/>
      </w:pPr>
      <w:r w:rsidRPr="000153AC">
        <w:t>6. Индикативный (прогнозный) баланс топлива для реактивных двигателей</w:t>
      </w:r>
    </w:p>
    <w:p w:rsidR="000F48C4" w:rsidRPr="000153AC" w:rsidRDefault="000F48C4" w:rsidP="000F48C4">
      <w:pPr>
        <w:spacing w:after="120"/>
        <w:ind w:right="-8"/>
      </w:pPr>
    </w:p>
    <w:p w:rsidR="000F48C4" w:rsidRPr="000153AC" w:rsidRDefault="000F48C4" w:rsidP="000F48C4">
      <w:pPr>
        <w:spacing w:after="120"/>
        <w:ind w:right="-8" w:firstLine="567"/>
      </w:pPr>
      <w:r w:rsidRPr="000153AC">
        <w:t>37. Индикативный (прогнозный) баланс топлива для реактивных двигателей государства-члена разрабатывается по форме согласно приложению № 11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38. Индикативный (прогнозный) баланс топлива для реактивных двигателей Союза формируется по форме согласно приложению № 12 к настоящей Методологии.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39. В статье «Производство» указывается объем производства топлива для реактивных двигателей на нефтеперерабатывающих заводах.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40. В статье «Прочие поступления» учитываются изменения запасов топлива для реактивных двигателей в системе магистрального нефтепродуктопроводного транспорта, в резервуарах нефтеперерабатывающих заводов и предприятий нефтепродуктообеспечения.</w:t>
      </w:r>
    </w:p>
    <w:p w:rsidR="000F48C4" w:rsidRPr="000153AC" w:rsidRDefault="000F48C4" w:rsidP="000F48C4">
      <w:pPr>
        <w:spacing w:after="120"/>
        <w:ind w:right="-8" w:firstLine="567"/>
      </w:pPr>
      <w:r w:rsidRPr="000153AC">
        <w:t>41. В статье «Импорт» субстатьи для отображения объемов импорта (поставок) топлива для реактивных двигателей трубопроводным транспортом не выделяются.</w:t>
      </w:r>
    </w:p>
    <w:p w:rsidR="000F48C4" w:rsidRDefault="000F48C4" w:rsidP="000F48C4">
      <w:pPr>
        <w:spacing w:after="120"/>
        <w:ind w:right="-8" w:firstLine="567"/>
      </w:pPr>
      <w:r w:rsidRPr="000153AC">
        <w:t xml:space="preserve">42. В статье «Экспорт» субстатьи для отображения объемов экспорта (поставок) </w:t>
      </w:r>
      <w:r w:rsidRPr="000153AC">
        <w:lastRenderedPageBreak/>
        <w:t>топлива для реактивных двигателей трубопроводным транспортом не выделяются</w:t>
      </w:r>
    </w:p>
    <w:p w:rsidR="000F48C4" w:rsidRDefault="000F48C4" w:rsidP="000F48C4">
      <w:pPr>
        <w:rPr>
          <w:lang w:val="en-US"/>
        </w:rPr>
      </w:pPr>
    </w:p>
    <w:p w:rsidR="000F48C4" w:rsidRPr="005774A4" w:rsidRDefault="000F48C4" w:rsidP="000F48C4">
      <w:r w:rsidRPr="00F214FA">
        <w:t xml:space="preserve">* </w:t>
      </w:r>
      <w:r>
        <w:t>Относится к Российской Федерации.</w:t>
      </w:r>
    </w:p>
    <w:p w:rsidR="000F48C4" w:rsidRDefault="000F48C4" w:rsidP="000F48C4">
      <w:pPr>
        <w:rPr>
          <w:rFonts w:eastAsia="Times New Roman" w:cs="Times New Roman"/>
        </w:rPr>
      </w:pPr>
      <w:r>
        <w:br w:type="page"/>
      </w:r>
    </w:p>
    <w:p w:rsidR="000F48C4" w:rsidRPr="00F214FA" w:rsidRDefault="000F48C4" w:rsidP="000F48C4">
      <w:pPr>
        <w:spacing w:after="120"/>
        <w:ind w:left="4536" w:right="-8"/>
        <w:jc w:val="center"/>
        <w:rPr>
          <w:lang w:val="en-US"/>
        </w:rPr>
      </w:pPr>
      <w:r w:rsidRPr="000153AC">
        <w:rPr>
          <w:rStyle w:val="Headerorfooter3"/>
          <w:rFonts w:ascii="Sylfaen" w:eastAsia="Sylfaen" w:hAnsi="Sylfaen"/>
        </w:rPr>
        <w:lastRenderedPageBreak/>
        <w:t xml:space="preserve">ПРИЛОЖЕНИЕ № </w:t>
      </w:r>
      <w:r>
        <w:rPr>
          <w:lang w:val="en-US"/>
        </w:rPr>
        <w:t>1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газа</w:t>
      </w:r>
    </w:p>
    <w:p w:rsidR="000F48C4" w:rsidRPr="000153AC" w:rsidRDefault="000F48C4" w:rsidP="000F48C4">
      <w:pPr>
        <w:pStyle w:val="Bodytext7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_______________________________________________________________________</w:t>
      </w:r>
    </w:p>
    <w:p w:rsidR="000F48C4" w:rsidRPr="00F214FA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rPr>
          <w:rFonts w:ascii="Sylfaen" w:hAnsi="Sylfaen"/>
          <w:sz w:val="20"/>
          <w:szCs w:val="20"/>
        </w:rPr>
      </w:pPr>
      <w:r w:rsidRPr="00F214FA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на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0153AC">
        <w:rPr>
          <w:rFonts w:ascii="Sylfaen" w:hAnsi="Sylfaen"/>
          <w:sz w:val="24"/>
          <w:szCs w:val="24"/>
        </w:rPr>
        <w:t xml:space="preserve">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годы</w:t>
      </w:r>
    </w:p>
    <w:p w:rsidR="000F48C4" w:rsidRPr="000153AC" w:rsidRDefault="000F48C4" w:rsidP="000F48C4">
      <w:pPr>
        <w:pStyle w:val="Bodytext50"/>
        <w:shd w:val="clear" w:color="auto" w:fill="auto"/>
        <w:spacing w:before="0" w:after="120" w:line="240" w:lineRule="auto"/>
        <w:ind w:right="-8" w:firstLine="0"/>
        <w:rPr>
          <w:rFonts w:ascii="Sylfaen" w:hAnsi="Sylfaen"/>
        </w:rPr>
      </w:pPr>
      <w:r w:rsidRPr="000153AC">
        <w:rPr>
          <w:rFonts w:ascii="Sylfaen" w:hAnsi="Sylfaen"/>
        </w:rPr>
        <w:t>(млрд. куб. м)</w:t>
      </w:r>
    </w:p>
    <w:tbl>
      <w:tblPr>
        <w:tblOverlap w:val="never"/>
        <w:tblW w:w="9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1444"/>
        <w:gridCol w:w="1440"/>
        <w:gridCol w:w="684"/>
        <w:gridCol w:w="698"/>
        <w:gridCol w:w="709"/>
      </w:tblGrid>
      <w:tr w:rsidR="000F48C4" w:rsidRPr="000153AC" w:rsidTr="002352D2">
        <w:trPr>
          <w:tblHeader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 показатель за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___</w:t>
            </w:r>
            <w:r w:rsidRPr="000153AC">
              <w:rPr>
                <w:rStyle w:val="Bodytext212pt"/>
                <w:rFonts w:ascii="Sylfaen" w:eastAsia="Sylfaen" w:hAnsi="Sylfaen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___</w:t>
            </w:r>
            <w:r w:rsidRPr="000153AC">
              <w:rPr>
                <w:rStyle w:val="Bodytext212pt"/>
                <w:rFonts w:ascii="Sylfaen" w:eastAsia="Sylfaen" w:hAnsi="Sylfaen"/>
              </w:rPr>
              <w:t xml:space="preserve"> году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 w:rsidRPr="000153AC">
              <w:rPr>
                <w:rStyle w:val="Bodytext212pt"/>
                <w:rFonts w:ascii="Sylfaen" w:eastAsia="Sylfaen" w:hAnsi="Sylfaen"/>
                <w:lang w:val="en-US" w:eastAsia="en-US" w:bidi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blHeader/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 w:rsidRPr="000153AC">
              <w:rPr>
                <w:rStyle w:val="Bodytext212pt"/>
                <w:rFonts w:ascii="Sylfaen" w:eastAsia="Sylfaen" w:hAnsi="Sylfaen"/>
                <w:lang w:val="en-US" w:eastAsia="en-US" w:bidi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20___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 w:rsidRPr="000153AC">
              <w:rPr>
                <w:rStyle w:val="Bodytext212pt"/>
                <w:rFonts w:ascii="Sylfaen" w:eastAsia="Sylfaen" w:hAnsi="Sylfaen"/>
                <w:lang w:val="en-US" w:eastAsia="en-US" w:bidi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20___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29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 w:rsidRPr="000153AC">
              <w:rPr>
                <w:rStyle w:val="Bodytext212pt"/>
                <w:rFonts w:ascii="Sylfaen" w:eastAsia="Sylfaen" w:hAnsi="Sylfaen"/>
                <w:lang w:val="en-US" w:eastAsia="en-US" w:bidi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20___</w:t>
            </w:r>
            <w:r w:rsidRPr="000153AC">
              <w:rPr>
                <w:rStyle w:val="Bodytext212pt"/>
                <w:rFonts w:ascii="Sylfaen" w:eastAsia="Sylfaen" w:hAnsi="Sylfaen"/>
                <w:lang w:val="en-US" w:eastAsia="en-US" w:bidi="en-US"/>
              </w:rPr>
              <w:t xml:space="preserve"> </w:t>
            </w:r>
            <w:r>
              <w:rPr>
                <w:rStyle w:val="Bodytext212pt"/>
                <w:rFonts w:ascii="Sylfaen" w:eastAsia="Sylfaen" w:hAnsi="Sylfaen"/>
                <w:lang w:val="en-US" w:eastAsia="en-US" w:bidi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оду</w:t>
            </w: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Добыча газа, включая нефтяной попутный*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государств-членов**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E16A53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третьих государств*</w:t>
            </w:r>
          </w:p>
          <w:p w:rsidR="000F48C4" w:rsidRPr="008F154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</w:t>
            </w:r>
            <w:r w:rsidRPr="00E16A53">
              <w:rPr>
                <w:rStyle w:val="Bodytext212pt"/>
                <w:rFonts w:ascii="Sylfaen" w:eastAsia="Sylfaen" w:hAnsi="Sylfaen"/>
                <w:lang w:eastAsia="en-US" w:bidi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7E042C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**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772F11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772F11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772F11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772F11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772F11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772F11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третьи государства*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числе: трубопроводным транспортом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виде сжиженного природного газа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7E042C" w:rsidRDefault="000F48C4" w:rsidP="000F48C4">
      <w:pPr>
        <w:pStyle w:val="Tablecaption2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  <w:lang w:bidi="en-US"/>
        </w:rPr>
        <w:t xml:space="preserve">* </w:t>
      </w:r>
      <w:r w:rsidRPr="000153AC">
        <w:rPr>
          <w:rFonts w:ascii="Sylfaen" w:hAnsi="Sylfaen"/>
          <w:sz w:val="24"/>
          <w:szCs w:val="24"/>
        </w:rPr>
        <w:t>Указывается справочно и не требует согласования уполномоченными органами государств-членов.</w:t>
      </w:r>
    </w:p>
    <w:p w:rsidR="000F48C4" w:rsidRPr="000153AC" w:rsidRDefault="000F48C4" w:rsidP="000F48C4">
      <w:pPr>
        <w:spacing w:after="120"/>
        <w:ind w:right="-8"/>
      </w:pPr>
      <w:r w:rsidRPr="007E042C">
        <w:lastRenderedPageBreak/>
        <w:t xml:space="preserve">** </w:t>
      </w:r>
      <w:r>
        <w:t>Не указывается государство-член, которое представляет настоящий баланс.</w:t>
      </w:r>
    </w:p>
    <w:p w:rsidR="000F48C4" w:rsidRPr="007E042C" w:rsidRDefault="000F48C4" w:rsidP="000F48C4">
      <w:pPr>
        <w:pStyle w:val="Tablecaption2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</w:p>
    <w:p w:rsidR="000F48C4" w:rsidRPr="000153AC" w:rsidRDefault="000F48C4" w:rsidP="000F48C4">
      <w:pPr>
        <w:spacing w:after="120"/>
        <w:ind w:right="-8"/>
      </w:pPr>
    </w:p>
    <w:p w:rsidR="000F48C4" w:rsidRPr="000153AC" w:rsidRDefault="000F48C4" w:rsidP="000F48C4">
      <w:pPr>
        <w:spacing w:after="120"/>
        <w:ind w:right="-8"/>
      </w:pPr>
    </w:p>
    <w:p w:rsidR="000F48C4" w:rsidRDefault="000F48C4" w:rsidP="000F48C4">
      <w:r>
        <w:br w:type="page"/>
      </w:r>
    </w:p>
    <w:p w:rsidR="000F48C4" w:rsidRPr="007E042C" w:rsidRDefault="000F48C4" w:rsidP="000F48C4">
      <w:pPr>
        <w:spacing w:after="120"/>
        <w:ind w:left="4536" w:right="-8"/>
        <w:jc w:val="center"/>
        <w:rPr>
          <w:lang w:val="en-US"/>
        </w:rPr>
      </w:pPr>
      <w:r w:rsidRPr="000153AC">
        <w:rPr>
          <w:rStyle w:val="Headerorfooter3"/>
          <w:rFonts w:ascii="Sylfaen" w:eastAsia="Sylfaen" w:hAnsi="Sylfaen"/>
        </w:rPr>
        <w:lastRenderedPageBreak/>
        <w:t xml:space="preserve">ПРИЛОЖЕНИЕ № </w:t>
      </w:r>
      <w:r>
        <w:rPr>
          <w:lang w:val="en-US"/>
        </w:rPr>
        <w:t>2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Bodytext30"/>
        <w:shd w:val="clear" w:color="auto" w:fill="auto"/>
        <w:spacing w:after="120" w:line="240" w:lineRule="auto"/>
        <w:ind w:right="-8"/>
        <w:jc w:val="left"/>
        <w:rPr>
          <w:rFonts w:ascii="Sylfaen" w:hAnsi="Sylfaen"/>
          <w:sz w:val="24"/>
          <w:szCs w:val="24"/>
        </w:rPr>
      </w:pPr>
    </w:p>
    <w:p w:rsidR="000F48C4" w:rsidRPr="00FF6F21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газа Ев</w:t>
      </w:r>
      <w:r>
        <w:rPr>
          <w:rFonts w:ascii="Sylfaen" w:hAnsi="Sylfaen"/>
          <w:sz w:val="24"/>
          <w:szCs w:val="24"/>
        </w:rPr>
        <w:t>разийского экономического союза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на 20</w:t>
      </w:r>
      <w:r w:rsidRPr="00FF6F21"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- 20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годы</w:t>
      </w:r>
    </w:p>
    <w:p w:rsidR="000F48C4" w:rsidRPr="000153AC" w:rsidRDefault="000F48C4" w:rsidP="000F48C4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</w:rPr>
      </w:pPr>
      <w:r w:rsidRPr="000153AC">
        <w:rPr>
          <w:rFonts w:ascii="Sylfaen" w:hAnsi="Sylfaen"/>
        </w:rPr>
        <w:t>(млрд. куб. м)</w:t>
      </w:r>
    </w:p>
    <w:tbl>
      <w:tblPr>
        <w:tblOverlap w:val="never"/>
        <w:tblW w:w="9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0"/>
        <w:gridCol w:w="1440"/>
        <w:gridCol w:w="1465"/>
        <w:gridCol w:w="698"/>
        <w:gridCol w:w="691"/>
        <w:gridCol w:w="706"/>
      </w:tblGrid>
      <w:tr w:rsidR="000F48C4" w:rsidRPr="000153AC" w:rsidTr="002352D2">
        <w:trPr>
          <w:trHeight w:val="436"/>
          <w:tblHeader/>
          <w:jc w:val="center"/>
        </w:trPr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за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год*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>
              <w:rPr>
                <w:rStyle w:val="Bodytext212pt"/>
                <w:rFonts w:ascii="Sylfaen" w:eastAsia="Sylfaen" w:hAnsi="Sylfaen"/>
              </w:rPr>
              <w:t>Ожидаемый показатель в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2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в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Добыча газа, включая нефтяной попутный**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C0431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C0431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F5646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 xml:space="preserve">в </w:t>
            </w:r>
            <w:r>
              <w:rPr>
                <w:rStyle w:val="Bodytext212pt"/>
                <w:rFonts w:ascii="Sylfaen" w:eastAsia="Sylfaen" w:hAnsi="Sylfaen"/>
              </w:rPr>
              <w:t>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</w:t>
            </w:r>
            <w:r>
              <w:rPr>
                <w:rStyle w:val="Bodytext212pt"/>
                <w:rFonts w:ascii="Sylfaen" w:eastAsia="Sylfaen" w:hAnsi="Sylfaen"/>
              </w:rPr>
              <w:t xml:space="preserve">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6E2A1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143128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143128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143128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Республику Беларус</w:t>
            </w:r>
            <w:r>
              <w:rPr>
                <w:rStyle w:val="Bodytext212pt"/>
                <w:rFonts w:ascii="Sylfaen" w:eastAsia="Sylfaen" w:hAnsi="Sylfaen"/>
              </w:rPr>
              <w:t>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</w:t>
            </w:r>
            <w:r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</w:t>
            </w:r>
            <w:r>
              <w:rPr>
                <w:rStyle w:val="Bodytext212pt"/>
                <w:rFonts w:ascii="Sylfaen" w:eastAsia="Sylfaen" w:hAnsi="Sylfaen"/>
              </w:rPr>
              <w:t>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lastRenderedPageBreak/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третьих государств**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Республику Армения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</w:t>
            </w:r>
            <w:r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lastRenderedPageBreak/>
              <w:t>из Республики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lastRenderedPageBreak/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</w:t>
            </w:r>
            <w:r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государства**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числе: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виде сжиженного природного газа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числе: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виде сжиженного природного газа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числе: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виде сжиженного природного газа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числе: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виде сжиженного природного газа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числе: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виде сжиженного природного газа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vMerge w:val="restart"/>
            <w:shd w:val="clear" w:color="auto" w:fill="FFFFFF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Default="000F48C4" w:rsidP="002352D2">
            <w:pPr>
              <w:spacing w:after="120"/>
              <w:ind w:right="-6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6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0" w:type="dxa"/>
            <w:vMerge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0153AC" w:rsidRDefault="000F48C4" w:rsidP="000F48C4">
      <w:pPr>
        <w:spacing w:after="120"/>
        <w:ind w:right="-8"/>
      </w:pPr>
    </w:p>
    <w:p w:rsidR="000F48C4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* Заполняется Комиссией на основе статистических данных, представленных</w:t>
      </w:r>
      <w:r>
        <w:rPr>
          <w:rFonts w:ascii="Sylfaen" w:hAnsi="Sylfaen"/>
          <w:sz w:val="24"/>
          <w:szCs w:val="24"/>
        </w:rPr>
        <w:t xml:space="preserve"> </w:t>
      </w:r>
      <w:r w:rsidRPr="000153AC">
        <w:rPr>
          <w:rFonts w:ascii="Sylfaen" w:hAnsi="Sylfaen"/>
          <w:sz w:val="24"/>
          <w:szCs w:val="24"/>
        </w:rPr>
        <w:t>государствами-членами.</w:t>
      </w:r>
    </w:p>
    <w:p w:rsidR="000F48C4" w:rsidRPr="000153AC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** </w:t>
      </w:r>
      <w:r w:rsidRPr="000153AC">
        <w:rPr>
          <w:rFonts w:ascii="Sylfaen" w:hAnsi="Sylfaen"/>
          <w:sz w:val="24"/>
          <w:szCs w:val="24"/>
        </w:rPr>
        <w:t>Указывается справочно и не требует согласования уполномоченными органами государств-членов.</w:t>
      </w:r>
    </w:p>
    <w:p w:rsidR="000F48C4" w:rsidRDefault="000F48C4" w:rsidP="000F48C4">
      <w:r>
        <w:br w:type="page"/>
      </w:r>
    </w:p>
    <w:p w:rsidR="000F48C4" w:rsidRDefault="000F48C4" w:rsidP="000F48C4">
      <w:pPr>
        <w:spacing w:after="120"/>
        <w:ind w:left="4536" w:right="-8"/>
        <w:jc w:val="center"/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>
        <w:t>3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bookmarkStart w:id="0" w:name="bookmark0"/>
    </w:p>
    <w:p w:rsidR="000F48C4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нефтяного сырья</w:t>
      </w:r>
      <w:bookmarkEnd w:id="0"/>
    </w:p>
    <w:p w:rsidR="000F48C4" w:rsidRPr="000153AC" w:rsidRDefault="000F48C4" w:rsidP="000F48C4">
      <w:pPr>
        <w:pStyle w:val="Bodytext7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_______________________________________________________________________</w:t>
      </w:r>
    </w:p>
    <w:p w:rsidR="000F48C4" w:rsidRPr="00F214FA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rPr>
          <w:rFonts w:ascii="Sylfaen" w:hAnsi="Sylfaen"/>
          <w:sz w:val="20"/>
          <w:szCs w:val="20"/>
        </w:rPr>
      </w:pPr>
      <w:r w:rsidRPr="00F214FA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на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0153AC">
        <w:rPr>
          <w:rFonts w:ascii="Sylfaen" w:hAnsi="Sylfaen"/>
          <w:sz w:val="24"/>
          <w:szCs w:val="24"/>
        </w:rPr>
        <w:t xml:space="preserve">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годы</w:t>
      </w:r>
    </w:p>
    <w:p w:rsidR="000F48C4" w:rsidRPr="000153AC" w:rsidRDefault="000F48C4" w:rsidP="000F48C4">
      <w:pPr>
        <w:pStyle w:val="Bodytext50"/>
        <w:shd w:val="clear" w:color="auto" w:fill="auto"/>
        <w:spacing w:before="0" w:after="120" w:line="240" w:lineRule="auto"/>
        <w:ind w:right="-8" w:firstLine="0"/>
        <w:rPr>
          <w:rFonts w:ascii="Sylfaen" w:hAnsi="Sylfaen"/>
        </w:rPr>
      </w:pPr>
      <w:r w:rsidRPr="000153AC">
        <w:rPr>
          <w:rFonts w:ascii="Sylfaen" w:hAnsi="Sylfaen"/>
        </w:rPr>
        <w:t xml:space="preserve"> (млн.тонн)</w:t>
      </w:r>
    </w:p>
    <w:tbl>
      <w:tblPr>
        <w:tblOverlap w:val="never"/>
        <w:tblW w:w="92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5"/>
        <w:gridCol w:w="1411"/>
        <w:gridCol w:w="1469"/>
        <w:gridCol w:w="695"/>
        <w:gridCol w:w="695"/>
        <w:gridCol w:w="709"/>
      </w:tblGrid>
      <w:tr w:rsidR="000F48C4" w:rsidRPr="000153AC" w:rsidTr="002352D2">
        <w:trPr>
          <w:trHeight w:val="436"/>
          <w:tblHeader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 показатель за 20 год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 году</w:t>
            </w:r>
          </w:p>
        </w:tc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</w:p>
        </w:tc>
        <w:tc>
          <w:tcPr>
            <w:tcW w:w="20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</w:rPr>
              <w:t>___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left="25" w:right="22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Добыча нефти, включая газовый конденсат*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6D119C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**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третьих государств*</w:t>
            </w:r>
          </w:p>
          <w:p w:rsidR="000F48C4" w:rsidRPr="006D119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**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</w:t>
            </w:r>
            <w:r>
              <w:rPr>
                <w:rStyle w:val="Bodytext212pt"/>
                <w:rFonts w:ascii="Sylfaen" w:eastAsia="Sylfaen" w:hAnsi="Sylfaen"/>
              </w:rPr>
              <w:t>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</w:t>
            </w:r>
          </w:p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трубопроводным транспортом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724AA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Потери</w:t>
            </w:r>
          </w:p>
        </w:tc>
        <w:tc>
          <w:tcPr>
            <w:tcW w:w="141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FC3D26" w:rsidRDefault="000F48C4" w:rsidP="000F48C4">
      <w:pPr>
        <w:pStyle w:val="Footnote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F48C4" w:rsidRPr="00FC3D26" w:rsidRDefault="000F48C4" w:rsidP="000F48C4">
      <w:pPr>
        <w:spacing w:after="120"/>
        <w:ind w:right="-8"/>
        <w:jc w:val="both"/>
      </w:pPr>
      <w:r w:rsidRPr="00FC3D26">
        <w:t xml:space="preserve">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Pr="00FC3D26" w:rsidRDefault="000F48C4" w:rsidP="000F48C4">
      <w:pPr>
        <w:spacing w:after="120"/>
        <w:ind w:right="-8"/>
        <w:jc w:val="both"/>
      </w:pPr>
      <w:r w:rsidRPr="00FC3D26">
        <w:t xml:space="preserve">** </w:t>
      </w:r>
      <w:r>
        <w:t>Не указывается государство-член, которое представляет настоящий баланс.</w:t>
      </w:r>
    </w:p>
    <w:p w:rsidR="000F48C4" w:rsidRDefault="000F48C4" w:rsidP="000F48C4">
      <w:r>
        <w:br w:type="page"/>
      </w:r>
    </w:p>
    <w:p w:rsidR="000F48C4" w:rsidRPr="002F378F" w:rsidRDefault="000F48C4" w:rsidP="000F48C4">
      <w:pPr>
        <w:spacing w:after="120"/>
        <w:ind w:left="4536" w:right="-8"/>
        <w:jc w:val="center"/>
        <w:rPr>
          <w:lang w:val="en-US"/>
        </w:rPr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>
        <w:rPr>
          <w:rStyle w:val="Headerorfooter3"/>
          <w:rFonts w:ascii="Sylfaen" w:eastAsia="Sylfaen" w:hAnsi="Sylfaen"/>
          <w:lang w:val="en-US"/>
        </w:rPr>
        <w:t>4</w:t>
      </w:r>
    </w:p>
    <w:p w:rsidR="000F48C4" w:rsidRDefault="000F48C4" w:rsidP="000F48C4">
      <w:pPr>
        <w:spacing w:after="120"/>
        <w:ind w:left="4536" w:right="-8"/>
        <w:jc w:val="center"/>
        <w:rPr>
          <w:lang w:val="en-US"/>
        </w:rPr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Pr="002F378F" w:rsidRDefault="000F48C4" w:rsidP="000F48C4">
      <w:pPr>
        <w:spacing w:after="120"/>
        <w:ind w:left="4536" w:right="-8"/>
        <w:jc w:val="center"/>
        <w:rPr>
          <w:lang w:val="en-US"/>
        </w:rPr>
      </w:pP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нефтяного сырья Евразийского экономического союза на 20 - 20 годы</w:t>
      </w:r>
    </w:p>
    <w:p w:rsidR="000F48C4" w:rsidRPr="000153AC" w:rsidRDefault="000F48C4" w:rsidP="000F48C4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</w:rPr>
      </w:pPr>
      <w:r w:rsidRPr="000153AC">
        <w:rPr>
          <w:rFonts w:ascii="Sylfaen" w:hAnsi="Sylfaen"/>
        </w:rPr>
        <w:t>(млн. тонн)</w:t>
      </w:r>
    </w:p>
    <w:tbl>
      <w:tblPr>
        <w:tblOverlap w:val="never"/>
        <w:tblW w:w="92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8"/>
        <w:gridCol w:w="1433"/>
        <w:gridCol w:w="1440"/>
        <w:gridCol w:w="695"/>
        <w:gridCol w:w="695"/>
        <w:gridCol w:w="713"/>
      </w:tblGrid>
      <w:tr w:rsidR="000F48C4" w:rsidRPr="000153AC" w:rsidTr="002352D2">
        <w:trPr>
          <w:trHeight w:val="436"/>
          <w:tblHeader/>
          <w:jc w:val="center"/>
        </w:trPr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за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 году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2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в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Добыча нефти, включая газовый конденсат**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3A21A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3A21A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3A21A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3A21A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center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624996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</w:t>
            </w:r>
            <w:r w:rsidRPr="00624996"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62499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Республику Беларусь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center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 xml:space="preserve">в Республику </w:t>
            </w:r>
            <w:r>
              <w:rPr>
                <w:rStyle w:val="Bodytext212pt"/>
                <w:rFonts w:ascii="Sylfaen" w:eastAsia="Sylfaen" w:hAnsi="Sylfaen"/>
              </w:rPr>
              <w:t>Беларусь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</w:t>
            </w:r>
            <w:r>
              <w:rPr>
                <w:rStyle w:val="Bodytext212pt"/>
                <w:rFonts w:ascii="Sylfaen" w:eastAsia="Sylfaen" w:hAnsi="Sylfaen"/>
              </w:rPr>
              <w:t xml:space="preserve"> Казахстан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BA5B90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государств**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Pr="00283E4A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283E4A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Республику Армения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9833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2068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Pr="002068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из Республики Армения</w:t>
            </w:r>
          </w:p>
          <w:p w:rsidR="000F48C4" w:rsidRPr="002068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2068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2068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</w:t>
            </w:r>
            <w:r>
              <w:rPr>
                <w:rStyle w:val="Bodytext212pt"/>
                <w:rFonts w:ascii="Sylfaen" w:eastAsia="Sylfaen" w:hAnsi="Sylfaen"/>
              </w:rPr>
              <w:t>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</w:t>
            </w:r>
            <w:r w:rsidRPr="00536ABD">
              <w:rPr>
                <w:rStyle w:val="Bodytext212pt"/>
                <w:rFonts w:ascii="Sylfaen" w:eastAsia="Sylfaen" w:hAnsi="Sylfaen"/>
              </w:rPr>
              <w:t xml:space="preserve">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536ABD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lastRenderedPageBreak/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из</w:t>
            </w:r>
            <w:r>
              <w:rPr>
                <w:rStyle w:val="Bodytext212pt"/>
                <w:rFonts w:ascii="Sylfaen" w:eastAsia="Sylfaen" w:hAnsi="Sylfaen"/>
              </w:rPr>
              <w:t xml:space="preserve"> Кыргызской Республики</w:t>
            </w:r>
          </w:p>
          <w:p w:rsidR="000F48C4" w:rsidRPr="00D45D8A" w:rsidRDefault="000F48C4" w:rsidP="002352D2">
            <w:pPr>
              <w:spacing w:after="120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  <w:r w:rsidRPr="00536ABD">
              <w:rPr>
                <w:rStyle w:val="Bodytext212pt"/>
                <w:rFonts w:ascii="Sylfaen" w:eastAsia="Sylfaen" w:hAnsi="Sylfaen"/>
              </w:rPr>
              <w:t>в третьи государства**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536ABD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536ABD" w:rsidRDefault="000F48C4" w:rsidP="002352D2">
            <w:pPr>
              <w:spacing w:after="120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</w:t>
            </w:r>
            <w:r w:rsidRPr="003069A2"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1440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695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  <w:tc>
          <w:tcPr>
            <w:tcW w:w="713" w:type="dxa"/>
            <w:shd w:val="clear" w:color="auto" w:fill="FFFFFF"/>
          </w:tcPr>
          <w:p w:rsidR="000F48C4" w:rsidRPr="00536ABD" w:rsidRDefault="000F48C4" w:rsidP="002352D2">
            <w:pPr>
              <w:spacing w:after="120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том числе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трубопроводным транспортом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Поставка на внутренний рынок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  <w:vAlign w:val="bottom"/>
          </w:tcPr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3069A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Потери</w:t>
            </w:r>
          </w:p>
        </w:tc>
        <w:tc>
          <w:tcPr>
            <w:tcW w:w="143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0153AC" w:rsidRDefault="000F48C4" w:rsidP="000F48C4">
      <w:pPr>
        <w:spacing w:after="120"/>
        <w:ind w:right="-8"/>
      </w:pPr>
    </w:p>
    <w:p w:rsidR="000F48C4" w:rsidRPr="000153AC" w:rsidRDefault="000F48C4" w:rsidP="000F48C4">
      <w:pPr>
        <w:pStyle w:val="Footnote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r w:rsidRPr="00800E43">
        <w:rPr>
          <w:rFonts w:ascii="Sylfaen" w:hAnsi="Sylfaen"/>
          <w:sz w:val="24"/>
          <w:szCs w:val="24"/>
        </w:rPr>
        <w:t xml:space="preserve">* </w:t>
      </w:r>
      <w:r w:rsidRPr="000153AC">
        <w:rPr>
          <w:rFonts w:ascii="Sylfaen" w:hAnsi="Sylfaen"/>
          <w:sz w:val="24"/>
          <w:szCs w:val="24"/>
        </w:rPr>
        <w:t>Заполняется Комиссией на основе статистических данных, представленных</w:t>
      </w:r>
      <w:r w:rsidRPr="00800E43">
        <w:rPr>
          <w:rFonts w:ascii="Sylfaen" w:hAnsi="Sylfaen"/>
          <w:sz w:val="24"/>
          <w:szCs w:val="24"/>
        </w:rPr>
        <w:t xml:space="preserve"> </w:t>
      </w:r>
      <w:r w:rsidRPr="000153AC">
        <w:rPr>
          <w:rFonts w:ascii="Sylfaen" w:hAnsi="Sylfaen"/>
          <w:sz w:val="24"/>
          <w:szCs w:val="24"/>
        </w:rPr>
        <w:t>государствами-членами.</w:t>
      </w:r>
    </w:p>
    <w:p w:rsidR="000F48C4" w:rsidRPr="007D2F35" w:rsidRDefault="000F48C4" w:rsidP="000F48C4">
      <w:pPr>
        <w:spacing w:after="120"/>
        <w:ind w:right="-8"/>
        <w:jc w:val="both"/>
      </w:pPr>
      <w:r w:rsidRPr="007D2F35">
        <w:t xml:space="preserve">**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Pr="000153AC" w:rsidRDefault="000F48C4" w:rsidP="000F48C4">
      <w:pPr>
        <w:spacing w:after="120"/>
        <w:ind w:right="-8"/>
      </w:pPr>
    </w:p>
    <w:p w:rsidR="000F48C4" w:rsidRDefault="000F48C4" w:rsidP="000F48C4">
      <w:r>
        <w:br w:type="page"/>
      </w:r>
    </w:p>
    <w:p w:rsidR="000F48C4" w:rsidRPr="00046DFD" w:rsidRDefault="000F48C4" w:rsidP="000F48C4">
      <w:pPr>
        <w:spacing w:after="120"/>
        <w:ind w:left="4536" w:right="-8"/>
        <w:jc w:val="center"/>
        <w:rPr>
          <w:lang w:val="en-US"/>
        </w:rPr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>
        <w:rPr>
          <w:rStyle w:val="Headerorfooter3"/>
          <w:rFonts w:ascii="Sylfaen" w:eastAsia="Sylfaen" w:hAnsi="Sylfaen"/>
          <w:lang w:val="en-US"/>
        </w:rPr>
        <w:t>5</w:t>
      </w:r>
    </w:p>
    <w:p w:rsidR="000F48C4" w:rsidRDefault="000F48C4" w:rsidP="000F48C4">
      <w:pPr>
        <w:spacing w:after="120"/>
        <w:ind w:left="4536" w:right="-8"/>
        <w:jc w:val="center"/>
        <w:rPr>
          <w:lang w:val="en-US"/>
        </w:rPr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Pr="00046DFD" w:rsidRDefault="000F48C4" w:rsidP="000F48C4">
      <w:pPr>
        <w:spacing w:after="120"/>
        <w:ind w:left="4536" w:right="-8"/>
        <w:jc w:val="center"/>
        <w:rPr>
          <w:lang w:val="en-US"/>
        </w:rPr>
      </w:pPr>
    </w:p>
    <w:p w:rsidR="000F48C4" w:rsidRPr="00232399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bookmarkStart w:id="1" w:name="bookmark1"/>
      <w:r w:rsidRPr="000153AC">
        <w:rPr>
          <w:rFonts w:ascii="Sylfaen" w:hAnsi="Sylfaen"/>
          <w:sz w:val="24"/>
          <w:szCs w:val="24"/>
        </w:rPr>
        <w:t>Индикативный (прогнозный) баланс бензина автомобильного</w:t>
      </w:r>
      <w:bookmarkEnd w:id="1"/>
    </w:p>
    <w:p w:rsidR="000F48C4" w:rsidRPr="000153AC" w:rsidRDefault="000F48C4" w:rsidP="000F48C4">
      <w:pPr>
        <w:pStyle w:val="Bodytext7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_______________________________________________________________________</w:t>
      </w:r>
    </w:p>
    <w:p w:rsidR="000F48C4" w:rsidRPr="00F214FA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rPr>
          <w:rFonts w:ascii="Sylfaen" w:hAnsi="Sylfaen"/>
          <w:sz w:val="20"/>
          <w:szCs w:val="20"/>
        </w:rPr>
      </w:pPr>
      <w:r w:rsidRPr="00F214FA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на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0153AC">
        <w:rPr>
          <w:rFonts w:ascii="Sylfaen" w:hAnsi="Sylfaen"/>
          <w:sz w:val="24"/>
          <w:szCs w:val="24"/>
        </w:rPr>
        <w:t xml:space="preserve">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годы</w:t>
      </w:r>
    </w:p>
    <w:p w:rsidR="000F48C4" w:rsidRPr="000153AC" w:rsidRDefault="000F48C4" w:rsidP="000F48C4">
      <w:pPr>
        <w:pStyle w:val="Bodytext50"/>
        <w:shd w:val="clear" w:color="auto" w:fill="auto"/>
        <w:spacing w:before="0" w:after="120" w:line="240" w:lineRule="auto"/>
        <w:ind w:right="-8" w:firstLine="0"/>
        <w:rPr>
          <w:rFonts w:ascii="Sylfaen" w:hAnsi="Sylfaen"/>
        </w:rPr>
      </w:pPr>
      <w:r w:rsidRPr="000153AC">
        <w:rPr>
          <w:rFonts w:ascii="Sylfaen" w:hAnsi="Sylfaen"/>
        </w:rPr>
        <w:t>(тыс.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1444"/>
        <w:gridCol w:w="1440"/>
        <w:gridCol w:w="695"/>
        <w:gridCol w:w="698"/>
        <w:gridCol w:w="709"/>
      </w:tblGrid>
      <w:tr w:rsidR="000F48C4" w:rsidRPr="000153AC" w:rsidTr="002352D2">
        <w:trPr>
          <w:trHeight w:val="436"/>
          <w:jc w:val="center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Отчетный показатель за 20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 году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</w:p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2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 xml:space="preserve">20 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 xml:space="preserve">20 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 xml:space="preserve">20 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Производство*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</w:tcPr>
          <w:p w:rsidR="000F48C4" w:rsidRPr="00C9529E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**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</w:tcPr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государства-члены**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C9529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8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0153AC" w:rsidRDefault="000F48C4" w:rsidP="000F48C4">
      <w:pPr>
        <w:pStyle w:val="Footnote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F48C4" w:rsidRPr="00995582" w:rsidRDefault="000F48C4" w:rsidP="000F48C4">
      <w:pPr>
        <w:spacing w:after="120"/>
        <w:ind w:right="-8"/>
        <w:jc w:val="both"/>
      </w:pPr>
      <w:r w:rsidRPr="00E94F60">
        <w:t xml:space="preserve">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Pr="00995582" w:rsidRDefault="000F48C4" w:rsidP="000F48C4">
      <w:pPr>
        <w:spacing w:after="120"/>
        <w:ind w:right="-8"/>
        <w:jc w:val="both"/>
      </w:pPr>
      <w:r w:rsidRPr="00995582">
        <w:t xml:space="preserve">** </w:t>
      </w:r>
      <w:r>
        <w:t>Не указывается государство-член, которое представляет настоящий баланс.</w:t>
      </w:r>
    </w:p>
    <w:p w:rsidR="000F48C4" w:rsidRDefault="000F48C4" w:rsidP="000F48C4">
      <w:pPr>
        <w:rPr>
          <w:rFonts w:eastAsia="Times New Roman" w:cs="Times New Roman"/>
        </w:rPr>
      </w:pPr>
      <w:r>
        <w:br w:type="page"/>
      </w:r>
    </w:p>
    <w:p w:rsidR="000F48C4" w:rsidRPr="000523CE" w:rsidRDefault="000F48C4" w:rsidP="000F48C4">
      <w:pPr>
        <w:spacing w:after="120"/>
        <w:ind w:left="4536" w:right="-8"/>
        <w:jc w:val="center"/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 w:rsidRPr="000523CE">
        <w:rPr>
          <w:rStyle w:val="Headerorfooter3"/>
          <w:rFonts w:ascii="Sylfaen" w:eastAsia="Sylfaen" w:hAnsi="Sylfaen"/>
        </w:rPr>
        <w:t>6</w:t>
      </w:r>
    </w:p>
    <w:p w:rsidR="000F48C4" w:rsidRDefault="000F48C4" w:rsidP="000F48C4">
      <w:pPr>
        <w:spacing w:after="120"/>
        <w:ind w:left="4536" w:right="-8"/>
        <w:jc w:val="center"/>
        <w:rPr>
          <w:lang w:val="en-US"/>
        </w:rPr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Pr="000523CE" w:rsidRDefault="000F48C4" w:rsidP="000F48C4">
      <w:pPr>
        <w:spacing w:after="120"/>
        <w:ind w:left="4536" w:right="-8"/>
        <w:jc w:val="center"/>
        <w:rPr>
          <w:lang w:val="en-US"/>
        </w:rPr>
      </w:pP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бензина автомобильного Евразийского экономического союза на 20 - 20 годы</w:t>
      </w:r>
    </w:p>
    <w:p w:rsidR="000F48C4" w:rsidRPr="000153AC" w:rsidRDefault="000F48C4" w:rsidP="000F48C4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</w:rPr>
      </w:pPr>
      <w:r w:rsidRPr="000153AC">
        <w:rPr>
          <w:rFonts w:ascii="Sylfaen" w:hAnsi="Sylfaen"/>
        </w:rPr>
        <w:t>(тыс. тонн)</w:t>
      </w:r>
    </w:p>
    <w:tbl>
      <w:tblPr>
        <w:tblOverlap w:val="never"/>
        <w:tblW w:w="92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1418"/>
        <w:gridCol w:w="1451"/>
        <w:gridCol w:w="698"/>
        <w:gridCol w:w="698"/>
        <w:gridCol w:w="709"/>
      </w:tblGrid>
      <w:tr w:rsidR="000F48C4" w:rsidRPr="000153AC" w:rsidTr="002352D2">
        <w:trPr>
          <w:trHeight w:val="436"/>
          <w:tblHeader/>
          <w:jc w:val="center"/>
        </w:trPr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за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год*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>
              <w:rPr>
                <w:rStyle w:val="Bodytext212pt"/>
                <w:rFonts w:ascii="Sylfaen" w:eastAsia="Sylfaen" w:hAnsi="Sylfaen"/>
              </w:rPr>
              <w:t>Ожидаемый показатель в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2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Производство**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9E5D1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9E5D1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9E5D1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9E5D1E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Российскую Федерацию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4E3C3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</w:t>
            </w:r>
            <w:r>
              <w:rPr>
                <w:rStyle w:val="Bodytext212pt"/>
                <w:rFonts w:ascii="Sylfaen" w:eastAsia="Sylfaen" w:hAnsi="Sylfaen"/>
              </w:rPr>
              <w:t>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государств**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70010F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Расходная часть - распределение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E41F3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из Кыргызской Республики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государства**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7" w:type="dxa"/>
            <w:shd w:val="clear" w:color="auto" w:fill="FFFFFF"/>
          </w:tcPr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95564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0153AC" w:rsidRDefault="000F48C4" w:rsidP="000F48C4">
      <w:pPr>
        <w:spacing w:after="120"/>
        <w:ind w:right="-8"/>
      </w:pPr>
    </w:p>
    <w:p w:rsidR="000F48C4" w:rsidRPr="000153AC" w:rsidRDefault="000F48C4" w:rsidP="000F48C4">
      <w:pPr>
        <w:pStyle w:val="Tablecaption2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  <w:lang w:bidi="en-US"/>
        </w:rPr>
        <w:t xml:space="preserve">* </w:t>
      </w:r>
      <w:r w:rsidRPr="000153AC">
        <w:rPr>
          <w:rFonts w:ascii="Sylfaen" w:hAnsi="Sylfaen"/>
          <w:sz w:val="24"/>
          <w:szCs w:val="24"/>
        </w:rPr>
        <w:t>Заполняется Комиссией на основе статистических данных, представленных</w:t>
      </w:r>
      <w:r w:rsidRPr="00955646">
        <w:rPr>
          <w:rFonts w:ascii="Sylfaen" w:hAnsi="Sylfaen"/>
          <w:sz w:val="24"/>
          <w:szCs w:val="24"/>
        </w:rPr>
        <w:t xml:space="preserve"> </w:t>
      </w:r>
      <w:r w:rsidRPr="000153AC">
        <w:rPr>
          <w:rFonts w:ascii="Sylfaen" w:hAnsi="Sylfaen"/>
          <w:sz w:val="24"/>
          <w:szCs w:val="24"/>
        </w:rPr>
        <w:t>государствами-членами.</w:t>
      </w:r>
    </w:p>
    <w:p w:rsidR="000F48C4" w:rsidRPr="00623E1B" w:rsidRDefault="000F48C4" w:rsidP="000F48C4">
      <w:pPr>
        <w:spacing w:after="120"/>
        <w:ind w:right="-8"/>
        <w:jc w:val="both"/>
      </w:pPr>
      <w:r w:rsidRPr="00623E1B">
        <w:t xml:space="preserve">**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Pr="000153AC" w:rsidRDefault="000F48C4" w:rsidP="000F48C4">
      <w:pPr>
        <w:spacing w:after="120"/>
        <w:ind w:right="-8"/>
      </w:pPr>
    </w:p>
    <w:p w:rsidR="000F48C4" w:rsidRDefault="000F48C4" w:rsidP="000F48C4">
      <w:r>
        <w:br w:type="page"/>
      </w:r>
    </w:p>
    <w:p w:rsidR="000F48C4" w:rsidRPr="00623E1B" w:rsidRDefault="000F48C4" w:rsidP="000F48C4">
      <w:pPr>
        <w:spacing w:after="120"/>
        <w:ind w:left="4536" w:right="-8"/>
        <w:jc w:val="center"/>
        <w:rPr>
          <w:lang w:val="en-US"/>
        </w:rPr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>
        <w:rPr>
          <w:rStyle w:val="Headerorfooter3"/>
          <w:rFonts w:ascii="Sylfaen" w:eastAsia="Sylfaen" w:hAnsi="Sylfaen"/>
          <w:lang w:val="en-US"/>
        </w:rPr>
        <w:t>7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bookmarkStart w:id="2" w:name="bookmark2"/>
    </w:p>
    <w:p w:rsidR="000F48C4" w:rsidRPr="00623E1B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топлива дизельного</w:t>
      </w:r>
      <w:bookmarkEnd w:id="2"/>
    </w:p>
    <w:p w:rsidR="000F48C4" w:rsidRPr="000153AC" w:rsidRDefault="000F48C4" w:rsidP="000F48C4">
      <w:pPr>
        <w:pStyle w:val="Bodytext7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_______________________________________________________________________</w:t>
      </w:r>
    </w:p>
    <w:p w:rsidR="000F48C4" w:rsidRPr="00F214FA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rPr>
          <w:rFonts w:ascii="Sylfaen" w:hAnsi="Sylfaen"/>
          <w:sz w:val="20"/>
          <w:szCs w:val="20"/>
        </w:rPr>
      </w:pPr>
      <w:r w:rsidRPr="00F214FA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на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0153AC">
        <w:rPr>
          <w:rFonts w:ascii="Sylfaen" w:hAnsi="Sylfaen"/>
          <w:sz w:val="24"/>
          <w:szCs w:val="24"/>
        </w:rPr>
        <w:t xml:space="preserve">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годы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F48C4" w:rsidRPr="000153AC" w:rsidRDefault="000F48C4" w:rsidP="000F48C4">
      <w:pPr>
        <w:pStyle w:val="Bodytext50"/>
        <w:shd w:val="clear" w:color="auto" w:fill="auto"/>
        <w:spacing w:before="0" w:after="120" w:line="240" w:lineRule="auto"/>
        <w:ind w:right="-8" w:firstLine="0"/>
        <w:rPr>
          <w:rFonts w:ascii="Sylfaen" w:hAnsi="Sylfaen"/>
        </w:rPr>
      </w:pPr>
      <w:r w:rsidRPr="000153AC">
        <w:rPr>
          <w:rFonts w:ascii="Sylfaen" w:hAnsi="Sylfaen"/>
        </w:rPr>
        <w:t>(тыс.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1440"/>
        <w:gridCol w:w="1426"/>
        <w:gridCol w:w="709"/>
        <w:gridCol w:w="695"/>
        <w:gridCol w:w="709"/>
      </w:tblGrid>
      <w:tr w:rsidR="000F48C4" w:rsidRPr="000153AC" w:rsidTr="002352D2">
        <w:trPr>
          <w:tblHeader/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 показатель за 20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 году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blHeader/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 Производство*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  <w:r>
              <w:rPr>
                <w:rStyle w:val="Bodytext212pt"/>
                <w:rFonts w:ascii="Sylfaen" w:eastAsia="Sylfaen" w:hAnsi="Sylfaen"/>
              </w:rPr>
              <w:t>**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 xml:space="preserve">Расходная часть </w:t>
            </w:r>
            <w:r>
              <w:rPr>
                <w:rStyle w:val="Bodytext212pt"/>
                <w:rFonts w:ascii="Sylfaen" w:eastAsia="Sylfaen" w:hAnsi="Sylfaen"/>
              </w:rPr>
              <w:t>–</w:t>
            </w:r>
            <w:r w:rsidRPr="000153AC">
              <w:rPr>
                <w:rStyle w:val="Bodytext212pt"/>
                <w:rFonts w:ascii="Sylfaen" w:eastAsia="Sylfaen" w:hAnsi="Sylfaen"/>
              </w:rPr>
              <w:t xml:space="preserve"> распределение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государства-члены**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Кыргызскую Республику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0153AC" w:rsidRDefault="000F48C4" w:rsidP="000F48C4">
      <w:pPr>
        <w:pStyle w:val="Footnote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F48C4" w:rsidRDefault="000F48C4" w:rsidP="000F48C4">
      <w:pPr>
        <w:spacing w:after="120"/>
        <w:ind w:right="-8"/>
        <w:jc w:val="both"/>
        <w:rPr>
          <w:lang w:val="en-US"/>
        </w:rPr>
      </w:pPr>
      <w:r>
        <w:t xml:space="preserve">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Pr="00995582" w:rsidRDefault="000F48C4" w:rsidP="000F48C4">
      <w:pPr>
        <w:spacing w:after="120"/>
        <w:ind w:right="-8"/>
        <w:jc w:val="both"/>
      </w:pPr>
      <w:r w:rsidRPr="007E1A48">
        <w:t xml:space="preserve">** </w:t>
      </w:r>
      <w:r>
        <w:t>Не указывается государство-член, которое представляет настоящий баланс.</w:t>
      </w:r>
    </w:p>
    <w:p w:rsidR="000F48C4" w:rsidRPr="007E1A48" w:rsidRDefault="000F48C4" w:rsidP="000F48C4">
      <w:pPr>
        <w:spacing w:after="120"/>
        <w:ind w:right="-8"/>
      </w:pPr>
    </w:p>
    <w:p w:rsidR="000F48C4" w:rsidRDefault="000F48C4" w:rsidP="000F48C4">
      <w:r>
        <w:br w:type="page"/>
      </w:r>
    </w:p>
    <w:p w:rsidR="000F48C4" w:rsidRPr="001170CE" w:rsidRDefault="000F48C4" w:rsidP="000F48C4">
      <w:pPr>
        <w:spacing w:after="120"/>
        <w:ind w:left="4536" w:right="-8"/>
        <w:jc w:val="center"/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 w:rsidRPr="001170CE">
        <w:rPr>
          <w:rStyle w:val="Headerorfooter3"/>
          <w:rFonts w:ascii="Sylfaen" w:eastAsia="Sylfaen" w:hAnsi="Sylfaen"/>
        </w:rPr>
        <w:t>7</w:t>
      </w:r>
    </w:p>
    <w:p w:rsidR="000F48C4" w:rsidRDefault="000F48C4" w:rsidP="000F48C4">
      <w:pPr>
        <w:spacing w:after="120"/>
        <w:ind w:left="4536" w:right="-8"/>
        <w:jc w:val="center"/>
        <w:rPr>
          <w:lang w:val="en-US"/>
        </w:rPr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Pr="001170CE" w:rsidRDefault="000F48C4" w:rsidP="000F48C4">
      <w:pPr>
        <w:spacing w:after="120"/>
        <w:ind w:left="4536" w:right="-8"/>
        <w:jc w:val="center"/>
        <w:rPr>
          <w:lang w:val="en-US"/>
        </w:rPr>
      </w:pP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топлива дизельного Евразийского экономического союза на 20 - 20 годы</w:t>
      </w:r>
    </w:p>
    <w:p w:rsidR="000F48C4" w:rsidRPr="000153AC" w:rsidRDefault="000F48C4" w:rsidP="000F48C4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</w:rPr>
      </w:pPr>
      <w:r w:rsidRPr="000153AC">
        <w:rPr>
          <w:rFonts w:ascii="Sylfaen" w:hAnsi="Sylfaen"/>
        </w:rPr>
        <w:t>(тыс. тонн)</w:t>
      </w:r>
    </w:p>
    <w:tbl>
      <w:tblPr>
        <w:tblOverlap w:val="never"/>
        <w:tblW w:w="9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3"/>
        <w:gridCol w:w="1426"/>
        <w:gridCol w:w="1444"/>
        <w:gridCol w:w="695"/>
        <w:gridCol w:w="695"/>
        <w:gridCol w:w="713"/>
      </w:tblGrid>
      <w:tr w:rsidR="000F48C4" w:rsidRPr="000153AC" w:rsidTr="002352D2">
        <w:trPr>
          <w:trHeight w:val="436"/>
          <w:tblHeader/>
          <w:jc w:val="center"/>
        </w:trPr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за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год*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</w:p>
        </w:tc>
        <w:tc>
          <w:tcPr>
            <w:tcW w:w="2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</w:p>
        </w:tc>
      </w:tr>
      <w:tr w:rsidR="000F48C4" w:rsidRPr="000153AC" w:rsidTr="002352D2">
        <w:trPr>
          <w:trHeight w:val="1880"/>
          <w:tblHeader/>
          <w:jc w:val="center"/>
        </w:trPr>
        <w:tc>
          <w:tcPr>
            <w:tcW w:w="4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20_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6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Производство**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</w:t>
            </w:r>
            <w:r>
              <w:rPr>
                <w:rStyle w:val="Bodytext212pt"/>
                <w:rFonts w:ascii="Sylfaen" w:eastAsia="Sylfaen" w:hAnsi="Sylfaen"/>
              </w:rPr>
              <w:t>сь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Республику Казахстан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443999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764FC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764FC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764FC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764FC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764FC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764FC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764FC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9866D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>
              <w:rPr>
                <w:rStyle w:val="Bodytext212pt"/>
                <w:rFonts w:ascii="Sylfaen" w:eastAsia="Sylfaen" w:hAnsi="Sylfaen"/>
              </w:rPr>
              <w:t>Пос</w:t>
            </w:r>
            <w:r w:rsidRPr="000153AC">
              <w:rPr>
                <w:rStyle w:val="Bodytext212pt"/>
                <w:rFonts w:ascii="Sylfaen" w:eastAsia="Sylfaen" w:hAnsi="Sylfaen"/>
              </w:rPr>
              <w:t>тавка на внутренний рынок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73" w:type="dxa"/>
            <w:shd w:val="clear" w:color="auto" w:fill="FFFFFF"/>
          </w:tcPr>
          <w:p w:rsidR="000F48C4" w:rsidRPr="00D408D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D408D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</w:t>
            </w:r>
            <w:r>
              <w:rPr>
                <w:rStyle w:val="Bodytext212pt"/>
                <w:rFonts w:ascii="Sylfaen" w:eastAsia="Sylfaen" w:hAnsi="Sylfaen"/>
              </w:rPr>
              <w:t>ублике Беларусь</w:t>
            </w:r>
          </w:p>
          <w:p w:rsidR="000F48C4" w:rsidRPr="00D408D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D408DC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4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Default="000F48C4" w:rsidP="000F48C4">
      <w:pPr>
        <w:spacing w:after="120"/>
        <w:ind w:right="-8"/>
      </w:pPr>
    </w:p>
    <w:p w:rsidR="000F48C4" w:rsidRPr="00D408DC" w:rsidRDefault="000F48C4" w:rsidP="000F48C4">
      <w:pPr>
        <w:spacing w:after="120"/>
        <w:ind w:right="-8"/>
        <w:jc w:val="both"/>
      </w:pPr>
      <w:r>
        <w:t>* Заполняется Комиссией на основе статистических данных, представленных государствами-членами.</w:t>
      </w:r>
    </w:p>
    <w:p w:rsidR="000F48C4" w:rsidRPr="00D408DC" w:rsidRDefault="000F48C4" w:rsidP="000F48C4">
      <w:pPr>
        <w:spacing w:after="120"/>
        <w:ind w:right="-8"/>
        <w:jc w:val="both"/>
      </w:pPr>
      <w:r w:rsidRPr="00D408DC">
        <w:t xml:space="preserve">**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Pr="000153AC" w:rsidRDefault="000F48C4" w:rsidP="000F48C4">
      <w:pPr>
        <w:spacing w:after="120"/>
        <w:ind w:right="-8"/>
      </w:pPr>
    </w:p>
    <w:p w:rsidR="000F48C4" w:rsidRDefault="000F48C4" w:rsidP="000F48C4">
      <w:r>
        <w:br w:type="page"/>
      </w:r>
    </w:p>
    <w:p w:rsidR="000F48C4" w:rsidRPr="000153AC" w:rsidRDefault="000F48C4" w:rsidP="000F48C4">
      <w:pPr>
        <w:spacing w:after="120"/>
        <w:ind w:left="4536" w:right="-8"/>
        <w:jc w:val="center"/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>
        <w:rPr>
          <w:rStyle w:val="Headerorfooter3"/>
          <w:rFonts w:ascii="Sylfaen" w:eastAsia="Sylfaen" w:hAnsi="Sylfaen"/>
        </w:rPr>
        <w:t>9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bookmarkStart w:id="3" w:name="bookmark3"/>
    </w:p>
    <w:p w:rsidR="000F48C4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мазута топочного</w:t>
      </w:r>
      <w:bookmarkEnd w:id="3"/>
    </w:p>
    <w:p w:rsidR="000F48C4" w:rsidRPr="000153AC" w:rsidRDefault="000F48C4" w:rsidP="000F48C4">
      <w:pPr>
        <w:pStyle w:val="Bodytext7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_______________________________________________________________________</w:t>
      </w:r>
    </w:p>
    <w:p w:rsidR="000F48C4" w:rsidRPr="00F214FA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rPr>
          <w:rFonts w:ascii="Sylfaen" w:hAnsi="Sylfaen"/>
          <w:sz w:val="20"/>
          <w:szCs w:val="20"/>
        </w:rPr>
      </w:pPr>
      <w:r w:rsidRPr="00F214FA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на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0153AC">
        <w:rPr>
          <w:rFonts w:ascii="Sylfaen" w:hAnsi="Sylfaen"/>
          <w:sz w:val="24"/>
          <w:szCs w:val="24"/>
        </w:rPr>
        <w:t xml:space="preserve">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годы</w:t>
      </w:r>
    </w:p>
    <w:p w:rsidR="000F48C4" w:rsidRPr="00234D7D" w:rsidRDefault="000F48C4" w:rsidP="000F48C4">
      <w:pPr>
        <w:pStyle w:val="Bodytext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F48C4" w:rsidRPr="000153AC" w:rsidRDefault="000F48C4" w:rsidP="000F48C4">
      <w:pPr>
        <w:pStyle w:val="Bodytext50"/>
        <w:shd w:val="clear" w:color="auto" w:fill="auto"/>
        <w:spacing w:before="0" w:after="120" w:line="240" w:lineRule="auto"/>
        <w:ind w:right="-8" w:firstLine="0"/>
        <w:rPr>
          <w:rFonts w:ascii="Sylfaen" w:hAnsi="Sylfaen"/>
        </w:rPr>
      </w:pPr>
      <w:r w:rsidRPr="000153AC">
        <w:rPr>
          <w:rFonts w:ascii="Sylfaen" w:hAnsi="Sylfaen"/>
        </w:rPr>
        <w:t>(тыс.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2"/>
        <w:gridCol w:w="1440"/>
        <w:gridCol w:w="1440"/>
        <w:gridCol w:w="688"/>
        <w:gridCol w:w="695"/>
        <w:gridCol w:w="713"/>
      </w:tblGrid>
      <w:tr w:rsidR="000F48C4" w:rsidRPr="000153AC" w:rsidTr="002352D2">
        <w:trPr>
          <w:trHeight w:val="436"/>
          <w:tblHeader/>
          <w:jc w:val="center"/>
        </w:trPr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 показатель за 20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 году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Производство*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государств-членов**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</w:tcPr>
          <w:p w:rsidR="000F48C4" w:rsidRPr="0018056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18056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18056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18056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государства-члены**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234D7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234D7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Республику Казахстан</w:t>
            </w:r>
          </w:p>
          <w:p w:rsidR="000F48C4" w:rsidRPr="00234D7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3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40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8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234D7D" w:rsidRDefault="000F48C4" w:rsidP="000F48C4">
      <w:pPr>
        <w:pStyle w:val="Footnote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F48C4" w:rsidRDefault="000F48C4" w:rsidP="000F48C4">
      <w:pPr>
        <w:spacing w:after="120"/>
        <w:ind w:right="-8"/>
        <w:jc w:val="both"/>
        <w:rPr>
          <w:lang w:val="en-US"/>
        </w:rPr>
      </w:pPr>
      <w:r w:rsidRPr="00234D7D">
        <w:t xml:space="preserve">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Pr="00995582" w:rsidRDefault="000F48C4" w:rsidP="000F48C4">
      <w:pPr>
        <w:spacing w:after="120"/>
        <w:ind w:right="-8"/>
        <w:jc w:val="both"/>
      </w:pPr>
      <w:r w:rsidRPr="00234D7D">
        <w:t xml:space="preserve">** </w:t>
      </w:r>
      <w:r>
        <w:t>Не указывается государство-член, которое представляет настоящий баланс.</w:t>
      </w:r>
    </w:p>
    <w:p w:rsidR="000F48C4" w:rsidRPr="00234D7D" w:rsidRDefault="000F48C4" w:rsidP="000F48C4">
      <w:pPr>
        <w:spacing w:after="120"/>
        <w:ind w:right="-8"/>
      </w:pPr>
    </w:p>
    <w:p w:rsidR="000F48C4" w:rsidRDefault="000F48C4" w:rsidP="000F48C4">
      <w:r>
        <w:br w:type="page"/>
      </w:r>
    </w:p>
    <w:p w:rsidR="000F48C4" w:rsidRPr="00265565" w:rsidRDefault="000F48C4" w:rsidP="000F48C4">
      <w:pPr>
        <w:spacing w:after="120"/>
        <w:ind w:left="4536" w:right="-8"/>
        <w:jc w:val="center"/>
        <w:rPr>
          <w:lang w:val="en-US"/>
        </w:rPr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>
        <w:rPr>
          <w:rStyle w:val="Headerorfooter3"/>
          <w:rFonts w:ascii="Sylfaen" w:eastAsia="Sylfaen" w:hAnsi="Sylfaen"/>
          <w:lang w:val="en-US"/>
        </w:rPr>
        <w:t>10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Bodytext30"/>
        <w:shd w:val="clear" w:color="auto" w:fill="auto"/>
        <w:spacing w:after="120" w:line="240" w:lineRule="auto"/>
        <w:ind w:right="-8"/>
        <w:jc w:val="left"/>
        <w:rPr>
          <w:rFonts w:ascii="Sylfaen" w:hAnsi="Sylfaen"/>
          <w:sz w:val="24"/>
          <w:szCs w:val="24"/>
        </w:rPr>
      </w:pP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мазута топочного Евразийского экономического союза на 20 - 20 годы</w:t>
      </w:r>
    </w:p>
    <w:p w:rsidR="000F48C4" w:rsidRDefault="000F48C4" w:rsidP="000F48C4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</w:rPr>
      </w:pPr>
    </w:p>
    <w:p w:rsidR="000F48C4" w:rsidRPr="000153AC" w:rsidRDefault="000F48C4" w:rsidP="000F48C4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</w:rPr>
      </w:pPr>
      <w:r w:rsidRPr="000153AC">
        <w:rPr>
          <w:rFonts w:ascii="Sylfaen" w:hAnsi="Sylfaen"/>
        </w:rPr>
        <w:t>(тыс. тонн)</w:t>
      </w:r>
    </w:p>
    <w:tbl>
      <w:tblPr>
        <w:tblOverlap w:val="never"/>
        <w:tblW w:w="9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8"/>
        <w:gridCol w:w="1436"/>
        <w:gridCol w:w="1458"/>
        <w:gridCol w:w="695"/>
        <w:gridCol w:w="702"/>
        <w:gridCol w:w="709"/>
      </w:tblGrid>
      <w:tr w:rsidR="000F48C4" w:rsidRPr="000153AC" w:rsidTr="002352D2">
        <w:trPr>
          <w:trHeight w:val="436"/>
          <w:jc w:val="center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за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год*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>
              <w:rPr>
                <w:rStyle w:val="Bodytext212pt"/>
                <w:rFonts w:ascii="Sylfaen" w:eastAsia="Sylfaen" w:hAnsi="Sylfaen"/>
              </w:rPr>
              <w:t>Ожидаемый показатель в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</w:p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21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jc w:val="center"/>
        </w:trPr>
        <w:tc>
          <w:tcPr>
            <w:tcW w:w="4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Производство**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</w:t>
            </w:r>
            <w:r>
              <w:rPr>
                <w:rStyle w:val="Bodytext212pt"/>
                <w:rFonts w:ascii="Sylfaen" w:eastAsia="Sylfaen" w:hAnsi="Sylfaen"/>
              </w:rPr>
              <w:t xml:space="preserve">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E1256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государств**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из Республики Беларусь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F87E0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</w:t>
            </w:r>
            <w:r>
              <w:rPr>
                <w:rStyle w:val="Bodytext212pt"/>
                <w:rFonts w:ascii="Sylfaen" w:eastAsia="Sylfaen" w:hAnsi="Sylfaen"/>
              </w:rPr>
              <w:t>еспублики Беларусь</w:t>
            </w:r>
          </w:p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8C482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**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8" w:type="dxa"/>
            <w:shd w:val="clear" w:color="auto" w:fill="FFFFFF"/>
          </w:tcPr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lastRenderedPageBreak/>
              <w:t>в Республике Беларусь</w:t>
            </w:r>
          </w:p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A508AD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58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9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0153AC" w:rsidRDefault="000F48C4" w:rsidP="000F48C4">
      <w:pPr>
        <w:spacing w:after="120"/>
        <w:ind w:right="-8"/>
      </w:pPr>
    </w:p>
    <w:p w:rsidR="000F48C4" w:rsidRPr="00A508AD" w:rsidRDefault="000F48C4" w:rsidP="000F48C4">
      <w:pPr>
        <w:pStyle w:val="Tablecaption2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A508AD">
        <w:rPr>
          <w:rFonts w:ascii="Sylfaen" w:hAnsi="Sylfaen"/>
          <w:sz w:val="24"/>
          <w:szCs w:val="24"/>
          <w:lang w:bidi="en-US"/>
        </w:rPr>
        <w:t xml:space="preserve">* </w:t>
      </w:r>
      <w:r w:rsidRPr="00A508AD">
        <w:rPr>
          <w:rFonts w:ascii="Sylfaen" w:hAnsi="Sylfaen"/>
          <w:sz w:val="24"/>
          <w:szCs w:val="24"/>
        </w:rPr>
        <w:t>Заполняется Комиссией на основе статистических данных, представленных государствами-членами.</w:t>
      </w:r>
    </w:p>
    <w:p w:rsidR="000F48C4" w:rsidRPr="00A508AD" w:rsidRDefault="000F48C4" w:rsidP="000F48C4">
      <w:pPr>
        <w:pStyle w:val="Footnote30"/>
        <w:shd w:val="clear" w:color="auto" w:fill="auto"/>
        <w:spacing w:line="252" w:lineRule="exact"/>
        <w:jc w:val="both"/>
        <w:rPr>
          <w:rFonts w:ascii="Sylfaen" w:hAnsi="Sylfaen"/>
          <w:sz w:val="24"/>
          <w:szCs w:val="24"/>
        </w:rPr>
      </w:pPr>
      <w:r w:rsidRPr="00A508AD">
        <w:rPr>
          <w:rFonts w:ascii="Sylfaen" w:hAnsi="Sylfaen"/>
          <w:sz w:val="24"/>
          <w:szCs w:val="24"/>
        </w:rPr>
        <w:t>** Указывается справочно и не требует согласования уполномоченными органами государств-членов.</w:t>
      </w:r>
    </w:p>
    <w:p w:rsidR="000F48C4" w:rsidRDefault="000F48C4" w:rsidP="000F48C4">
      <w:r>
        <w:br w:type="page"/>
      </w:r>
    </w:p>
    <w:p w:rsidR="000F48C4" w:rsidRPr="00D63F57" w:rsidRDefault="000F48C4" w:rsidP="000F48C4">
      <w:pPr>
        <w:spacing w:after="120"/>
        <w:ind w:left="4536" w:right="-8"/>
        <w:jc w:val="center"/>
        <w:rPr>
          <w:lang w:val="en-US"/>
        </w:rPr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 w:rsidRPr="005F09FB">
        <w:rPr>
          <w:rStyle w:val="Headerorfooter3"/>
          <w:rFonts w:ascii="Sylfaen" w:eastAsia="Sylfaen" w:hAnsi="Sylfaen"/>
        </w:rPr>
        <w:t>1</w:t>
      </w:r>
      <w:r>
        <w:rPr>
          <w:rStyle w:val="Headerorfooter3"/>
          <w:rFonts w:ascii="Sylfaen" w:eastAsia="Sylfaen" w:hAnsi="Sylfaen"/>
          <w:lang w:val="en-US"/>
        </w:rPr>
        <w:t>1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bookmarkStart w:id="4" w:name="bookmark4"/>
    </w:p>
    <w:p w:rsidR="000F48C4" w:rsidRPr="000153AC" w:rsidRDefault="000F48C4" w:rsidP="000F48C4">
      <w:pPr>
        <w:pStyle w:val="Bodytext7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5F09FB">
        <w:rPr>
          <w:rFonts w:ascii="Sylfaen" w:hAnsi="Sylfaen"/>
          <w:b/>
          <w:sz w:val="24"/>
          <w:szCs w:val="24"/>
        </w:rPr>
        <w:t>Индикативный (прогнозный) баланс топлива для реактивных двигателей</w:t>
      </w:r>
      <w:bookmarkEnd w:id="4"/>
      <w:r w:rsidRPr="000153AC">
        <w:rPr>
          <w:rFonts w:ascii="Sylfaen" w:hAnsi="Sylfaen"/>
          <w:sz w:val="24"/>
          <w:szCs w:val="24"/>
        </w:rPr>
        <w:t xml:space="preserve"> _______________________________________________________________________</w:t>
      </w:r>
    </w:p>
    <w:p w:rsidR="000F48C4" w:rsidRPr="00F214FA" w:rsidRDefault="000F48C4" w:rsidP="000F48C4">
      <w:pPr>
        <w:pStyle w:val="Bodytext70"/>
        <w:shd w:val="clear" w:color="auto" w:fill="auto"/>
        <w:spacing w:before="0" w:after="120" w:line="240" w:lineRule="auto"/>
        <w:ind w:right="-8"/>
        <w:rPr>
          <w:rFonts w:ascii="Sylfaen" w:hAnsi="Sylfaen"/>
          <w:sz w:val="20"/>
          <w:szCs w:val="20"/>
        </w:rPr>
      </w:pPr>
      <w:r w:rsidRPr="00F214FA">
        <w:rPr>
          <w:rFonts w:ascii="Sylfaen" w:hAnsi="Sylfaen"/>
          <w:sz w:val="20"/>
          <w:szCs w:val="20"/>
        </w:rPr>
        <w:t>(наименование государства - члена Евразийского экономического союза)</w:t>
      </w:r>
    </w:p>
    <w:p w:rsidR="000F48C4" w:rsidRPr="000153AC" w:rsidRDefault="000F48C4" w:rsidP="000F48C4">
      <w:pPr>
        <w:pStyle w:val="Bodytext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на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0153AC">
        <w:rPr>
          <w:rFonts w:ascii="Sylfaen" w:hAnsi="Sylfaen"/>
          <w:sz w:val="24"/>
          <w:szCs w:val="24"/>
        </w:rPr>
        <w:t xml:space="preserve"> 20</w:t>
      </w:r>
      <w:r>
        <w:rPr>
          <w:rFonts w:ascii="Sylfaen" w:hAnsi="Sylfaen"/>
          <w:sz w:val="24"/>
          <w:szCs w:val="24"/>
        </w:rPr>
        <w:t>___</w:t>
      </w:r>
      <w:r w:rsidRPr="000153AC">
        <w:rPr>
          <w:rFonts w:ascii="Sylfaen" w:hAnsi="Sylfaen"/>
          <w:sz w:val="24"/>
          <w:szCs w:val="24"/>
        </w:rPr>
        <w:t xml:space="preserve"> годы</w:t>
      </w:r>
    </w:p>
    <w:p w:rsidR="000F48C4" w:rsidRPr="00D879D7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b w:val="0"/>
        </w:rPr>
      </w:pPr>
      <w:r w:rsidRPr="00D879D7">
        <w:rPr>
          <w:rFonts w:ascii="Sylfaen" w:hAnsi="Sylfaen"/>
          <w:b w:val="0"/>
        </w:rPr>
        <w:t>(тыс.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5"/>
        <w:gridCol w:w="1426"/>
        <w:gridCol w:w="1472"/>
        <w:gridCol w:w="691"/>
        <w:gridCol w:w="695"/>
        <w:gridCol w:w="713"/>
      </w:tblGrid>
      <w:tr w:rsidR="000F48C4" w:rsidRPr="000153AC" w:rsidTr="002352D2">
        <w:trPr>
          <w:tblHeader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 показатель за 20 год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 году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blHeader/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Производство*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F84EC7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**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Расходная часть - распределение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>
              <w:rPr>
                <w:rStyle w:val="Bodytext212pt"/>
                <w:rFonts w:ascii="Sylfaen" w:eastAsia="Sylfaen" w:hAnsi="Sylfaen"/>
              </w:rPr>
              <w:t>в государства-члены*</w:t>
            </w:r>
            <w:r w:rsidRPr="000153AC">
              <w:rPr>
                <w:rStyle w:val="Bodytext212pt"/>
                <w:rFonts w:ascii="Sylfaen" w:eastAsia="Sylfaen" w:hAnsi="Sylfaen"/>
              </w:rPr>
              <w:t>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C96EA5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7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13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Default="000F48C4" w:rsidP="000F48C4">
      <w:pPr>
        <w:pStyle w:val="Footnote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F48C4" w:rsidRPr="00D63F57" w:rsidRDefault="000F48C4" w:rsidP="000F48C4">
      <w:pPr>
        <w:pStyle w:val="Footnote3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r w:rsidRPr="00D63F57">
        <w:rPr>
          <w:rFonts w:ascii="Sylfaen" w:hAnsi="Sylfaen"/>
          <w:sz w:val="24"/>
          <w:szCs w:val="24"/>
        </w:rPr>
        <w:t>* Не указывается государство-член, которое представляет настоящий баланс.</w:t>
      </w:r>
    </w:p>
    <w:p w:rsidR="000F48C4" w:rsidRPr="000153AC" w:rsidRDefault="000F48C4" w:rsidP="000F48C4">
      <w:pPr>
        <w:spacing w:after="120"/>
        <w:ind w:right="-8"/>
        <w:jc w:val="both"/>
      </w:pPr>
      <w:r w:rsidRPr="00F84EC7">
        <w:t xml:space="preserve">**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0F48C4" w:rsidRDefault="000F48C4" w:rsidP="000F48C4">
      <w:r>
        <w:br w:type="page"/>
      </w:r>
    </w:p>
    <w:p w:rsidR="000F48C4" w:rsidRPr="00D63F57" w:rsidRDefault="000F48C4" w:rsidP="000F48C4">
      <w:pPr>
        <w:spacing w:after="120"/>
        <w:ind w:left="4536" w:right="-8"/>
        <w:jc w:val="center"/>
        <w:rPr>
          <w:lang w:val="en-US"/>
        </w:rPr>
      </w:pPr>
      <w:r>
        <w:lastRenderedPageBreak/>
        <w:t xml:space="preserve">Приложение </w:t>
      </w:r>
      <w:r w:rsidRPr="000153AC">
        <w:rPr>
          <w:rStyle w:val="Headerorfooter3"/>
          <w:rFonts w:ascii="Sylfaen" w:eastAsia="Sylfaen" w:hAnsi="Sylfaen"/>
        </w:rPr>
        <w:t xml:space="preserve">№ </w:t>
      </w:r>
      <w:r w:rsidRPr="005F09FB">
        <w:rPr>
          <w:rStyle w:val="Headerorfooter3"/>
          <w:rFonts w:ascii="Sylfaen" w:eastAsia="Sylfaen" w:hAnsi="Sylfaen"/>
        </w:rPr>
        <w:t>1</w:t>
      </w:r>
      <w:r>
        <w:rPr>
          <w:rStyle w:val="Headerorfooter3"/>
          <w:rFonts w:ascii="Sylfaen" w:eastAsia="Sylfaen" w:hAnsi="Sylfaen"/>
          <w:lang w:val="en-US"/>
        </w:rPr>
        <w:t>2</w:t>
      </w:r>
    </w:p>
    <w:p w:rsidR="000F48C4" w:rsidRPr="000153AC" w:rsidRDefault="000F48C4" w:rsidP="000F48C4">
      <w:pPr>
        <w:spacing w:after="120"/>
        <w:ind w:left="4536" w:right="-8"/>
        <w:jc w:val="center"/>
      </w:pPr>
      <w:r w:rsidRPr="000153AC">
        <w:t>к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 w:rsidR="000F48C4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bookmarkStart w:id="5" w:name="bookmark5"/>
    </w:p>
    <w:p w:rsidR="000F48C4" w:rsidRPr="000153AC" w:rsidRDefault="000F48C4" w:rsidP="000F48C4">
      <w:pPr>
        <w:pStyle w:val="Heading13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</w:rPr>
        <w:t>Индикативный (прогнозный) баланс топлива для реактивных двигателей Евразийского экономического союза</w:t>
      </w:r>
      <w:bookmarkEnd w:id="5"/>
      <w:r w:rsidRPr="00713525">
        <w:rPr>
          <w:rFonts w:ascii="Sylfaen" w:hAnsi="Sylfaen"/>
          <w:sz w:val="24"/>
          <w:szCs w:val="24"/>
        </w:rPr>
        <w:t xml:space="preserve"> </w:t>
      </w:r>
      <w:r w:rsidRPr="000153AC">
        <w:rPr>
          <w:rFonts w:ascii="Sylfaen" w:hAnsi="Sylfaen"/>
          <w:sz w:val="24"/>
          <w:szCs w:val="24"/>
        </w:rPr>
        <w:t>на 20 - 20 годы</w:t>
      </w:r>
    </w:p>
    <w:p w:rsidR="000F48C4" w:rsidRPr="000153AC" w:rsidRDefault="000F48C4" w:rsidP="000F48C4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</w:rPr>
      </w:pPr>
      <w:r w:rsidRPr="000153AC">
        <w:rPr>
          <w:rFonts w:ascii="Sylfaen" w:hAnsi="Sylfaen"/>
        </w:rPr>
        <w:t>(тыс. тонн)</w:t>
      </w:r>
    </w:p>
    <w:tbl>
      <w:tblPr>
        <w:tblOverlap w:val="never"/>
        <w:tblW w:w="92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1426"/>
        <w:gridCol w:w="1462"/>
        <w:gridCol w:w="691"/>
        <w:gridCol w:w="695"/>
        <w:gridCol w:w="706"/>
      </w:tblGrid>
      <w:tr w:rsidR="000F48C4" w:rsidRPr="000153AC" w:rsidTr="002352D2">
        <w:trPr>
          <w:trHeight w:val="436"/>
          <w:tblHeader/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Наименование статьи (субстатьи) баланса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Отчетный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за 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___</w:t>
            </w:r>
            <w:r w:rsidRPr="000153AC">
              <w:rPr>
                <w:rStyle w:val="Bodytext212pt"/>
                <w:rFonts w:ascii="Sylfaen" w:eastAsia="Sylfaen" w:hAnsi="Sylfaen"/>
              </w:rPr>
              <w:t>год*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Ожидаемый показатель в 20 году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Прогнозный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показатель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2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___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  <w:jc w:val="center"/>
            </w:pPr>
            <w:r w:rsidRPr="000153AC">
              <w:rPr>
                <w:rStyle w:val="Bodytext212pt"/>
                <w:rFonts w:ascii="Sylfaen" w:eastAsia="Sylfaen" w:hAnsi="Sylfaen"/>
              </w:rPr>
              <w:t>в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 xml:space="preserve"> </w:t>
            </w:r>
            <w:r w:rsidRPr="000153AC">
              <w:rPr>
                <w:rStyle w:val="Bodytext212pt"/>
                <w:rFonts w:ascii="Sylfaen" w:eastAsia="Sylfaen" w:hAnsi="Sylfaen"/>
              </w:rPr>
              <w:t>20</w:t>
            </w:r>
            <w:r>
              <w:rPr>
                <w:rStyle w:val="Bodytext212pt"/>
                <w:rFonts w:ascii="Sylfaen" w:eastAsia="Sylfaen" w:hAnsi="Sylfaen"/>
              </w:rPr>
              <w:t>_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_</w:t>
            </w:r>
            <w:r>
              <w:rPr>
                <w:rStyle w:val="Bodytext212pt"/>
                <w:rFonts w:ascii="Sylfaen" w:eastAsia="Sylfaen" w:hAnsi="Sylfaen"/>
              </w:rPr>
              <w:t xml:space="preserve">_ </w:t>
            </w:r>
            <w:r w:rsidRPr="000153AC">
              <w:rPr>
                <w:rStyle w:val="Bodytext212pt"/>
                <w:rFonts w:ascii="Sylfaen" w:eastAsia="Sylfaen" w:hAnsi="Sylfaen"/>
              </w:rPr>
              <w:t>году</w:t>
            </w: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trHeight w:val="436"/>
          <w:tblHeader/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Приходная часть - ресурсы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Производство**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Прочие поступления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Импорт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государств-членов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 xml:space="preserve">в </w:t>
            </w:r>
            <w:r>
              <w:rPr>
                <w:rStyle w:val="Bodytext212pt"/>
                <w:rFonts w:ascii="Sylfaen" w:eastAsia="Sylfaen" w:hAnsi="Sylfaen"/>
              </w:rPr>
              <w:t>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473F84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третьих государств**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Расходная часть - распределение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Экспорт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государства-члены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Армения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1A5317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Беларусь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</w:t>
            </w:r>
            <w:r>
              <w:rPr>
                <w:rStyle w:val="Bodytext212pt"/>
                <w:rFonts w:ascii="Sylfaen" w:eastAsia="Sylfaen" w:hAnsi="Sylfaen"/>
              </w:rPr>
              <w:t>я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Республику Казахстан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Кыргызской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Кыргызскую Республику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Российскую Федерацию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lastRenderedPageBreak/>
              <w:t>из Кыргызской Республики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C861FB" w:rsidRDefault="000F48C4" w:rsidP="002352D2">
            <w:pPr>
              <w:spacing w:after="120"/>
              <w:ind w:right="-8"/>
              <w:rPr>
                <w:lang w:val="en-US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третьи государства</w:t>
            </w:r>
            <w:r>
              <w:rPr>
                <w:rStyle w:val="Bodytext212pt"/>
                <w:rFonts w:ascii="Sylfaen" w:eastAsia="Sylfaen" w:hAnsi="Sylfaen"/>
                <w:lang w:val="en-US"/>
              </w:rPr>
              <w:t>**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Армения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Беларусь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из Республики Казахстан</w:t>
            </w:r>
          </w:p>
          <w:p w:rsidR="000F48C4" w:rsidRPr="00C861FB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из Кыргызской</w:t>
            </w:r>
            <w:r>
              <w:rPr>
                <w:rStyle w:val="Bodytext212pt"/>
                <w:rFonts w:ascii="Sylfaen" w:eastAsia="Sylfaen" w:hAnsi="Sylfaen"/>
              </w:rPr>
              <w:t xml:space="preserve"> Республики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из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Поставка на внутренний рынок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  <w:tr w:rsidR="000F48C4" w:rsidRPr="000153AC" w:rsidTr="002352D2">
        <w:trPr>
          <w:jc w:val="center"/>
        </w:trPr>
        <w:tc>
          <w:tcPr>
            <w:tcW w:w="4291" w:type="dxa"/>
            <w:shd w:val="clear" w:color="auto" w:fill="FFFFFF"/>
          </w:tcPr>
          <w:p w:rsidR="000F48C4" w:rsidRPr="00E95E5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Армения</w:t>
            </w:r>
          </w:p>
          <w:p w:rsidR="000F48C4" w:rsidRPr="00E95E5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Беларусь</w:t>
            </w:r>
          </w:p>
          <w:p w:rsidR="000F48C4" w:rsidRPr="00E95E5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>
              <w:rPr>
                <w:rStyle w:val="Bodytext212pt"/>
                <w:rFonts w:ascii="Sylfaen" w:eastAsia="Sylfaen" w:hAnsi="Sylfaen"/>
              </w:rPr>
              <w:t>в Республике Казахстан</w:t>
            </w:r>
          </w:p>
          <w:p w:rsidR="000F48C4" w:rsidRPr="00E95E52" w:rsidRDefault="000F48C4" w:rsidP="002352D2">
            <w:pPr>
              <w:spacing w:after="120"/>
              <w:ind w:right="-8"/>
              <w:rPr>
                <w:rStyle w:val="Bodytext212pt"/>
                <w:rFonts w:ascii="Sylfaen" w:eastAsia="Sylfaen" w:hAnsi="Sylfaen"/>
              </w:rPr>
            </w:pPr>
            <w:r w:rsidRPr="000153AC">
              <w:rPr>
                <w:rStyle w:val="Bodytext212pt"/>
                <w:rFonts w:ascii="Sylfaen" w:eastAsia="Sylfaen" w:hAnsi="Sylfaen"/>
              </w:rPr>
              <w:t>в Кыргызской Республике</w:t>
            </w:r>
          </w:p>
          <w:p w:rsidR="000F48C4" w:rsidRPr="000153AC" w:rsidRDefault="000F48C4" w:rsidP="002352D2">
            <w:pPr>
              <w:spacing w:after="120"/>
              <w:ind w:right="-8"/>
            </w:pPr>
            <w:r w:rsidRPr="000153AC">
              <w:rPr>
                <w:rStyle w:val="Bodytext212pt"/>
                <w:rFonts w:ascii="Sylfaen" w:eastAsia="Sylfaen" w:hAnsi="Sylfaen"/>
              </w:rPr>
              <w:t>в Российской Федерации</w:t>
            </w:r>
          </w:p>
        </w:tc>
        <w:tc>
          <w:tcPr>
            <w:tcW w:w="142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1462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1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695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  <w:tc>
          <w:tcPr>
            <w:tcW w:w="706" w:type="dxa"/>
            <w:shd w:val="clear" w:color="auto" w:fill="FFFFFF"/>
          </w:tcPr>
          <w:p w:rsidR="000F48C4" w:rsidRPr="000153AC" w:rsidRDefault="000F48C4" w:rsidP="002352D2">
            <w:pPr>
              <w:spacing w:after="120"/>
              <w:ind w:right="-8"/>
            </w:pPr>
          </w:p>
        </w:tc>
      </w:tr>
    </w:tbl>
    <w:p w:rsidR="000F48C4" w:rsidRPr="000153AC" w:rsidRDefault="000F48C4" w:rsidP="000F48C4">
      <w:pPr>
        <w:spacing w:after="120"/>
        <w:ind w:right="-8"/>
      </w:pPr>
    </w:p>
    <w:p w:rsidR="000F48C4" w:rsidRPr="000153AC" w:rsidRDefault="000F48C4" w:rsidP="000F48C4">
      <w:pPr>
        <w:pStyle w:val="Tablecaption2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0153AC">
        <w:rPr>
          <w:rFonts w:ascii="Sylfaen" w:hAnsi="Sylfaen"/>
          <w:sz w:val="24"/>
          <w:szCs w:val="24"/>
          <w:lang w:bidi="en-US"/>
        </w:rPr>
        <w:t xml:space="preserve">* </w:t>
      </w:r>
      <w:r w:rsidRPr="000153AC">
        <w:rPr>
          <w:rFonts w:ascii="Sylfaen" w:hAnsi="Sylfaen"/>
          <w:sz w:val="24"/>
          <w:szCs w:val="24"/>
        </w:rPr>
        <w:t>Заполняется Комиссией на основе статистических данных, представленных</w:t>
      </w:r>
      <w:r w:rsidRPr="00E95E52">
        <w:rPr>
          <w:rFonts w:ascii="Sylfaen" w:hAnsi="Sylfaen"/>
          <w:sz w:val="24"/>
          <w:szCs w:val="24"/>
        </w:rPr>
        <w:t xml:space="preserve"> </w:t>
      </w:r>
      <w:r w:rsidRPr="000153AC">
        <w:rPr>
          <w:rFonts w:ascii="Sylfaen" w:hAnsi="Sylfaen"/>
          <w:sz w:val="24"/>
          <w:szCs w:val="24"/>
        </w:rPr>
        <w:t>государствами-членами.</w:t>
      </w:r>
    </w:p>
    <w:p w:rsidR="000F48C4" w:rsidRPr="00E95E52" w:rsidRDefault="000F48C4" w:rsidP="000F48C4">
      <w:pPr>
        <w:spacing w:after="120"/>
        <w:ind w:right="-8"/>
      </w:pPr>
      <w:r w:rsidRPr="00E95E52">
        <w:t xml:space="preserve">** </w:t>
      </w:r>
      <w:r w:rsidRPr="000153AC">
        <w:t>Указывается справочно и не требует согласования уполномоченными органами государств-членов.</w:t>
      </w:r>
    </w:p>
    <w:p w:rsidR="00E018D7" w:rsidRDefault="00E018D7">
      <w:bookmarkStart w:id="6" w:name="_GoBack"/>
      <w:bookmarkEnd w:id="6"/>
    </w:p>
    <w:sectPr w:rsidR="00E018D7" w:rsidSect="000F48C4">
      <w:headerReference w:type="default" r:id="rId5"/>
      <w:pgSz w:w="11900" w:h="16840" w:code="9"/>
      <w:pgMar w:top="1418" w:right="1418" w:bottom="1418" w:left="1418" w:header="0" w:footer="6" w:gutter="0"/>
      <w:pgNumType w:start="48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9FB" w:rsidRDefault="000F4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AD"/>
    <w:multiLevelType w:val="multilevel"/>
    <w:tmpl w:val="94FAA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1115E"/>
    <w:multiLevelType w:val="hybridMultilevel"/>
    <w:tmpl w:val="82AC86CC"/>
    <w:lvl w:ilvl="0" w:tplc="E6D4F2B4">
      <w:start w:val="42"/>
      <w:numFmt w:val="bullet"/>
      <w:lvlText w:val=""/>
      <w:lvlJc w:val="left"/>
      <w:pPr>
        <w:ind w:left="720" w:hanging="360"/>
      </w:pPr>
      <w:rPr>
        <w:rFonts w:ascii="Symbol" w:eastAsia="Sylfae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2CDE"/>
    <w:multiLevelType w:val="multilevel"/>
    <w:tmpl w:val="69600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E78E6"/>
    <w:multiLevelType w:val="multilevel"/>
    <w:tmpl w:val="EA3206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746F9"/>
    <w:multiLevelType w:val="multilevel"/>
    <w:tmpl w:val="ED8E1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C4"/>
    <w:rsid w:val="000F48C4"/>
    <w:rsid w:val="00526A08"/>
    <w:rsid w:val="00E018D7"/>
    <w:rsid w:val="00E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E8BB-8148-47E9-8AA1-88DD2093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48C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48C4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0F4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0F4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F48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Spacing2pt">
    <w:name w:val="Body text (3) + Spacing 2 pt"/>
    <w:basedOn w:val="Bodytext3"/>
    <w:rsid w:val="000F48C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rsid w:val="000F4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F48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0">
    <w:name w:val="Body text (2)"/>
    <w:basedOn w:val="Bodytext2"/>
    <w:rsid w:val="000F4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14pt">
    <w:name w:val="Body text (2) + 14 pt"/>
    <w:basedOn w:val="Bodytext2"/>
    <w:rsid w:val="000F4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0F4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0F4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0F4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3">
    <w:name w:val="Header or footer (3)_"/>
    <w:basedOn w:val="DefaultParagraphFont"/>
    <w:link w:val="Headerorfooter30"/>
    <w:rsid w:val="000F48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0F4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0F4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0F4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0F4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0F4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0F48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OtherExact">
    <w:name w:val="Other Exact"/>
    <w:basedOn w:val="DefaultParagraphFont"/>
    <w:link w:val="Other"/>
    <w:rsid w:val="000F48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8">
    <w:name w:val="Body text (8)"/>
    <w:basedOn w:val="DefaultParagraphFont"/>
    <w:rsid w:val="000F4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Footnote0">
    <w:name w:val="Footnote"/>
    <w:basedOn w:val="Normal"/>
    <w:link w:val="Footnote"/>
    <w:rsid w:val="000F48C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Footnote30">
    <w:name w:val="Footnote (3)"/>
    <w:basedOn w:val="Normal"/>
    <w:link w:val="Footnote3"/>
    <w:rsid w:val="000F4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0F48C4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0F4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Headerorfooter30">
    <w:name w:val="Header or footer (3)"/>
    <w:basedOn w:val="Normal"/>
    <w:link w:val="Headerorfooter3"/>
    <w:rsid w:val="000F4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0F48C4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0F48C4"/>
    <w:pPr>
      <w:shd w:val="clear" w:color="auto" w:fill="FFFFFF"/>
      <w:spacing w:before="540"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0F48C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0F48C4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130">
    <w:name w:val="Heading #1 (3)"/>
    <w:basedOn w:val="Normal"/>
    <w:link w:val="Heading13"/>
    <w:rsid w:val="000F48C4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Other">
    <w:name w:val="Other"/>
    <w:basedOn w:val="Normal"/>
    <w:link w:val="OtherExact"/>
    <w:rsid w:val="000F4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F4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8C4"/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paragraph" w:styleId="Footer">
    <w:name w:val="footer"/>
    <w:basedOn w:val="Normal"/>
    <w:link w:val="FooterChar"/>
    <w:uiPriority w:val="99"/>
    <w:semiHidden/>
    <w:unhideWhenUsed/>
    <w:rsid w:val="000F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8C4"/>
    <w:rPr>
      <w:rFonts w:ascii="Sylfaen" w:eastAsia="Sylfaen" w:hAnsi="Sylfaen" w:cs="Sylfaen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6264</Words>
  <Characters>35705</Characters>
  <Application>Microsoft Office Word</Application>
  <DocSecurity>0</DocSecurity>
  <Lines>297</Lines>
  <Paragraphs>83</Paragraphs>
  <ScaleCrop>false</ScaleCrop>
  <Company/>
  <LinksUpToDate>false</LinksUpToDate>
  <CharactersWithSpaces>41886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Lusine Khazarian</cp:lastModifiedBy>
  <cp:revision>1</cp:revision>
  <dcterms:created xsi:type="dcterms:W3CDTF">2019-05-31T07:26:00Z</dcterms:created>
  <dcterms:modified xsi:type="dcterms:W3CDTF">2019-05-31T07:27:00Z</dcterms:modified>
</cp:coreProperties>
</file>