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D472" w14:textId="77777777" w:rsidR="001D0ED2" w:rsidRPr="00F52FE4" w:rsidRDefault="00873DB6" w:rsidP="00F52FE4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52FE4">
        <w:rPr>
          <w:rFonts w:ascii="Sylfaen" w:hAnsi="Sylfaen"/>
          <w:sz w:val="24"/>
          <w:szCs w:val="24"/>
        </w:rPr>
        <w:t>УТВЕРЖДЕН</w:t>
      </w:r>
    </w:p>
    <w:p w14:paraId="0754E82B" w14:textId="77777777" w:rsidR="00F52FE4" w:rsidRDefault="00873DB6" w:rsidP="00F52FE4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Решением Коллегии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5F5B696C" w14:textId="77777777" w:rsidR="001D0ED2" w:rsidRPr="00F52FE4" w:rsidRDefault="00873DB6" w:rsidP="00F52FE4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от 30 июня 2017 г. № 74</w:t>
      </w:r>
    </w:p>
    <w:p w14:paraId="50E85017" w14:textId="77777777" w:rsidR="00F52FE4" w:rsidRDefault="00F52FE4" w:rsidP="00F52FE4">
      <w:pPr>
        <w:pStyle w:val="Bodytext40"/>
        <w:shd w:val="clear" w:color="auto" w:fill="auto"/>
        <w:spacing w:before="0" w:line="240" w:lineRule="auto"/>
        <w:ind w:left="300"/>
        <w:rPr>
          <w:rStyle w:val="Bodytext414pt1"/>
          <w:rFonts w:ascii="Sylfaen" w:hAnsi="Sylfaen"/>
          <w:spacing w:val="0"/>
          <w:sz w:val="24"/>
          <w:szCs w:val="24"/>
        </w:rPr>
      </w:pPr>
    </w:p>
    <w:p w14:paraId="7B5565DB" w14:textId="77777777" w:rsidR="001D0ED2" w:rsidRPr="00F52FE4" w:rsidRDefault="00873DB6" w:rsidP="00F52FE4">
      <w:pPr>
        <w:pStyle w:val="Bodytext4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F52FE4">
        <w:rPr>
          <w:rStyle w:val="Bodytext414pt1"/>
          <w:rFonts w:ascii="Sylfaen" w:hAnsi="Sylfaen"/>
          <w:spacing w:val="0"/>
          <w:sz w:val="24"/>
          <w:szCs w:val="24"/>
        </w:rPr>
        <w:t>ПЕРЕЧЕНЬ</w:t>
      </w:r>
    </w:p>
    <w:p w14:paraId="16318B28" w14:textId="77777777" w:rsidR="001D0ED2" w:rsidRDefault="00873DB6" w:rsidP="00F52FE4">
      <w:pPr>
        <w:pStyle w:val="Bodytext40"/>
        <w:shd w:val="clear" w:color="auto" w:fill="auto"/>
        <w:spacing w:before="0" w:line="240" w:lineRule="auto"/>
        <w:ind w:left="567" w:right="559"/>
        <w:rPr>
          <w:rStyle w:val="Bodytext414pt0"/>
          <w:rFonts w:ascii="Sylfaen" w:hAnsi="Sylfaen"/>
          <w:sz w:val="24"/>
          <w:szCs w:val="24"/>
        </w:rPr>
      </w:pPr>
      <w:r w:rsidRPr="00F52FE4">
        <w:rPr>
          <w:rStyle w:val="Bodytext414pt0"/>
          <w:rFonts w:ascii="Sylfaen" w:hAnsi="Sylfaen"/>
          <w:sz w:val="24"/>
          <w:szCs w:val="24"/>
        </w:rPr>
        <w:t>отдельных видов авто- и мототранспортных средств</w:t>
      </w:r>
      <w:r w:rsidR="00F52FE4">
        <w:rPr>
          <w:rStyle w:val="Bodytext414pt0"/>
          <w:rFonts w:ascii="Sylfaen" w:hAnsi="Sylfaen"/>
          <w:sz w:val="24"/>
          <w:szCs w:val="24"/>
        </w:rPr>
        <w:t xml:space="preserve"> </w:t>
      </w:r>
      <w:r w:rsidRPr="00F52FE4">
        <w:rPr>
          <w:rStyle w:val="Bodytext414pt0"/>
          <w:rFonts w:ascii="Sylfaen" w:hAnsi="Sylfaen"/>
          <w:sz w:val="24"/>
          <w:szCs w:val="24"/>
        </w:rPr>
        <w:t>и прицепов к авто- и мототранспортным средствам,</w:t>
      </w:r>
      <w:r w:rsidR="00F52FE4">
        <w:rPr>
          <w:rStyle w:val="Bodytext414pt0"/>
          <w:rFonts w:ascii="Sylfaen" w:hAnsi="Sylfaen"/>
          <w:sz w:val="24"/>
          <w:szCs w:val="24"/>
        </w:rPr>
        <w:t xml:space="preserve"> </w:t>
      </w:r>
      <w:r w:rsidRPr="00F52FE4">
        <w:rPr>
          <w:rStyle w:val="Bodytext414pt0"/>
          <w:rFonts w:ascii="Sylfaen" w:hAnsi="Sylfaen"/>
          <w:sz w:val="24"/>
          <w:szCs w:val="24"/>
        </w:rPr>
        <w:t>являющихся транспортными средствами для личного пользования</w:t>
      </w:r>
    </w:p>
    <w:p w14:paraId="05B4361B" w14:textId="77777777" w:rsidR="00F52FE4" w:rsidRPr="00F52FE4" w:rsidRDefault="00F52FE4" w:rsidP="00F52FE4">
      <w:pPr>
        <w:pStyle w:val="Bodytext4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</w:p>
    <w:p w14:paraId="6D8C629A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1.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Автомобили легковые (за исключением автомобилей, специально предназначенных для медицинских целей) и прочие моторные транспортные средства, предназначенные главным образом для перевозки людей, классифицируемые в товарной позиции 8703 ТН ВЭД ЕАЭС.</w:t>
      </w:r>
    </w:p>
    <w:p w14:paraId="3DAFA202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2.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Квадроциклы, снегоходы, снегоболотоходы, мотовездеходы и иные моторные транспортные средства, не предназначенные для движения по дорогам общего пользования (за исключением гоночных автомобилей, не предназначенных для движения по дорогам общего пользования), классифицируемые в товарной позиции 8703 ТН ВЭД ЕАЭС.</w:t>
      </w:r>
    </w:p>
    <w:p w14:paraId="15E70E81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3.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Мотоциклы, мопеды, мотороллеры, классифицируемые в товарной позиции 8711 ТН ВЭД ЕАЭС.</w:t>
      </w:r>
    </w:p>
    <w:p w14:paraId="5C24344B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4.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Моторные транспортные средства для перевозки не более 12 человек, включая водителя, классифицируемые в товарной позиции 8702 ТН ВЭД ЕАЭС, моторные транспортные средства для перевозки грузов с полной массой до 5 тонн включительно, классифицируемые в субпозициях 8704 21 и 8704 31 ТН ВЭД ЕАЭС.</w:t>
      </w:r>
    </w:p>
    <w:p w14:paraId="73F6FB62" w14:textId="77777777" w:rsid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  <w:lang w:eastAsia="en-US" w:bidi="en-US"/>
        </w:rPr>
        <w:t>5.</w:t>
      </w:r>
      <w:r w:rsidR="00F52FE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52FE4">
        <w:rPr>
          <w:rFonts w:ascii="Sylfaen" w:hAnsi="Sylfaen"/>
          <w:sz w:val="24"/>
          <w:szCs w:val="24"/>
        </w:rPr>
        <w:t>Прицепы (за исключением прицепов для перевозки автомобилей) с полной массой до 3,5 тонны включительно, классифицируемые в товарной позиции 8716 ТН ВЭД ЕАЭС, прицепы типа «дом-автоприцеп» для проживания или для автотуристов, классифицируемые в субпозиции 8716 10 ТН ВЭД ЕАЭС.</w:t>
      </w:r>
    </w:p>
    <w:p w14:paraId="6516CC25" w14:textId="77777777" w:rsidR="00F52FE4" w:rsidRDefault="00F52FE4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36A296DC" w14:textId="77777777" w:rsidR="001D0ED2" w:rsidRPr="00F52FE4" w:rsidRDefault="00873DB6" w:rsidP="00F52FE4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lastRenderedPageBreak/>
        <w:t>УТВЕРЖДЕН</w:t>
      </w:r>
    </w:p>
    <w:p w14:paraId="16825396" w14:textId="77777777" w:rsidR="00F52FE4" w:rsidRDefault="00873DB6" w:rsidP="00F52FE4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Решением Коллегии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20CD56EB" w14:textId="77777777" w:rsidR="001D0ED2" w:rsidRPr="00F52FE4" w:rsidRDefault="00873DB6" w:rsidP="00F52FE4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от 30 июня 2017 г. № 74</w:t>
      </w:r>
    </w:p>
    <w:p w14:paraId="008C3C68" w14:textId="77777777" w:rsidR="00F52FE4" w:rsidRDefault="00F52FE4" w:rsidP="00F52FE4">
      <w:pPr>
        <w:pStyle w:val="Bodytext40"/>
        <w:shd w:val="clear" w:color="auto" w:fill="auto"/>
        <w:spacing w:before="0" w:line="240" w:lineRule="auto"/>
        <w:ind w:left="320"/>
        <w:rPr>
          <w:rStyle w:val="Bodytext414pt1"/>
          <w:rFonts w:ascii="Sylfaen" w:hAnsi="Sylfaen"/>
          <w:spacing w:val="0"/>
          <w:sz w:val="24"/>
          <w:szCs w:val="24"/>
        </w:rPr>
      </w:pPr>
    </w:p>
    <w:p w14:paraId="1EF61CC1" w14:textId="77777777" w:rsidR="001D0ED2" w:rsidRPr="00F52FE4" w:rsidRDefault="00873DB6" w:rsidP="00F52FE4">
      <w:pPr>
        <w:pStyle w:val="Bodytext40"/>
        <w:shd w:val="clear" w:color="auto" w:fill="auto"/>
        <w:spacing w:before="0" w:line="240" w:lineRule="auto"/>
        <w:ind w:left="284" w:right="275"/>
        <w:rPr>
          <w:rFonts w:ascii="Sylfaen" w:hAnsi="Sylfaen"/>
          <w:sz w:val="24"/>
          <w:szCs w:val="24"/>
        </w:rPr>
      </w:pPr>
      <w:r w:rsidRPr="00F52FE4">
        <w:rPr>
          <w:rStyle w:val="Bodytext414pt1"/>
          <w:rFonts w:ascii="Sylfaen" w:hAnsi="Sylfaen"/>
          <w:spacing w:val="0"/>
          <w:sz w:val="24"/>
          <w:szCs w:val="24"/>
        </w:rPr>
        <w:t>ПОРЯДОК</w:t>
      </w:r>
    </w:p>
    <w:p w14:paraId="62B9C9B7" w14:textId="77777777" w:rsidR="001D0ED2" w:rsidRDefault="00873DB6" w:rsidP="00F52FE4">
      <w:pPr>
        <w:pStyle w:val="Bodytext40"/>
        <w:shd w:val="clear" w:color="auto" w:fill="auto"/>
        <w:spacing w:before="0" w:line="240" w:lineRule="auto"/>
        <w:ind w:left="284" w:right="275"/>
        <w:rPr>
          <w:rStyle w:val="Bodytext414pt0"/>
          <w:rFonts w:ascii="Sylfaen" w:hAnsi="Sylfaen"/>
          <w:sz w:val="24"/>
          <w:szCs w:val="24"/>
        </w:rPr>
      </w:pPr>
      <w:r w:rsidRPr="00F52FE4">
        <w:rPr>
          <w:rStyle w:val="Bodytext414pt0"/>
          <w:rFonts w:ascii="Sylfaen" w:hAnsi="Sylfaen"/>
          <w:sz w:val="24"/>
          <w:szCs w:val="24"/>
        </w:rPr>
        <w:t>определения момента выпуска и рабочего объема двигателя</w:t>
      </w:r>
      <w:r w:rsidR="00F52FE4">
        <w:rPr>
          <w:rStyle w:val="Bodytext414pt0"/>
          <w:rFonts w:ascii="Sylfaen" w:hAnsi="Sylfaen"/>
          <w:sz w:val="24"/>
          <w:szCs w:val="24"/>
        </w:rPr>
        <w:t xml:space="preserve"> </w:t>
      </w:r>
      <w:r w:rsidRPr="00F52FE4">
        <w:rPr>
          <w:rStyle w:val="Bodytext414pt0"/>
          <w:rFonts w:ascii="Sylfaen" w:hAnsi="Sylfaen"/>
          <w:sz w:val="24"/>
          <w:szCs w:val="24"/>
        </w:rPr>
        <w:t>авто- и мототранспортных средств,</w:t>
      </w:r>
      <w:r w:rsidR="00F52FE4">
        <w:rPr>
          <w:rStyle w:val="Bodytext414pt0"/>
          <w:rFonts w:ascii="Sylfaen" w:hAnsi="Sylfaen"/>
          <w:sz w:val="24"/>
          <w:szCs w:val="24"/>
        </w:rPr>
        <w:t xml:space="preserve"> </w:t>
      </w:r>
      <w:r w:rsidRPr="00F52FE4">
        <w:rPr>
          <w:rStyle w:val="Bodytext414pt0"/>
          <w:rFonts w:ascii="Sylfaen" w:hAnsi="Sylfaen"/>
          <w:sz w:val="24"/>
          <w:szCs w:val="24"/>
        </w:rPr>
        <w:t>являющихся транспортными средствами для личного пользования</w:t>
      </w:r>
    </w:p>
    <w:p w14:paraId="0C7C6044" w14:textId="77777777" w:rsidR="00F52FE4" w:rsidRPr="00F52FE4" w:rsidRDefault="00F52FE4" w:rsidP="00F52FE4">
      <w:pPr>
        <w:pStyle w:val="Bodytext40"/>
        <w:shd w:val="clear" w:color="auto" w:fill="auto"/>
        <w:spacing w:before="0" w:line="240" w:lineRule="auto"/>
        <w:ind w:left="284" w:right="275"/>
        <w:rPr>
          <w:rFonts w:ascii="Sylfaen" w:hAnsi="Sylfaen"/>
          <w:sz w:val="24"/>
          <w:szCs w:val="24"/>
        </w:rPr>
      </w:pPr>
    </w:p>
    <w:p w14:paraId="1A85C65B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1.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Настоящий Порядок устанавливает правила определения момента выпуска и рабочего объема двигателя авто- и мототранспортных средств, являющихся транспортными средствами для личного пользования (далее - транспортное средство).</w:t>
      </w:r>
    </w:p>
    <w:p w14:paraId="191746A3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2.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Момент выпуска, то есть дата изготовления, и рабочий объем двигателя транспортного средства определяются декларантом и таможенным органом на основании:</w:t>
      </w:r>
    </w:p>
    <w:p w14:paraId="2CFD89D2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информации о дате изготовления и рабочем объеме двигателя транспортного средства, содержащейся в документах, подтверждающих регистрацию этого средства в государстве предыдущей регистрации;</w:t>
      </w:r>
    </w:p>
    <w:p w14:paraId="159D1662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информации изготовителя транспортного средства, закодированной в идентификационном номере этого средства или содержащейся на идентификационных наклейках, табличках кузова, шасси автотранспортного средства и идентификационных наклейках, табличках рамы, двигателя мототранспортного средства.</w:t>
      </w:r>
    </w:p>
    <w:p w14:paraId="46705FF4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3.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В случае отсутствия указанной в пункте 2 настоящего Порядка информации или невозможности однозначного определения на ее основании момента выпуска и (или) рабочего объема двигателя транспортного средства, а также в целях проверки указанной информации момент выпуска и (или) рабочий объем двигателя транспортного средства определяются декларантом на основании вспомогательных источников информации, в качестве которых могут применяться заключение представителя изготовителя транспортного средства в государстве - члене Евразийского экономического союза (далее - государство-член), заключение торгово-промышленной палаты государства-члена (иной аналогичной организации) или экспертной организации государства-члена, а также другие справочные и информационные источники.</w:t>
      </w:r>
    </w:p>
    <w:p w14:paraId="601DEFE0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4.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 xml:space="preserve">В случае отсутствия указанной в пункте 2 настоящего Порядка информации или невозможности однозначного определения на ее основании момента выпуска и (или) рабочего объема двигателя транспортного средства, а также в целях проведения таможенного контроля (в том числе после выпуска этого средства) </w:t>
      </w:r>
      <w:r w:rsidRPr="00F52FE4">
        <w:rPr>
          <w:rFonts w:ascii="Sylfaen" w:hAnsi="Sylfaen"/>
          <w:sz w:val="24"/>
          <w:szCs w:val="24"/>
        </w:rPr>
        <w:lastRenderedPageBreak/>
        <w:t>момент выпуска и (или) рабочий объем двигателя транспортного средства определяются таможенным органом на основании вспомогательных источников информации, в качестве которых могут применяться заключение представителя изготовителя транспортного средства в государстве- члене, заключение торгово-промышленной палаты государства-члена (иной аналогичной организации), заключение таможенного эксперта (эксперта), другие справочные и информационные источники.</w:t>
      </w:r>
    </w:p>
    <w:p w14:paraId="77885537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Таможенный орган вправе применять вспомогательные источники информации, ранее использованные в соответствии с пунктом 3 настоящего Порядка и представленные декларантом.</w:t>
      </w:r>
    </w:p>
    <w:p w14:paraId="443A0DF3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5.</w:t>
      </w:r>
      <w:r w:rsidR="00F52FE4">
        <w:rPr>
          <w:rFonts w:ascii="Sylfaen" w:hAnsi="Sylfaen"/>
          <w:sz w:val="24"/>
          <w:szCs w:val="24"/>
        </w:rPr>
        <w:t xml:space="preserve"> </w:t>
      </w:r>
      <w:r w:rsidRPr="00F52FE4">
        <w:rPr>
          <w:rFonts w:ascii="Sylfaen" w:hAnsi="Sylfaen"/>
          <w:sz w:val="24"/>
          <w:szCs w:val="24"/>
        </w:rPr>
        <w:t>В случае если на основании пунктов 2-4 настоящего Порядка определен год изготовления транспортного средства, моментом выпуска считается 1 июля года его изготовления, если определены год и месяц изготовления, - 15-е число месяца изготовления.</w:t>
      </w:r>
    </w:p>
    <w:p w14:paraId="0235FD92" w14:textId="77777777" w:rsidR="001D0ED2" w:rsidRPr="00F52FE4" w:rsidRDefault="00873DB6" w:rsidP="00F52FE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2FE4">
        <w:rPr>
          <w:rFonts w:ascii="Sylfaen" w:hAnsi="Sylfaen"/>
          <w:sz w:val="24"/>
          <w:szCs w:val="24"/>
        </w:rPr>
        <w:t>В случае если на основании пунктов 2-4 настоящего Порядка рабочий объем двигателя транспортного средства не определен, рабочим объемом считается максимальный рабочий объем двигателя, который может устанавливаться изготовителем на соответствующую модель транспортного средства согласно справочным и информационным источникам.</w:t>
      </w:r>
    </w:p>
    <w:sectPr w:rsidR="001D0ED2" w:rsidRPr="00F52FE4" w:rsidSect="00F52FE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1CFEB" w14:textId="77777777" w:rsidR="00A638FE" w:rsidRDefault="00A638FE" w:rsidP="001D0ED2">
      <w:r>
        <w:separator/>
      </w:r>
    </w:p>
  </w:endnote>
  <w:endnote w:type="continuationSeparator" w:id="0">
    <w:p w14:paraId="6F329E90" w14:textId="77777777" w:rsidR="00A638FE" w:rsidRDefault="00A638FE" w:rsidP="001D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33D32" w14:textId="77777777" w:rsidR="00A638FE" w:rsidRDefault="00A638FE"/>
  </w:footnote>
  <w:footnote w:type="continuationSeparator" w:id="0">
    <w:p w14:paraId="21EC5062" w14:textId="77777777" w:rsidR="00A638FE" w:rsidRDefault="00A638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ED2"/>
    <w:rsid w:val="001503B2"/>
    <w:rsid w:val="001D0ED2"/>
    <w:rsid w:val="006A0775"/>
    <w:rsid w:val="00873DB6"/>
    <w:rsid w:val="00A638FE"/>
    <w:rsid w:val="00AD470D"/>
    <w:rsid w:val="00B64945"/>
    <w:rsid w:val="00B80EA4"/>
    <w:rsid w:val="00F52FE4"/>
    <w:rsid w:val="00F61E70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9D57"/>
  <w15:docId w15:val="{AE498A30-E926-41B2-BDD1-9DD09D50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0ED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0ED2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DefaultParagraphFont"/>
    <w:link w:val="Bodytext4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14pt">
    <w:name w:val="Body text (4) + 14 pt"/>
    <w:aliases w:val="Bold,Spacing 4 pt"/>
    <w:basedOn w:val="Bodytext4"/>
    <w:rsid w:val="001D0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0">
    <w:name w:val="Body text (4) + 14 pt"/>
    <w:aliases w:val="Bold"/>
    <w:basedOn w:val="Bodytext4"/>
    <w:rsid w:val="001D0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4pt1">
    <w:name w:val="Body text (4) + 14 pt"/>
    <w:aliases w:val="Bold,Spacing 2 pt"/>
    <w:basedOn w:val="Bodytext4"/>
    <w:rsid w:val="001D0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80">
    <w:name w:val="Body text (8)"/>
    <w:basedOn w:val="Normal"/>
    <w:link w:val="Bodytext8"/>
    <w:rsid w:val="001D0ED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1D0ED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40">
    <w:name w:val="Body text (4)"/>
    <w:basedOn w:val="Normal"/>
    <w:link w:val="Bodytext4"/>
    <w:rsid w:val="001D0ED2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20">
    <w:name w:val="Body text (2)"/>
    <w:basedOn w:val="Normal"/>
    <w:link w:val="Bodytext2"/>
    <w:rsid w:val="001D0ED2"/>
    <w:pPr>
      <w:shd w:val="clear" w:color="auto" w:fill="FFFFFF"/>
      <w:spacing w:before="48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2018-06-05T10:38:00Z</dcterms:created>
  <dcterms:modified xsi:type="dcterms:W3CDTF">2019-09-26T10:51:00Z</dcterms:modified>
</cp:coreProperties>
</file>