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2A945" w14:textId="77777777" w:rsidR="008C226D" w:rsidRPr="004D449D" w:rsidRDefault="004D449D" w:rsidP="004D449D">
      <w:pPr>
        <w:pStyle w:val="Bodytext40"/>
        <w:shd w:val="clear" w:color="auto" w:fill="auto"/>
        <w:spacing w:after="120" w:line="240" w:lineRule="auto"/>
        <w:ind w:left="851" w:right="851"/>
        <w:rPr>
          <w:rFonts w:ascii="Sylfaen" w:hAnsi="Sylfaen" w:cs="Sylfaen"/>
          <w:sz w:val="24"/>
        </w:rPr>
      </w:pPr>
      <w:r w:rsidRPr="004D449D">
        <w:rPr>
          <w:rFonts w:ascii="Sylfaen" w:hAnsi="Sylfaen" w:cs="Sylfaen"/>
          <w:sz w:val="24"/>
        </w:rPr>
        <w:t>ОТЧЕТ</w:t>
      </w:r>
    </w:p>
    <w:p w14:paraId="5144A1BE" w14:textId="77777777" w:rsidR="008C226D" w:rsidRPr="004D449D" w:rsidRDefault="004D449D" w:rsidP="004D449D">
      <w:pPr>
        <w:pStyle w:val="Bodytext40"/>
        <w:shd w:val="clear" w:color="auto" w:fill="auto"/>
        <w:spacing w:after="120" w:line="240" w:lineRule="auto"/>
        <w:ind w:left="851" w:right="851"/>
        <w:rPr>
          <w:rFonts w:ascii="Sylfaen" w:hAnsi="Sylfaen" w:cs="Sylfaen"/>
          <w:sz w:val="24"/>
        </w:rPr>
      </w:pPr>
      <w:r w:rsidRPr="004D449D">
        <w:rPr>
          <w:rFonts w:ascii="Sylfaen" w:hAnsi="Sylfaen" w:cs="Sylfaen"/>
          <w:sz w:val="24"/>
        </w:rPr>
        <w:t>о результатах реализации Основных ориентиров макроэкономической политики государств — членов Евразийского экономического союза на 2017 - 2018 годы</w:t>
      </w:r>
    </w:p>
    <w:p w14:paraId="50FDE28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Основные ориентиры макроэкономической политики государств - членов Евразийского экономического союза на 2017 - 2018 годы (далее - Основные ориентиры) утверждены Решением Высшего Евразийского экономического совета от 14 апреля 2017 г. № 7.</w:t>
      </w:r>
    </w:p>
    <w:p w14:paraId="36E7E2C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Указанным Решением государствам - членам Евразийского экономического союза (далее - государства-члены, Союз) рекомендовано учитывать при проведении макроэкономической политики положения утвержденного документа, а Евразийской экономической комиссии (далее - Комиссия) поручено проводить анализ мер, реализуемых государствами- членами в области макроэкономической политики, и оценивать соответствие таких мер утвержденным Основным ориентирам.</w:t>
      </w:r>
    </w:p>
    <w:p w14:paraId="78F2E92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Распоряжением Совета Евразийской экономической комиссии от 15 сентября 2017 г. № 32 утвержден Перечень мероприятий по реализации основных ориентиров макроэкономической политики государств-членов на 2017-2018 годы.</w:t>
      </w:r>
    </w:p>
    <w:p w14:paraId="19E7F56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Во исполнение указанных документов Комиссией проведен мониторинг соответствия национальных мер, а также действий Комиссии утвержденным Основным ориентирам.</w:t>
      </w:r>
    </w:p>
    <w:p w14:paraId="72BE681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Мониторинг проведен на основе информации, представленной уполномоченными органами государств-членов, изучения нормативноправовых актов, принятых государствами-членами в отчетном периоде, отчетов ответственных департаментов Комиссии и публикаций на официальных сайтах министерств и ведомств государств-членов.</w:t>
      </w:r>
    </w:p>
    <w:p w14:paraId="0DABA42E" w14:textId="77777777" w:rsidR="008C226D" w:rsidRPr="004D449D" w:rsidRDefault="004D449D" w:rsidP="00220108">
      <w:pPr>
        <w:pStyle w:val="Bodytext50"/>
        <w:shd w:val="clear" w:color="auto" w:fill="auto"/>
        <w:spacing w:before="0" w:after="120" w:line="240" w:lineRule="auto"/>
        <w:ind w:firstLine="567"/>
        <w:rPr>
          <w:rFonts w:ascii="Sylfaen" w:hAnsi="Sylfaen" w:cs="Sylfaen"/>
          <w:sz w:val="24"/>
        </w:rPr>
      </w:pPr>
      <w:r w:rsidRPr="004D449D">
        <w:rPr>
          <w:rFonts w:ascii="Sylfaen" w:hAnsi="Sylfaen" w:cs="Sylfaen"/>
          <w:sz w:val="24"/>
        </w:rPr>
        <w:t>Направление 1. Улучшение макроэкономической ситуации</w:t>
      </w:r>
    </w:p>
    <w:p w14:paraId="0CC6352E"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Соблюдение установленных статьей 63 Договора количественных значений показателей, определяющих устойчивость экономического развития. Разработка и учет подготовленных Евразийской экономической комиссией рекомендаций, направленных на соблюдение количественных значений показателей, определяющих устойчивость экономического развития (в случае их превышения)</w:t>
      </w:r>
    </w:p>
    <w:p w14:paraId="2AF2EF9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На основании результатов мониторинга соблюдения государствами- членами количественных значений макроэкономических показателей, определяющих</w:t>
      </w:r>
      <w:r>
        <w:rPr>
          <w:rFonts w:ascii="Sylfaen" w:hAnsi="Sylfaen" w:cs="Sylfaen"/>
          <w:sz w:val="24"/>
        </w:rPr>
        <w:t xml:space="preserve"> </w:t>
      </w:r>
      <w:r w:rsidRPr="004D449D">
        <w:rPr>
          <w:rFonts w:ascii="Sylfaen" w:hAnsi="Sylfaen" w:cs="Sylfaen"/>
          <w:sz w:val="24"/>
        </w:rPr>
        <w:t>устойчивость экономического развития, проводимого Комиссией в отчетном периоде, установлено, что в 2017 г. в государствах- членах произошло улучшение макроэкономической ситуации по сравнению с 2016 г.</w:t>
      </w:r>
    </w:p>
    <w:p w14:paraId="44DE517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 итогам 2016 г. каждым государством-членом было превышено установленное</w:t>
      </w:r>
      <w:r>
        <w:rPr>
          <w:rFonts w:ascii="Sylfaen" w:hAnsi="Sylfaen" w:cs="Sylfaen"/>
          <w:sz w:val="24"/>
        </w:rPr>
        <w:t xml:space="preserve"> </w:t>
      </w:r>
      <w:r w:rsidRPr="004D449D">
        <w:rPr>
          <w:rFonts w:ascii="Sylfaen" w:hAnsi="Sylfaen" w:cs="Sylfaen"/>
          <w:sz w:val="24"/>
        </w:rPr>
        <w:t>Договором</w:t>
      </w:r>
      <w:r>
        <w:rPr>
          <w:rFonts w:ascii="Sylfaen" w:hAnsi="Sylfaen" w:cs="Sylfaen"/>
          <w:sz w:val="24"/>
        </w:rPr>
        <w:t xml:space="preserve"> </w:t>
      </w:r>
      <w:r w:rsidRPr="004D449D">
        <w:rPr>
          <w:rFonts w:ascii="Sylfaen" w:hAnsi="Sylfaen" w:cs="Sylfaen"/>
          <w:sz w:val="24"/>
        </w:rPr>
        <w:t>о Евразийском</w:t>
      </w:r>
      <w:r>
        <w:rPr>
          <w:rFonts w:ascii="Sylfaen" w:hAnsi="Sylfaen" w:cs="Sylfaen"/>
          <w:sz w:val="24"/>
        </w:rPr>
        <w:t xml:space="preserve"> </w:t>
      </w:r>
      <w:r w:rsidRPr="004D449D">
        <w:rPr>
          <w:rFonts w:ascii="Sylfaen" w:hAnsi="Sylfaen" w:cs="Sylfaen"/>
          <w:sz w:val="24"/>
        </w:rPr>
        <w:t xml:space="preserve">экономическом союзе от 29 мая 2014 г. (далее - Договор) количественное значение как минимум одного из таких </w:t>
      </w:r>
      <w:r w:rsidRPr="004D449D">
        <w:rPr>
          <w:rFonts w:ascii="Sylfaen" w:hAnsi="Sylfaen" w:cs="Sylfaen"/>
          <w:sz w:val="24"/>
        </w:rPr>
        <w:lastRenderedPageBreak/>
        <w:t>показателей. Так, Республикой Армения и Кыргызской Республикой были превышены установленные значения дефицита консолидированного бюджета и долга сектора государственного управления, Республикой Беларусь, Республикой Казахстан и Российской Федерацией было превышено предельное расчетное значение уровня инфляции.</w:t>
      </w:r>
    </w:p>
    <w:p w14:paraId="1FE730D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соответствии с Порядком разработки и принятия мер, направленных на стабилизацию экономической ситуации в случае превышения государствами- членами количественных значений макроэкономических показателей, определяющих устойчивость экономического развития, утвержденным Решением Коллегии Комиссии от 25 июня 2014 г. № 93, Комиссией совместно с государствами-членами проведены консультации и разработаны рекомендации, направленные на достижение и поддержание количественных значений указанных показателей в пределах, установленных Договором.</w:t>
      </w:r>
    </w:p>
    <w:p w14:paraId="034AA62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связи с превышением Республикой Беларусь допустимого значения по показателю уровня инфляции во всех четырех кварталах 2016 г., 22 декабря 2016 г. были проведены консультации с участием Комиссии и уполномоченных органов Республики Беларусь. По результатам консультаций Комиссией разработаны и приняты рекомендации по мерам, направленным на снижение уровня инфляции (индекса потребительских цен) в Республике Беларусь (Рекомендация Коллегии Комиссии от 14 марта 2017 г. № 7 ДСП).</w:t>
      </w:r>
    </w:p>
    <w:p w14:paraId="61D57A3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На основании превышения Российской Федерацией допустимого значения показателя инфляции в течение 2016 г., с учетом результатов состоявшихся 3 мая 2017 г. двусторонних консультаций, разработана и принята Рекомендация Коллегии Комиссии от 4 августа 2017 г. № 13 ДСП по мерам, направленным на снижение уровня инфляции (индекса потребительских цен) в Российской Федерации и поддержание его в среднесрочной перспективе в рамках количественного значения, установленного статьей 63 Договора.</w:t>
      </w:r>
    </w:p>
    <w:p w14:paraId="55BE6B7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Превышение Республикой Армения и Кыргызской Республикой установленных значений показателей дефицита консолидированного бюджета и долга сектора государственного управления в 2016 г. и 1-м полугодии 2017 г. обсуждалось в ходе двусторонних консультаций 7 сентября и 26 октября 2017 г. соответственно. Приняты Рекомендации Коллегии Комиссии от 14 ноября 2017 г. № 22 ДСП «О предложениях Евразийской экономической комиссии по мерам, направленным на снижение дефицита консолидированного бюджета и долга сектора государственного управления в Кыргызской Республике» и от 26 декабря 2017 г. № 33 ДСП «О предложениях Евразийской экономической комиссии по мерам, направленным на снижение долга и дефицита консолидированного бюджета сектора государственного управления в Республике Армения».</w:t>
      </w:r>
    </w:p>
    <w:p w14:paraId="052DC31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Указанные рекомендации подготовлены на основе проведенного анализа национального законодательства каждого государства-члена, анализа мер, принимаемых правительствами и национальными (центральными) банками государств-членов, в том числе направленных на соблюдение количественных </w:t>
      </w:r>
      <w:r w:rsidRPr="004D449D">
        <w:rPr>
          <w:rFonts w:ascii="Sylfaen" w:hAnsi="Sylfaen" w:cs="Sylfaen"/>
          <w:sz w:val="24"/>
        </w:rPr>
        <w:lastRenderedPageBreak/>
        <w:t>значений показателей, определяющих устойчивость экономического развития, а также на базе изучения опыта других государств-членов и лучших международных практик в области проведения макроэкономической политики.</w:t>
      </w:r>
    </w:p>
    <w:p w14:paraId="47A33EA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Необходимо отметить, что в 2016 г. Комиссией уже принимались рекомендации по мерам, направленным на снижение дефицита консолидированного бюджета сектора государственного управления в Республике Армения (от 19 декабря 2016 г. № 31 ДСП) и долга сектора государственного управления Кыргызской Республики (от 15 ноября 2016 г. № 22 ДСП). На основе проведенного анализа выполнения указанных рекомендаций Комиссией положительно оценена работа государственных органов по реализации рекомендуемых мер в целом, и отмечены отдельные меры, более активная реализация которых может способствовать в среднесрочной перспективе обеспечению бюджетной и долговой устойчивости.</w:t>
      </w:r>
    </w:p>
    <w:p w14:paraId="5CA73D9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Принятие эффективных мер на национальном уровне и реализация рекомендаций Комиссии привели к тому, что в 2017 г. по итогам 9 месяцев наблюдается улучшение бюджетных показателей в большинстве государств- членов. В Республике Армения и Кыргызской Республике зафиксировано сокращение дефицита консолидированного бюджета сектора государственного управления, который составил 2,3% и 1,9% ВВП соответственно. В Республике Беларусь и Российской Федерации консолидированный бюджет исполнен с профицитом в размере 3,9% и 1,5% ВВП соответственно. В то же время дефицит консолидированного бюджета сектора государственного управления Республики Казахстан составил 7,5% ВВП в связи с увеличением расходов бюджета на государственные закупки, социальные пособия населению и приобретение нефинансовых активов, что значительно увеличило риск превышения установленного Договором допустимого значения по итогам года.</w:t>
      </w:r>
    </w:p>
    <w:p w14:paraId="16F2E18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сохранялось превышение Республикой Армения и Кыргызской Республикой установленного значения долга сектора государственного управления. По итогам 9 месяцев 2017 г. в Республике Армения и Кыргызской Республике долг сектора государственного управления составил 51,7% ВВП и 62,6% ВВП, превысив установленное Договором о ЕАЭС количественное значение на 1,7 п.п. и 12,6 п.п. соответственно. Рост долга в этих странах был обусловлен необходимостью финансирования дефицита консолидированного бюджета сектора государственного управления, а также инвестиционных проектов.</w:t>
      </w:r>
    </w:p>
    <w:p w14:paraId="7EC22AA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По результатам 2017 г. все страны Союза находятся в пределах установленного Договором расчетного значения показателя инфляции. Государства-члены не только преодолели наблюдавшееся превышение допустимого уровня инфляции (Республика Беларусь, Республика Казахстан, Российская Федерация), но и покинули зону дефляции (Республика Армения, Кыргызская Республика). В декабре 2017 г. по отношению к декабрю 2016 г. уровень инфляции в Республике Армения составил 102,6%, в Республике Беларусь - 104,6%, в Республике Казахстан - 107,1%, в Кыргызской Республике - 103,7%, в Российской Федерации - 102,5%. Это говорит о </w:t>
      </w:r>
      <w:r w:rsidRPr="004D449D">
        <w:rPr>
          <w:rFonts w:ascii="Sylfaen" w:hAnsi="Sylfaen" w:cs="Sylfaen"/>
          <w:sz w:val="24"/>
        </w:rPr>
        <w:lastRenderedPageBreak/>
        <w:t>завершении фазы адаптации государств-членов к новым внешнеэкономическим условиям и нормализации экономических процессов в странах Союза.</w:t>
      </w:r>
    </w:p>
    <w:p w14:paraId="79EABD6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Отдельно необходимо отметить наблюдающееся сближение значений инфляции в государствах-членах.</w:t>
      </w:r>
    </w:p>
    <w:p w14:paraId="3D71F582"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Согласование порядка установления среднесрочного ориентира по уровню инфляции (индексу потребительских цен) государств — членов Евразийского экономического союза</w:t>
      </w:r>
    </w:p>
    <w:p w14:paraId="57E4604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сделан важный шаг на пути координации макроэкономической политики в рамках Союза. На заседании Консультативного комитета по макроэкономической политике 14 ноября принят Порядок установления и согласования среднесрочного ориентира по уровню инфляции государств - членов Евразийского экономического союза (далее - ЕАЭС), в рамках которого на основе национальных ориентиров будет определяться количественный интервал уровня годовой инфляции, устанавливаемый в Союзе. Установление такого ориентира направлено на соблюдение государствами-членами количественного значения показателя инфляции, установленного Договором, и может способствовать дальнейшему сближению уровня инфляции в странах Союза.</w:t>
      </w:r>
    </w:p>
    <w:p w14:paraId="6F4D8A42"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Продолжение работы по переходу государств-членов к режиму таргетирования инфляции</w:t>
      </w:r>
    </w:p>
    <w:p w14:paraId="0CBDEE5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Важнейшую роль в улучшении макроэкономической ситуации в государствах-членах играет проведение денежно-кредитной политики в рамках режима таргетирования инфляции (в Республике Армения, Республике Казахстан и Российской Федерации), или движение в направлении перехода к данному режиму (в Республике Беларусь и Кыргызской Республике). При этом режим проведения денежно-кредитной политики в Кыргызской Республике близок к инфляционному таргетированию, внедрены и действуют отдельные элементы данного режима. Республика Беларусь использует стратегию монетарного таргетирования. В то же время Национальный банк Республики Беларусь проводит подготовительные мероприятия, направленные на формирование условий для перехода в среднесрочной перспективе к режиму инфляционного таргетирования, что предусмотрено Программой социально- экономического развития Республики Беларусь на 2016-2020 гг.</w:t>
      </w:r>
      <w:r w:rsidR="009E392A">
        <w:rPr>
          <w:rStyle w:val="FootnoteReference"/>
          <w:rFonts w:ascii="Sylfaen" w:hAnsi="Sylfaen" w:cs="Sylfaen"/>
          <w:sz w:val="24"/>
        </w:rPr>
        <w:footnoteReference w:id="1"/>
      </w:r>
    </w:p>
    <w:p w14:paraId="6D6DCD9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 2007 г. в Республике Армения определен целевой уровень инфляции 4% с допустимым интервалом колебаний ±1,5 п.п., который закреплен на законодательном уровне. Законом «О государственном бюджете Республики Армения на 2017 г.» Центральному банку Республики Армения при принятии в течение 2017 г. решений относительно денежно-кредитной политики было поручено руководствоваться целевым показателем 12-месячной инфляции 4%</w:t>
      </w:r>
      <w:r w:rsidR="009E392A">
        <w:rPr>
          <w:rStyle w:val="FootnoteReference"/>
          <w:rFonts w:ascii="Sylfaen" w:hAnsi="Sylfaen" w:cs="Sylfaen"/>
          <w:sz w:val="24"/>
        </w:rPr>
        <w:footnoteReference w:id="2"/>
      </w:r>
      <w:r w:rsidRPr="004D449D">
        <w:rPr>
          <w:rFonts w:ascii="Sylfaen" w:hAnsi="Sylfaen" w:cs="Sylfaen"/>
          <w:sz w:val="24"/>
        </w:rPr>
        <w:t xml:space="preserve">. Центральный банк Республики Армения оценивает достаточным воздействие </w:t>
      </w:r>
      <w:r w:rsidRPr="004D449D">
        <w:rPr>
          <w:rFonts w:ascii="Sylfaen" w:hAnsi="Sylfaen" w:cs="Sylfaen"/>
          <w:sz w:val="24"/>
        </w:rPr>
        <w:lastRenderedPageBreak/>
        <w:t>стимулирующих денежно-кредитных условий для достижения целевого значения по инфляции в среднесрочной перспективе (в феврале 2017 г. было принято решение о снижении ключевой (базовой) ставки на 0,25 п.п. до 6,0%).</w:t>
      </w:r>
    </w:p>
    <w:p w14:paraId="2874B3A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Программой социально-экономического развития Республики Беларусь на 2016-2020 г. предусмотрено, что основной целью денежно-кредитной политики в этом периоде является снижение к концу 2020 г. уровня инфляции до 5%</w:t>
      </w:r>
      <w:r w:rsidR="009E392A">
        <w:rPr>
          <w:rStyle w:val="FootnoteReference"/>
          <w:rFonts w:ascii="Sylfaen" w:hAnsi="Sylfaen" w:cs="Sylfaen"/>
          <w:sz w:val="24"/>
        </w:rPr>
        <w:footnoteReference w:id="3"/>
      </w:r>
      <w:r w:rsidRPr="004D449D">
        <w:rPr>
          <w:rFonts w:ascii="Sylfaen" w:hAnsi="Sylfaen" w:cs="Sylfaen"/>
          <w:sz w:val="24"/>
        </w:rPr>
        <w:t xml:space="preserve"> В 2017 г. инфляция значительно замедлилась, а ставка рефинансирования в течение года снизилась с 17% до 11%. 14 февраля 2018 г. размер ставки рефинансирования снижен до 10,5%.</w:t>
      </w:r>
    </w:p>
    <w:p w14:paraId="201C13E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Основными направлениями денежно-кредитной политики Республики Казахстан на 2017 г., одобренными постановлением Правления Национального Банка Республики Казахстан от 28 ноября 2016 г. № 271, были установлены целевые ориентиры по инфляции на уровне 6-8% на 2017 г., 5-7% на 2018 г. и ниже 4% к 2020 г.</w:t>
      </w:r>
      <w:r w:rsidR="009E392A">
        <w:rPr>
          <w:rStyle w:val="FootnoteReference"/>
          <w:rFonts w:ascii="Sylfaen" w:hAnsi="Sylfaen" w:cs="Sylfaen"/>
          <w:sz w:val="24"/>
        </w:rPr>
        <w:footnoteReference w:id="4"/>
      </w:r>
      <w:r w:rsidRPr="004D449D">
        <w:rPr>
          <w:rFonts w:ascii="Sylfaen" w:hAnsi="Sylfaen" w:cs="Sylfaen"/>
          <w:sz w:val="24"/>
        </w:rPr>
        <w:t xml:space="preserve"> С начала 2017 г. инфляция устойчиво замедлялась в результате проводимой умеренно-жесткой денежно-кредитной политики Национального Банка, а также под воздействием благоприятных внешних и внутренних условий. Принятые Национальным Банком решения были направлены на постепенное смягчение денежно-кредитных условий, в течение</w:t>
      </w:r>
    </w:p>
    <w:p w14:paraId="7034A51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2017</w:t>
      </w:r>
      <w:r>
        <w:rPr>
          <w:rFonts w:ascii="Sylfaen" w:hAnsi="Sylfaen" w:cs="Sylfaen"/>
          <w:sz w:val="24"/>
        </w:rPr>
        <w:t xml:space="preserve"> </w:t>
      </w:r>
      <w:r w:rsidRPr="004D449D">
        <w:rPr>
          <w:rFonts w:ascii="Sylfaen" w:hAnsi="Sylfaen" w:cs="Sylfaen"/>
          <w:sz w:val="24"/>
        </w:rPr>
        <w:t>г. уровень базовой ставки был постепенно снижен с 12% до 10,25%.</w:t>
      </w:r>
    </w:p>
    <w:p w14:paraId="2EAF30B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соответствии с Национальной стратегией устойчивого развития Кыргызской Республики на период 2013-2017 гг., утвержденной Указом Президента Кыргызской Республики от 21 января 2013 г. № 11 и Основными направлениями денежно-кредитной политики на среднесрочный период, одобренными постановлением Правления Национального банка Кыргызской Республики №55/3 от 17 декабря 2014 г., количественным ориентиром денежно-кредитной политики в среднесрочном периоде стало удержание уровня инфляции в пределах 5-7 %</w:t>
      </w:r>
      <w:r w:rsidR="009E392A">
        <w:rPr>
          <w:rStyle w:val="FootnoteReference"/>
          <w:rFonts w:ascii="Sylfaen" w:hAnsi="Sylfaen" w:cs="Sylfaen"/>
          <w:sz w:val="24"/>
        </w:rPr>
        <w:footnoteReference w:id="5"/>
      </w:r>
      <w:r w:rsidR="009E392A">
        <w:rPr>
          <w:rStyle w:val="FootnoteReference"/>
          <w:rFonts w:ascii="Sylfaen" w:hAnsi="Sylfaen" w:cs="Sylfaen"/>
          <w:sz w:val="24"/>
        </w:rPr>
        <w:footnoteReference w:id="6"/>
      </w:r>
      <w:r w:rsidRPr="004D449D">
        <w:rPr>
          <w:rFonts w:ascii="Sylfaen" w:hAnsi="Sylfaen" w:cs="Sylfaen"/>
          <w:sz w:val="24"/>
        </w:rPr>
        <w:t>. Фактическая инфляция в 2017 г. оставалась ниже установленного коридора, а проведение достаточно мягкой монетарной политики способствовало повышению темпов роста потребительских цен.</w:t>
      </w:r>
    </w:p>
    <w:p w14:paraId="11EC949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Согласно Основным направлениям единой государственной денежно- кредитной политики на 2017 г. и период 2018 и 2019 гг., одобренным Советом директоров Банка России 11 ноября 2016 г., цель по инфляции определена на уровне 4%</w:t>
      </w:r>
      <w:r w:rsidR="009E392A">
        <w:rPr>
          <w:rStyle w:val="FootnoteReference"/>
          <w:rFonts w:ascii="Sylfaen" w:hAnsi="Sylfaen" w:cs="Sylfaen"/>
          <w:sz w:val="24"/>
        </w:rPr>
        <w:footnoteReference w:id="7"/>
      </w:r>
      <w:r w:rsidRPr="004D449D">
        <w:rPr>
          <w:rFonts w:ascii="Sylfaen" w:hAnsi="Sylfaen" w:cs="Sylfaen"/>
          <w:sz w:val="24"/>
        </w:rPr>
        <w:t xml:space="preserve"> . Инфляционные процессы в России резко замедлились под влиянием благоприятного внешнего фона и проведения умеренно жесткой денежно-кредитной политики. Банк России в течение 2017 г. поэтапно снижал базовую ставку, установив ее 15 декабря 2017 г. на уровне 7,75%, а 9 февраля</w:t>
      </w:r>
    </w:p>
    <w:p w14:paraId="3C0DB3A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lastRenderedPageBreak/>
        <w:t>2018</w:t>
      </w:r>
      <w:r>
        <w:rPr>
          <w:rFonts w:ascii="Sylfaen" w:hAnsi="Sylfaen" w:cs="Sylfaen"/>
          <w:sz w:val="24"/>
        </w:rPr>
        <w:t xml:space="preserve"> </w:t>
      </w:r>
      <w:r w:rsidRPr="004D449D">
        <w:rPr>
          <w:rFonts w:ascii="Sylfaen" w:hAnsi="Sylfaen" w:cs="Sylfaen"/>
          <w:sz w:val="24"/>
        </w:rPr>
        <w:t>г. - на уровне 7,5%.</w:t>
      </w:r>
    </w:p>
    <w:p w14:paraId="74B21A7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Согласно вновь принятым актам государств-членов, в Республике Армения, Кыргызской Республике и Российской Федерации инфляционные ориентиры остались неизменными (Закон «О государственном бюджете Республики Армения 2018 г.», Основные направления денежно-кредитной политики на среднесрочный период Кыргызской Республики и Основные направления единой государственной денежно-кредитной политики на 2018 г. и период 2019 и 2020 гг. Российской Федерации соответственно). В Республике Беларусь в соответствии с Основными направлениями денежно-кредитной политики основной ее целью в 2018 г. станет ограничение инфляции в размере не более 6%</w:t>
      </w:r>
      <w:r w:rsidR="009E392A">
        <w:rPr>
          <w:rStyle w:val="FootnoteReference"/>
          <w:rFonts w:ascii="Sylfaen" w:hAnsi="Sylfaen" w:cs="Sylfaen"/>
          <w:sz w:val="24"/>
        </w:rPr>
        <w:footnoteReference w:id="8"/>
      </w:r>
      <w:r w:rsidRPr="004D449D">
        <w:rPr>
          <w:rFonts w:ascii="Sylfaen" w:hAnsi="Sylfaen" w:cs="Sylfaen"/>
          <w:sz w:val="24"/>
        </w:rPr>
        <w:t>. В Республике Казахстан Основными направлениями денежно- кредитной политики на 2018 г. целевые ориентиры инфляции установлены на уровне 5-7% на конец 2018 г., 4-6 % на конец 2019 г. и ниже, но близко к 4% на конец 2020 г. и последующие годы</w:t>
      </w:r>
      <w:r w:rsidR="009E392A">
        <w:rPr>
          <w:rStyle w:val="FootnoteReference"/>
          <w:rFonts w:ascii="Sylfaen" w:hAnsi="Sylfaen" w:cs="Sylfaen"/>
          <w:sz w:val="24"/>
        </w:rPr>
        <w:footnoteReference w:id="9"/>
      </w:r>
      <w:r w:rsidRPr="004D449D">
        <w:rPr>
          <w:rFonts w:ascii="Sylfaen" w:hAnsi="Sylfaen" w:cs="Sylfaen"/>
          <w:sz w:val="24"/>
        </w:rPr>
        <w:t>.</w:t>
      </w:r>
    </w:p>
    <w:p w14:paraId="6FADDFF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Государства-члены обмениваются опытом по проведению денежно- кредитной политики в условиях перехода к инфляционному таргетированию. Так, в сентябре 2017 г. в г. Алматы (Республика Казахстан) состоялся семинар «Денежно-кредитная политика. Опыт Казахстана при переходе на инфляционное таргетирование», проводившийся для представителей центральных (национальных) банков и Комиссии на базе Национального Банка Республики Казахстан. В ходе проведения семинара основное внимание уделено практике государств-членов в сфере инфляционного таргетирования, применяемым</w:t>
      </w:r>
      <w:r>
        <w:rPr>
          <w:rFonts w:ascii="Sylfaen" w:hAnsi="Sylfaen" w:cs="Sylfaen"/>
          <w:sz w:val="24"/>
        </w:rPr>
        <w:t xml:space="preserve"> </w:t>
      </w:r>
      <w:r w:rsidRPr="004D449D">
        <w:rPr>
          <w:rFonts w:ascii="Sylfaen" w:hAnsi="Sylfaen" w:cs="Sylfaen"/>
          <w:sz w:val="24"/>
        </w:rPr>
        <w:t>инструментам</w:t>
      </w:r>
      <w:r>
        <w:rPr>
          <w:rFonts w:ascii="Sylfaen" w:hAnsi="Sylfaen" w:cs="Sylfaen"/>
          <w:sz w:val="24"/>
        </w:rPr>
        <w:t xml:space="preserve"> </w:t>
      </w:r>
      <w:r w:rsidRPr="004D449D">
        <w:rPr>
          <w:rFonts w:ascii="Sylfaen" w:hAnsi="Sylfaen" w:cs="Sylfaen"/>
          <w:sz w:val="24"/>
        </w:rPr>
        <w:t>денежно-кредитной</w:t>
      </w:r>
      <w:r>
        <w:rPr>
          <w:rFonts w:ascii="Sylfaen" w:hAnsi="Sylfaen" w:cs="Sylfaen"/>
          <w:sz w:val="24"/>
        </w:rPr>
        <w:t xml:space="preserve"> </w:t>
      </w:r>
      <w:r w:rsidRPr="004D449D">
        <w:rPr>
          <w:rFonts w:ascii="Sylfaen" w:hAnsi="Sylfaen" w:cs="Sylfaen"/>
          <w:sz w:val="24"/>
        </w:rPr>
        <w:t>политики, функционированию процентного канала трансмиссионного механизма денежно-кредитной политики; макроэкономическому прогнозированию, развитию рынка государственных ценных бумаг, а также инструментам дедолларизации экономики.</w:t>
      </w:r>
    </w:p>
    <w:p w14:paraId="7C7591BE"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Координация проводимой государствами-членами денежно-кредитной и бюдэ/сетно-налоговой политики на национальном уровне</w:t>
      </w:r>
    </w:p>
    <w:p w14:paraId="45651AD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Для обеспечения устойчивого улучшения в сфере макроэкономики необходимы усилия по повышению ее предсказуемости и скоординированности в каждом государстве, в том числе путем обеспечения согласованности на национальном уровне мер денежно-кредитной и налоговобюджетной политики. В рамках каждого государства в 2017 г. уделялось особое внимание координации таких мер. Так, Центральный банк Республики Армения, согласно своей Стратегии на 2015-2017 гг., оказывает постоянное содействие стабильному макроэкономическому развитию, выступая в качестве главного партнера Правительства Республики Армения в противостоянии экономическим вызовам</w:t>
      </w:r>
      <w:r w:rsidR="009E392A">
        <w:rPr>
          <w:rStyle w:val="FootnoteReference"/>
          <w:rFonts w:ascii="Sylfaen" w:hAnsi="Sylfaen" w:cs="Sylfaen"/>
          <w:sz w:val="24"/>
        </w:rPr>
        <w:footnoteReference w:id="10"/>
      </w:r>
      <w:r w:rsidRPr="004D449D">
        <w:rPr>
          <w:rFonts w:ascii="Sylfaen" w:hAnsi="Sylfaen" w:cs="Sylfaen"/>
          <w:sz w:val="24"/>
        </w:rPr>
        <w:t xml:space="preserve">. В Республике Беларусь в целях координации действий Национального банка и Правительства создан Совет по финансовой стабильности, а в Кыргызской Республике - Межведомственный координационный совет. В Республике Казахстан и Российской Федерации </w:t>
      </w:r>
      <w:r w:rsidRPr="004D449D">
        <w:rPr>
          <w:rFonts w:ascii="Sylfaen" w:hAnsi="Sylfaen" w:cs="Sylfaen"/>
          <w:sz w:val="24"/>
        </w:rPr>
        <w:lastRenderedPageBreak/>
        <w:t>документы, содержащие основные направления денежно-кредитной политики на 2018 г.</w:t>
      </w:r>
      <w:r w:rsidR="009E392A">
        <w:rPr>
          <w:rStyle w:val="FootnoteReference"/>
          <w:rFonts w:ascii="Sylfaen" w:hAnsi="Sylfaen" w:cs="Sylfaen"/>
          <w:sz w:val="24"/>
        </w:rPr>
        <w:footnoteReference w:id="11"/>
      </w:r>
      <w:r w:rsidR="009E392A" w:rsidRPr="009E392A">
        <w:rPr>
          <w:rFonts w:ascii="Sylfaen" w:hAnsi="Sylfaen" w:cs="Sylfaen"/>
          <w:sz w:val="24"/>
          <w:vertAlign w:val="superscript"/>
        </w:rPr>
        <w:t>,</w:t>
      </w:r>
      <w:r w:rsidR="009E392A">
        <w:rPr>
          <w:rStyle w:val="FootnoteReference"/>
          <w:rFonts w:ascii="Sylfaen" w:hAnsi="Sylfaen" w:cs="Sylfaen"/>
          <w:sz w:val="24"/>
          <w:lang w:val="en-US"/>
        </w:rPr>
        <w:footnoteReference w:id="12"/>
      </w:r>
      <w:r w:rsidRPr="004D449D">
        <w:rPr>
          <w:rFonts w:ascii="Sylfaen" w:hAnsi="Sylfaen" w:cs="Sylfaen"/>
          <w:sz w:val="24"/>
        </w:rPr>
        <w:t>, учитывают тесную связь с проводимой бюджетной политикой, включая влияние бюджетной политики на формирование внутренних условий проведения денежно-кредитной политики и применение бюджетных механизмов для распределения и использования денежных ресурсов.</w:t>
      </w:r>
    </w:p>
    <w:p w14:paraId="52C3647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Кыргызской Республике Основными направлениями фискальной политики на 2018-2020 гг. предусмотрено, что одной из важнейших предпосылок успешной реализации макроэкономической политики является скоординированная денежно-кредитная и налогово-бюджетная политика. В среднесрочном периоде предполагается продолжение проведения согласованной денежно-кредитной и бюджетно-налоговой политики, направленной на укрепление тенденций макроэкономической стабильности.</w:t>
      </w:r>
    </w:p>
    <w:p w14:paraId="2CF262E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для проведения согласованной политики и реализации совместных мер в Беларуси используется формат постановлений Совета Министров и Национального банка, а в Казахстане приоритеты и основные направления экономической политики на 2018 г. определены совместным</w:t>
      </w:r>
    </w:p>
    <w:p w14:paraId="69C915C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заявлением Правительства и Национального Банка</w:t>
      </w:r>
      <w:r w:rsidR="009E392A">
        <w:rPr>
          <w:rStyle w:val="FootnoteReference"/>
          <w:rFonts w:ascii="Sylfaen" w:hAnsi="Sylfaen" w:cs="Sylfaen"/>
          <w:sz w:val="24"/>
        </w:rPr>
        <w:footnoteReference w:id="13"/>
      </w:r>
      <w:r w:rsidRPr="004D449D">
        <w:rPr>
          <w:rFonts w:ascii="Sylfaen" w:hAnsi="Sylfaen" w:cs="Sylfaen"/>
          <w:sz w:val="24"/>
        </w:rPr>
        <w:t>. Такая координация значительно повышает результативность проводимой макроэкономической политики за счет совокупного влияния согласованных мер и действий всех государственных органов.</w:t>
      </w:r>
    </w:p>
    <w:p w14:paraId="62564A2A"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Обеспечение расширения использования национальных валют государств-членов во взаимных расчетах резидентов государств-членов</w:t>
      </w:r>
    </w:p>
    <w:p w14:paraId="23680E4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Улучшению макроэкономической ситуации будет способствовать и снижение степени зависимости государств-членов от конъюнктуры международного валютно-финансового рынка, базирующееся на расширении использования национальных валют государств-членов во взаимных расчетах резидентов стран Союза. В этих целях Комиссией подготовлен аналитический доклад о мерах по увеличению использования национальных валют государств - членов ЕАЭС в трансграничных операциях на территории ЕАЭС, включающий анализ состояния использования национальных валют в трансграничных операциях в рамках ЕАЭС, а также факторов выбора валюты расчётов, результаты проведённых Комиссией опросов предприятий- экспортёров и финансовых институтов (банков) о существующих препятствиях для использования национальных валют государств-членов и меры по увеличению использования национальных валют в трансграничных операциях в рамках ЕАЭС. Доклад рассмотрен на заседании Консультативного комитета по макроэкономической политике 14 ноября 2017 г. и Консультативного комитета по финансовым рынкам 8 февраля 2018 г.</w:t>
      </w:r>
    </w:p>
    <w:p w14:paraId="69F90F5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Важность и актуальность данной задачи подчеркивается тем, что в июне 2017 г. </w:t>
      </w:r>
      <w:r w:rsidRPr="004D449D">
        <w:rPr>
          <w:rFonts w:ascii="Sylfaen" w:hAnsi="Sylfaen" w:cs="Sylfaen"/>
          <w:sz w:val="24"/>
        </w:rPr>
        <w:lastRenderedPageBreak/>
        <w:t>в Банке России создан Экспертный совет по расчетам в национальных валютах, деятельность которого направлена на выработку рекомендаций по вопросам осуществления трансграничных расчетов в российских рублях и национальных валютах стран - торговых партнеров России. В состав Совета вошли представители Банка России, Государственной Думы Российской Федерации, Минэкономразвития России, Минфина России, Евразийской экономической комиссии, Евразийского банка Развития, Межгосударственного банка, бизнес-сообщества и ведущих российских научных институтов в области экономики.</w:t>
      </w:r>
    </w:p>
    <w:p w14:paraId="12CE4A0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состоялось два заседания Экспертного совета. Основными направлениями его работы на период 2017-2018 гг. являются изучение макроэкономических аспектов интернационализации валют, идентификация и устранение барьеров на уровне участников</w:t>
      </w:r>
      <w:r>
        <w:rPr>
          <w:rFonts w:ascii="Sylfaen" w:hAnsi="Sylfaen" w:cs="Sylfaen"/>
          <w:sz w:val="24"/>
        </w:rPr>
        <w:t xml:space="preserve"> </w:t>
      </w:r>
      <w:r w:rsidRPr="004D449D">
        <w:rPr>
          <w:rFonts w:ascii="Sylfaen" w:hAnsi="Sylfaen" w:cs="Sylfaen"/>
          <w:sz w:val="24"/>
        </w:rPr>
        <w:t>внешнеэкономической деятельности, развитие системы розничных платежей.</w:t>
      </w:r>
    </w:p>
    <w:p w14:paraId="0EF9FA8F" w14:textId="77777777" w:rsidR="008C226D" w:rsidRPr="004D449D" w:rsidRDefault="004D449D" w:rsidP="004D449D">
      <w:pPr>
        <w:pStyle w:val="Bodytext50"/>
        <w:shd w:val="clear" w:color="auto" w:fill="auto"/>
        <w:spacing w:before="0" w:after="120" w:line="240" w:lineRule="auto"/>
        <w:ind w:left="200"/>
        <w:rPr>
          <w:rFonts w:ascii="Sylfaen" w:hAnsi="Sylfaen" w:cs="Sylfaen"/>
          <w:sz w:val="24"/>
        </w:rPr>
      </w:pPr>
      <w:r w:rsidRPr="004D449D">
        <w:rPr>
          <w:rFonts w:ascii="Sylfaen" w:hAnsi="Sylfaen" w:cs="Sylfaen"/>
          <w:sz w:val="24"/>
        </w:rPr>
        <w:t>Направление 2</w:t>
      </w:r>
      <w:r w:rsidRPr="004D449D">
        <w:rPr>
          <w:rStyle w:val="Bodytext5Tahoma"/>
          <w:rFonts w:ascii="Sylfaen" w:hAnsi="Sylfaen" w:cs="Sylfaen"/>
          <w:sz w:val="24"/>
        </w:rPr>
        <w:t xml:space="preserve">. </w:t>
      </w:r>
      <w:r w:rsidRPr="004D449D">
        <w:rPr>
          <w:rFonts w:ascii="Sylfaen" w:hAnsi="Sylfaen" w:cs="Sylfaen"/>
          <w:sz w:val="24"/>
        </w:rPr>
        <w:t>Стимулирование корпоративного сектора экономик государств-членов к увеличению объемов инвестиций в основной капитал</w:t>
      </w:r>
    </w:p>
    <w:p w14:paraId="270DEC89"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Использование лучших мировых практик и практик государств-членов по реализации структурных преобразований в экономике</w:t>
      </w:r>
    </w:p>
    <w:p w14:paraId="5C37FA2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 помощью мер структурной политики возможны достижение и обеспечение устойчивого роста, снижение влияния внешних шоков на национальные экономики, повышение их экономической безопасности, устранение и предотвращение образования макроэкономических дисбалансов, повышение эффективности экономического управления и макроэкономической политики. Одним из основных условий успешного проведения структурных реформ в государствах - членах Союза является использование лучших мировых практик и практик государств-членов.</w:t>
      </w:r>
    </w:p>
    <w:p w14:paraId="6A85188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рамках этого направления в 2017 г. начато сотрудничество ЕАЭС и ОЭСР, целью которого является дальнейшее развитие Союза путем перенятая стандартов ОЭСР. Перенятие опыта и подходов ОЭСР может помочь произвести переход стран Союза к реализации структурных реформ в области макроэкономики, сфере промышленности, транспорта, сельского хозяйства, проведения политики модернизации и инновационного развития</w:t>
      </w:r>
      <w:r w:rsidR="009E392A">
        <w:rPr>
          <w:rStyle w:val="FootnoteReference"/>
          <w:rFonts w:ascii="Sylfaen" w:hAnsi="Sylfaen" w:cs="Sylfaen"/>
          <w:sz w:val="24"/>
        </w:rPr>
        <w:footnoteReference w:id="14"/>
      </w:r>
      <w:r w:rsidRPr="004D449D">
        <w:rPr>
          <w:rFonts w:ascii="Sylfaen" w:hAnsi="Sylfaen" w:cs="Sylfaen"/>
          <w:sz w:val="24"/>
        </w:rPr>
        <w:t>.</w:t>
      </w:r>
    </w:p>
    <w:p w14:paraId="0F0A521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2017 г. на площадке Комиссии состоялся семинар «Сотрудничество государств - членов ЕАЭС с ОЭСР в контексте развития интеграционной повестки Союза. Возможности использования наилучших практик ОЭСР в работе ЕАЭС». В рамках семинара прошло 9 сессий, посвященных разным направлениям деятельности ОЭСР, входящим в интеграционную повестку ЕАЭС и связанным с </w:t>
      </w:r>
      <w:r w:rsidRPr="004D449D">
        <w:rPr>
          <w:rFonts w:ascii="Sylfaen" w:hAnsi="Sylfaen" w:cs="Sylfaen"/>
          <w:sz w:val="24"/>
        </w:rPr>
        <w:lastRenderedPageBreak/>
        <w:t>вопросами проведения структурных реформ - зеленая экономика, цифровая экономика, государственное управление</w:t>
      </w:r>
      <w:r w:rsidR="009E392A">
        <w:rPr>
          <w:rStyle w:val="FootnoteReference"/>
          <w:rFonts w:ascii="Sylfaen" w:hAnsi="Sylfaen" w:cs="Sylfaen"/>
          <w:sz w:val="24"/>
        </w:rPr>
        <w:footnoteReference w:id="15"/>
      </w:r>
      <w:r w:rsidRPr="004D449D">
        <w:rPr>
          <w:rFonts w:ascii="Sylfaen" w:hAnsi="Sylfaen" w:cs="Sylfaen"/>
          <w:sz w:val="24"/>
        </w:rPr>
        <w:t>. По результатам семинара был подготовлен сборник публикаций, а также Рекомендация Коллегии от 13 декабря 2017 г. № 32 о целесообразности имплементации и использования в рамках ЕАЭС наилучших практик ОЭСР.</w:t>
      </w:r>
    </w:p>
    <w:p w14:paraId="19FB7FBE"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Обеспечение предсказуемости формирования фискальной нагрузки для инвесторов, создание дополнительных налоговых стимулов для приоритетных отраслей и секторов экономики и инвестиционных проектов</w:t>
      </w:r>
    </w:p>
    <w:p w14:paraId="6060518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 целью создания дополнительных налоговых стимулов в экономике законом Республики Армения «О налоговых льготах самозанятых лиц», который вступил в силу с 1 января 2017 г., предоставлены налоговые льготы (освобождение) физическим лицам, в том числе индивидуальным предпринимателям, по ряду видов деятельности</w:t>
      </w:r>
      <w:r w:rsidR="009E392A">
        <w:rPr>
          <w:rStyle w:val="FootnoteReference"/>
          <w:rFonts w:ascii="Sylfaen" w:hAnsi="Sylfaen" w:cs="Sylfaen"/>
          <w:sz w:val="24"/>
        </w:rPr>
        <w:footnoteReference w:id="16"/>
      </w:r>
      <w:r w:rsidRPr="004D449D">
        <w:rPr>
          <w:rFonts w:ascii="Sylfaen" w:hAnsi="Sylfaen" w:cs="Sylfaen"/>
          <w:sz w:val="24"/>
        </w:rPr>
        <w:t>. Также в Республике Армения с 1 января 2018 г. начал действовать новый Налоговый кодекс, которым введены новые налоговые условия, в частности, расширяется перечень операций, подлежащих освобождению от уплаты НДС. В части совершенствования сервисных функций налоговых органов в Республике Армения действуют такие сервисы, как электронная система представления налоговой отчетности, информационный портал индивидуальных счетов, поисковая система налогоплательщиков и другие.</w:t>
      </w:r>
    </w:p>
    <w:p w14:paraId="6A244FA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Декретом №7 от 23 ноября 2017 г. в Беларуси не допускается повышение налоговых ставок и введение новых налогов, сборов (пошлин) до 2020 г., а также предлагается внести в шестимесячный срок проект указа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r w:rsidR="009E392A">
        <w:rPr>
          <w:rStyle w:val="FootnoteReference"/>
          <w:rFonts w:ascii="Sylfaen" w:hAnsi="Sylfaen" w:cs="Sylfaen"/>
          <w:sz w:val="24"/>
        </w:rPr>
        <w:footnoteReference w:id="17"/>
      </w:r>
      <w:r w:rsidRPr="004D449D">
        <w:rPr>
          <w:rFonts w:ascii="Sylfaen" w:hAnsi="Sylfaen" w:cs="Sylfaen"/>
          <w:sz w:val="24"/>
        </w:rPr>
        <w:t>.</w:t>
      </w:r>
    </w:p>
    <w:p w14:paraId="0E11A36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Указом Президента «О налоговом консультировании в Республике Беларусь» от 19 сентября 2017 г. № 338 обеспечивается защита интересов бизнеса в сфере налогообложения, и заложены правовые основы для осуществления деятельности по налоговому консультированию, что освобождает бизнес от необходимости глубоко изучать систему налогообложения, при этом ответственность за правильность уплаты налогов перекладывается на консультантов</w:t>
      </w:r>
      <w:r w:rsidR="009E392A">
        <w:rPr>
          <w:rStyle w:val="FootnoteReference"/>
          <w:rFonts w:ascii="Sylfaen" w:hAnsi="Sylfaen" w:cs="Sylfaen"/>
          <w:sz w:val="24"/>
        </w:rPr>
        <w:footnoteReference w:id="18"/>
      </w:r>
      <w:r w:rsidR="009E392A">
        <w:rPr>
          <w:rStyle w:val="FootnoteReference"/>
          <w:rFonts w:ascii="Sylfaen" w:hAnsi="Sylfaen" w:cs="Sylfaen"/>
          <w:sz w:val="24"/>
        </w:rPr>
        <w:footnoteReference w:id="19"/>
      </w:r>
      <w:r w:rsidRPr="004D449D">
        <w:rPr>
          <w:rFonts w:ascii="Sylfaen" w:hAnsi="Sylfaen" w:cs="Sylfaen"/>
          <w:sz w:val="24"/>
        </w:rPr>
        <w:t>.</w:t>
      </w:r>
    </w:p>
    <w:p w14:paraId="55B73E9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Также в Республике Беларусь на постоянной основе осуществляется введение в действие Международных стандартов финансовой отчетности (далее - МСФО) и их Разъяснений, принимаемых Фондом Международных стандартов финансовой </w:t>
      </w:r>
      <w:r w:rsidRPr="004D449D">
        <w:rPr>
          <w:rFonts w:ascii="Sylfaen" w:hAnsi="Sylfaen" w:cs="Sylfaen"/>
          <w:sz w:val="24"/>
        </w:rPr>
        <w:lastRenderedPageBreak/>
        <w:t>отчетности, а также проводится работа по актуализации введенных в действие МСФО с целью обеспечения возможности составления общественно значимыми организациями финансовой отчетности в соответствии с МСФО для ее представления пользователям данной отчетности. По состоянию на конец марта 2018 г. введено в действие 45 Международных стандартов финансовой отчетности и 28 Разъяснений Международных стандартов финансовой отчетности.</w:t>
      </w:r>
    </w:p>
    <w:p w14:paraId="71E86D2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 1 января 2017 г. в Республике Беларусь начал действовать Налоговый кодекс (далее - НК) с рядом внесенных изменений и дополнений. Одна из статей НК предусматривает, что плательщик вправе получать от налоговых органов бесплатную информацию о действующих налогах, сборах (пошлинах), актах налогового законодательства, а также о правах и обязанностях плательщиков, налоговых органов и их должностных лиц независимо от места постановки плательщика на учет. Также плательщикам предоставлено право получать и направлять в налоговые органы электронные документы, документы и (или) информацию в электронном виде через личный кабинет плательщика. Более того, были увеличены критерии валовой выручки для перехода организаций и индивидуальных предпринимателей на применение упрощенной системы налогообложения и для прекращения ее применения.</w:t>
      </w:r>
    </w:p>
    <w:p w14:paraId="7CB09CF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НК Республики Казахстан и НК Российской Федерации внесены изменения, предоставляющие освобождение в отдельных случаях от индивидуального подоходного налога физических лиц и от налога на доходы физических</w:t>
      </w:r>
      <w:r>
        <w:rPr>
          <w:rFonts w:ascii="Sylfaen" w:hAnsi="Sylfaen" w:cs="Sylfaen"/>
          <w:sz w:val="24"/>
        </w:rPr>
        <w:t xml:space="preserve"> </w:t>
      </w:r>
      <w:r w:rsidRPr="004D449D">
        <w:rPr>
          <w:rFonts w:ascii="Sylfaen" w:hAnsi="Sylfaen" w:cs="Sylfaen"/>
          <w:sz w:val="24"/>
        </w:rPr>
        <w:t>лиц соответственно. Так, в России приняты нормы</w:t>
      </w:r>
    </w:p>
    <w:p w14:paraId="1E830FF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законодательства, направленные на стимулирование участия в независимой оценке квалификации: плата за независимую оценку квалификации работника не облагается налогом на доходы физических лиц.</w:t>
      </w:r>
    </w:p>
    <w:p w14:paraId="25094FC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Республике Казахстан с 1 января 2018 г. вступил в силу новый НК. Нововведения направлены на совершенствование налоговой политики, улучшение налогового администрирования, повышение эффективности государственных услуг в сфере налогообложения. Идеология нового НК направлена на защиту добросовестного налогоплательщика - в случае налоговых споров все неясности и неточности будут толковаться в пользу налогоплательщика. Предусмотрено стимулирование различных сфер экономики, в частности, электронной торговли, аграрной отрасли, недропользования, финансового сектора, льготы по НДС для автопроизводителей и предпринимателей особых экономических зон. Также внедряется упрощение администрирования, повышение осведомленности бизнеса в отношении изменений, вносимых в налоговое законодательство. Предпринимателям предоставлено больше времени для изучения законодательных нововведений. Более того, новым кодексом вводится система трехвекторного администрирования в зависимости от степени риска налогоплательщика и реализуются международные рекомендации против отмывания капитала </w:t>
      </w:r>
      <w:r w:rsidRPr="004D449D">
        <w:rPr>
          <w:rFonts w:ascii="Sylfaen" w:hAnsi="Sylfaen" w:cs="Sylfaen"/>
          <w:sz w:val="24"/>
          <w:lang w:eastAsia="en-US" w:bidi="en-US"/>
        </w:rPr>
        <w:t>(</w:t>
      </w:r>
      <w:r w:rsidRPr="004D449D">
        <w:rPr>
          <w:rFonts w:ascii="Sylfaen" w:hAnsi="Sylfaen" w:cs="Sylfaen"/>
          <w:sz w:val="24"/>
          <w:lang w:val="en-US" w:eastAsia="en-US" w:bidi="en-US"/>
        </w:rPr>
        <w:t>BEPS</w:t>
      </w:r>
      <w:r w:rsidRPr="004D449D">
        <w:rPr>
          <w:rFonts w:ascii="Sylfaen" w:hAnsi="Sylfaen" w:cs="Sylfaen"/>
          <w:sz w:val="24"/>
          <w:lang w:eastAsia="en-US" w:bidi="en-US"/>
        </w:rPr>
        <w:t>)</w:t>
      </w:r>
      <w:r w:rsidR="00A51C4B">
        <w:rPr>
          <w:rStyle w:val="FootnoteReference"/>
          <w:rFonts w:ascii="Sylfaen" w:hAnsi="Sylfaen" w:cs="Sylfaen"/>
          <w:sz w:val="24"/>
          <w:lang w:eastAsia="en-US" w:bidi="en-US"/>
        </w:rPr>
        <w:footnoteReference w:id="20"/>
      </w:r>
      <w:r w:rsidRPr="004D449D">
        <w:rPr>
          <w:rFonts w:ascii="Sylfaen" w:hAnsi="Sylfaen" w:cs="Sylfaen"/>
          <w:sz w:val="24"/>
        </w:rPr>
        <w:t>.</w:t>
      </w:r>
    </w:p>
    <w:p w14:paraId="71464A3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lastRenderedPageBreak/>
        <w:t>Также законом Республики Казахстан «О внесении изменений и дополнений в некоторые законодательные акты Республики Казахстан по вопросам налогообложения» от 25 декабря 2017 г. № 122-VI внесены изменения в Предпринимательский Кодекс и НК Республики Казахстан, которые вступили в силу 1 января 2018 г. В частности, было изменено содержание условий предоставления инвестиционных преференций, включая предоставления инвестиционной субсидии, предоставления инвестиционных преференций по специальному инвестиционному контракту, а также предоставления налоговых преференций.</w:t>
      </w:r>
    </w:p>
    <w:p w14:paraId="309A711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Кыргызстан продолжается внедрение механизма применения контрольно-кассовых машин с функцией передачи данных в режиме онлайн, что дает возможность эффективно контролировать правильность и полноту производимых расчетов и уплату налогов, сокращать уровень теневой экономики и снижать контроль в отношении добросовестных налогоплательщиков</w:t>
      </w:r>
      <w:r w:rsidR="00A51C4B">
        <w:rPr>
          <w:rStyle w:val="FootnoteReference"/>
          <w:rFonts w:ascii="Sylfaen" w:hAnsi="Sylfaen" w:cs="Sylfaen"/>
          <w:sz w:val="24"/>
        </w:rPr>
        <w:footnoteReference w:id="21"/>
      </w:r>
      <w:r w:rsidRPr="004D449D">
        <w:rPr>
          <w:rFonts w:ascii="Sylfaen" w:hAnsi="Sylfaen" w:cs="Sylfaen"/>
          <w:sz w:val="24"/>
        </w:rPr>
        <w:t>. Также законом от 29 июня 2017 г. устанавливается нулевая ставка налога на прибыль предприятий, деятельность которых относится к преференциальным видам промышленного производства и работающим на основе инвестиционного соглашения (за исключением горно- перерабатывающих, горнодобывающих производств и</w:t>
      </w:r>
      <w:r>
        <w:rPr>
          <w:rFonts w:ascii="Sylfaen" w:hAnsi="Sylfaen" w:cs="Sylfaen"/>
          <w:sz w:val="24"/>
        </w:rPr>
        <w:t xml:space="preserve"> </w:t>
      </w:r>
      <w:r w:rsidRPr="004D449D">
        <w:rPr>
          <w:rFonts w:ascii="Sylfaen" w:hAnsi="Sylfaen" w:cs="Sylfaen"/>
          <w:sz w:val="24"/>
        </w:rPr>
        <w:t>предприятий, выпускающих подакцизные товары), на срок 5 лет с возможностью продления до 10 лет. Также для них предусмотрено освобождение от налога на имущество и возможность освобождения от земельного налога</w:t>
      </w:r>
      <w:r w:rsidR="00A51C4B">
        <w:rPr>
          <w:rStyle w:val="FootnoteReference"/>
          <w:rFonts w:ascii="Sylfaen" w:hAnsi="Sylfaen" w:cs="Sylfaen"/>
          <w:sz w:val="24"/>
        </w:rPr>
        <w:footnoteReference w:id="22"/>
      </w:r>
      <w:r w:rsidRPr="004D449D">
        <w:rPr>
          <w:rFonts w:ascii="Sylfaen" w:hAnsi="Sylfaen" w:cs="Sylfaen"/>
          <w:sz w:val="24"/>
        </w:rPr>
        <w:t>.</w:t>
      </w:r>
    </w:p>
    <w:p w14:paraId="2FF1F12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стимулирования создания частных</w:t>
      </w:r>
      <w:r>
        <w:rPr>
          <w:rFonts w:ascii="Sylfaen" w:hAnsi="Sylfaen" w:cs="Sylfaen"/>
          <w:sz w:val="24"/>
        </w:rPr>
        <w:t xml:space="preserve"> </w:t>
      </w:r>
      <w:r w:rsidRPr="004D449D">
        <w:rPr>
          <w:rFonts w:ascii="Sylfaen" w:hAnsi="Sylfaen" w:cs="Sylfaen"/>
          <w:sz w:val="24"/>
        </w:rPr>
        <w:t>организаций, предоставляющих общеобразовательные услуги, был принят закон об их освобождении от уплаты налога на прибыль и НДС.</w:t>
      </w:r>
    </w:p>
    <w:p w14:paraId="6FBD1E8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в соответствии с Законом Кыргызской Республики от 20 апреля 2017 г. № 27 предусмотрено изменение рассмотрения апелляций, сроков патента и заявлений. Так, патент может быть приобретен на любое количество календарных следующих подряд дней. В случае приобретения патента на 90 календарных дней сумма налога снижается на 5%, на 180 календарных дней - на 10%.</w:t>
      </w:r>
    </w:p>
    <w:p w14:paraId="454A596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России в 2017 г. был принят ряд проектов стратегий развития различных отраслей экономики, в которых одной из основных финансовых мер поддержки развития отраслей является разработка налоговых стимулов. В частности, такие стратегии разрабатываются для авиационной промышленности, в которой планируется ввести ряд налоговых льгот на имущество и транспортировку и установить нулевую ставку НДС для зарегистрированных воздушных судов, а также налоговое стимулирование научной и инновационной деятельности в авиационной промышленности. В автомобильной промышленности планируется предоставление налоговых вычетов за экспортные поставки. Одним из приоритетных направлений развития легкой промышленности также является развитие национальных брендов при помощи создания системы налоговых стимулов и преференций. Для содействия </w:t>
      </w:r>
      <w:r w:rsidRPr="004D449D">
        <w:rPr>
          <w:rFonts w:ascii="Sylfaen" w:hAnsi="Sylfaen" w:cs="Sylfaen"/>
          <w:sz w:val="24"/>
        </w:rPr>
        <w:lastRenderedPageBreak/>
        <w:t>научно-технологическому развитию был утвержден план мероприятий по реализации Стратегии научно-технологического развития России на 2017-2019 гг., согласно которому одной из мер является налоговое стимулирование и упрощение налогового и таможенного администрирования, направленные на научные и инновационные организации.</w:t>
      </w:r>
    </w:p>
    <w:p w14:paraId="505464D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поддержки развития перерабатывающего производства в рамках стратегии развития лесного комплекса России разрабатываются механизмы налогового стимулирования лесопромышленных кластеров, а также установление нулевой ставки налога на прибыль для индивидуальных предпринимателей, осуществляющих сбор и первичную обработку вторичных ресурсов. Для поддержки такой сравнительно молодой отрасли промышленности, как обработка и утилизация отходов потребления и производства, государство также разработало стратегию развития, устанавливающей меры стимулирования предприятий путем освобождения и снижения ставок ряда налогов.</w:t>
      </w:r>
    </w:p>
    <w:p w14:paraId="50AE3EB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с 1 июля 2017 г. от НДС освобождена реализация ряда медицинских изделий, а также введена 10%-я ставка НДС по медицинским изделиям, не подпадающим под освобождение.</w:t>
      </w:r>
    </w:p>
    <w:p w14:paraId="47A8B07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Помимо этого, 27 ноября 2017 г. был принят закон для продления периода, по истечении которого налогоплательщики, включённые в реестр участников территорий опережающего социально-экономического развития или свободного порта Владивосток и не получившие прибыль, вправе воспользоваться налоговыми льготами по налогу на прибыль организаций</w:t>
      </w:r>
      <w:r w:rsidR="00A51C4B">
        <w:rPr>
          <w:rStyle w:val="FootnoteReference"/>
          <w:rFonts w:ascii="Sylfaen" w:hAnsi="Sylfaen" w:cs="Sylfaen"/>
          <w:sz w:val="24"/>
        </w:rPr>
        <w:footnoteReference w:id="23"/>
      </w:r>
      <w:r w:rsidRPr="004D449D">
        <w:rPr>
          <w:rFonts w:ascii="Sylfaen" w:hAnsi="Sylfaen" w:cs="Sylfaen"/>
          <w:sz w:val="24"/>
        </w:rPr>
        <w:t>.</w:t>
      </w:r>
    </w:p>
    <w:p w14:paraId="2D85E79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оперативного и своевременного информирования хозяйствующих субъектов об изменениях налогового законодательства на сайтах налоговых ведомств государств - членов ЕАЭС предусмотрено обсуждение законопроектов. Кроме того, новости законодательства освещаются также через специализированные информационно-издательские центры. ЕЭК проводится мониторинг изменений налогового законодательства государств - членов ЕАЭС с последующим рассмотрением актуальных вопросов в рамках Консультативного комитета по налоговой политике и администрированию.</w:t>
      </w:r>
    </w:p>
    <w:p w14:paraId="0511A3EF"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Упрощение административных процедур и снижение административных барьеров для инвесторов в целях повышения инвестиционной привлекательности и улучшения позиций государств-членов в международных рейтингах</w:t>
      </w:r>
    </w:p>
    <w:p w14:paraId="10CABDC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2017 г. в Республике Беларусь был принят пакет нормативных правовых актов об упрощении условий ведения бизнеса. Декретом Президента Республики Беларусь от 23 ноября 2017 г. № 7 «О развитии предпринимательства» введен уведомительный порядок осуществления наиболее распространенных видов экономической деятельности предпринимателю достаточно уведомить местные органы об открытии дела, при этом владелец сам гарантирует соблюдение всех необходимых требований. Документ также направлен на систематизацию и </w:t>
      </w:r>
      <w:r w:rsidRPr="004D449D">
        <w:rPr>
          <w:rFonts w:ascii="Sylfaen" w:hAnsi="Sylfaen" w:cs="Sylfaen"/>
          <w:sz w:val="24"/>
        </w:rPr>
        <w:lastRenderedPageBreak/>
        <w:t>минимизацию перечня требований пожарной безопасности, санитарных и других правил, обязательных к соблюдению. Декретом также значительно сокращаются административные барьеры, различные процедуры, связанные с получением справок, разрешительной документации и согласованием</w:t>
      </w:r>
      <w:r w:rsidR="00A51C4B">
        <w:rPr>
          <w:rStyle w:val="FootnoteReference"/>
          <w:rFonts w:ascii="Sylfaen" w:hAnsi="Sylfaen" w:cs="Sylfaen"/>
          <w:sz w:val="24"/>
        </w:rPr>
        <w:footnoteReference w:id="24"/>
      </w:r>
      <w:r w:rsidRPr="004D449D">
        <w:rPr>
          <w:rFonts w:ascii="Sylfaen" w:hAnsi="Sylfaen" w:cs="Sylfaen"/>
          <w:sz w:val="24"/>
        </w:rPr>
        <w:t>.</w:t>
      </w:r>
    </w:p>
    <w:p w14:paraId="4CDF266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Указом Президента Республики Беларусь «О мерах по совершенствованию контрольной (надзорной) деятельности» от 16 октября 2017 г. № 376 предусматривается смещение акцента в деятельности контролеров на профилактическую работу и значительное сокращение количества проверок - отмена плановых проверок и осуществление внеплановых только по определенным основаниям. При этом усиливается ответственность бизнеса за соблюдение требований</w:t>
      </w:r>
      <w:r w:rsidR="00A51C4B">
        <w:rPr>
          <w:rStyle w:val="FootnoteReference"/>
          <w:rFonts w:ascii="Sylfaen" w:hAnsi="Sylfaen" w:cs="Sylfaen"/>
          <w:sz w:val="24"/>
        </w:rPr>
        <w:footnoteReference w:id="25"/>
      </w:r>
      <w:r w:rsidRPr="004D449D">
        <w:rPr>
          <w:rFonts w:ascii="Sylfaen" w:hAnsi="Sylfaen" w:cs="Sylfaen"/>
          <w:sz w:val="24"/>
        </w:rPr>
        <w:t xml:space="preserve"> .</w:t>
      </w:r>
    </w:p>
    <w:p w14:paraId="27D01BB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Казахстане в 2017 г. при поддержке Всемирного банка была разработана и принята Национальная инвестиционная стратегия на 2018- 2022 гг., предусматривающая ряд системных мер по поддержке новых и действующих инвесторов. Стратегии нацелена на привлечение иностранных инвесторов к участию в Программе приватизации Казахстана. В ее рамках будут приватизированы более 700 активов из секторов нефти и газа, транспорта и логистики, производства промышленных товаров, телекоммуникаций и электроэнергии</w:t>
      </w:r>
      <w:r w:rsidR="00A51C4B">
        <w:rPr>
          <w:rStyle w:val="FootnoteReference"/>
          <w:rFonts w:ascii="Sylfaen" w:hAnsi="Sylfaen" w:cs="Sylfaen"/>
          <w:sz w:val="24"/>
        </w:rPr>
        <w:footnoteReference w:id="26"/>
      </w:r>
      <w:r w:rsidRPr="004D449D">
        <w:rPr>
          <w:rFonts w:ascii="Sylfaen" w:hAnsi="Sylfaen" w:cs="Sylfaen"/>
          <w:sz w:val="24"/>
        </w:rPr>
        <w:t>.</w:t>
      </w:r>
    </w:p>
    <w:p w14:paraId="75C462C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России Распоряжением Правительства от 31 января 2017 г. № 147-р были утверждены целевые модели упрощения процедур ведения бизнеса и повышения инвестиционной привлекательности субъектов Российской Федерации</w:t>
      </w:r>
      <w:r w:rsidR="00A51C4B">
        <w:rPr>
          <w:rStyle w:val="FootnoteReference"/>
          <w:rFonts w:ascii="Sylfaen" w:hAnsi="Sylfaen" w:cs="Sylfaen"/>
          <w:sz w:val="24"/>
        </w:rPr>
        <w:footnoteReference w:id="27"/>
      </w:r>
      <w:r w:rsidRPr="004D449D">
        <w:rPr>
          <w:rFonts w:ascii="Sylfaen" w:hAnsi="Sylfaen" w:cs="Sylfaen"/>
          <w:sz w:val="24"/>
        </w:rPr>
        <w:t>. Целевая модель - комплекс факторов обеспечения благоприятного инвестиционного климата по 12 направлениям (регистрация прав собственности, кадастровый учёт, поддержка МСП, подключение к энергосетям и др.), для каждого из которых определено целевое значение и показатели оценки его достижения</w:t>
      </w:r>
      <w:r w:rsidR="00A51C4B">
        <w:rPr>
          <w:rStyle w:val="FootnoteReference"/>
          <w:rFonts w:ascii="Sylfaen" w:hAnsi="Sylfaen" w:cs="Sylfaen"/>
          <w:sz w:val="24"/>
        </w:rPr>
        <w:footnoteReference w:id="28"/>
      </w:r>
      <w:r w:rsidRPr="004D449D">
        <w:rPr>
          <w:rFonts w:ascii="Sylfaen" w:hAnsi="Sylfaen" w:cs="Sylfaen"/>
          <w:sz w:val="24"/>
        </w:rPr>
        <w:t>.</w:t>
      </w:r>
    </w:p>
    <w:p w14:paraId="0A0EF6B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апреле 2017 г. вступило в силу Решение Высшего Евразийского экономического совета от 26 декабря 2016 г. № 24, утверждающее Правила регулирования торговли услугами, учреждения и деятельности (далее - Правила), которые содержат набор наилучших международных и национальных практик регулирования бизнеса, подлежащих имплементации в национальное законодательство государств-членов.</w:t>
      </w:r>
    </w:p>
    <w:p w14:paraId="7B1C873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Правила разработаны с целью дать государствам-членам ориентир для определения избыточности внутреннего регулирования и определить сквозные, </w:t>
      </w:r>
      <w:r w:rsidRPr="004D449D">
        <w:rPr>
          <w:rFonts w:ascii="Sylfaen" w:hAnsi="Sylfaen" w:cs="Sylfaen"/>
          <w:sz w:val="24"/>
        </w:rPr>
        <w:lastRenderedPageBreak/>
        <w:t>единые для всех секторов экономики правила организации регуляторной системы. Правила охватывают три самые главные стадии процесса государственного регулирования бизнеса, характерные для любого сектора услуг или вида деятельности - возложение на них обязательных требований,</w:t>
      </w:r>
      <w:r w:rsidRPr="00220108">
        <w:rPr>
          <w:rFonts w:ascii="Sylfaen" w:hAnsi="Sylfaen" w:cs="Sylfaen"/>
          <w:sz w:val="24"/>
        </w:rPr>
        <w:t xml:space="preserve"> </w:t>
      </w:r>
      <w:r w:rsidRPr="004D449D">
        <w:rPr>
          <w:rFonts w:ascii="Sylfaen" w:hAnsi="Sylfaen" w:cs="Sylfaen"/>
          <w:sz w:val="24"/>
        </w:rPr>
        <w:t>получение разрешений (либо направление уведомлений) и контрольно- надзорные процедуры.</w:t>
      </w:r>
    </w:p>
    <w:p w14:paraId="107BA7D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Наилучшей практикой для процесса возложения обязательных требований является внедрение в этот процесс оценки регулирующего воздействия. Эта процедура достаточно хорошо проработана в законодательстве отдельных государств-членов. Кроме того, в Правилах предусмотрены нормы оценки последствий фактического воздействия нормативных правовых актов на адресатов регулирования. Такая оценка проводится для установления достижения заявленных целей регулирования и принятия нормативного правового акта, а также в случае выявления избыточных, неэффективных регулятивных требований и (или) процедур для их последующего упрощения и (или) упразднения (опыт Республики Армения).</w:t>
      </w:r>
    </w:p>
    <w:p w14:paraId="72E3985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 учетом опыта Казахстана, наилучшая практика организации разрешительной системы должна включать установление на законодательном уровне закрытого единого перечня разрешений, а также запрета на выдачу и истребование каких-либо иных разрешений, за исключением поименованных в этом перечне. Наконец, все более широкое распространение в мире получает практика постепенного отказа от разрешительных процедур в пользу уведомлений.</w:t>
      </w:r>
    </w:p>
    <w:p w14:paraId="2057E6E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Оптимальная организация контрольно-надзорной деятельности на современном этапе невозможна без создания системы оценки рисков и последующей концентрации инспекционной</w:t>
      </w:r>
      <w:r>
        <w:rPr>
          <w:rFonts w:ascii="Sylfaen" w:hAnsi="Sylfaen" w:cs="Sylfaen"/>
          <w:sz w:val="24"/>
        </w:rPr>
        <w:t xml:space="preserve"> </w:t>
      </w:r>
      <w:r w:rsidRPr="004D449D">
        <w:rPr>
          <w:rFonts w:ascii="Sylfaen" w:hAnsi="Sylfaen" w:cs="Sylfaen"/>
          <w:sz w:val="24"/>
        </w:rPr>
        <w:t>работы на</w:t>
      </w:r>
      <w:r>
        <w:rPr>
          <w:rFonts w:ascii="Sylfaen" w:hAnsi="Sylfaen" w:cs="Sylfaen"/>
          <w:sz w:val="24"/>
        </w:rPr>
        <w:t xml:space="preserve"> </w:t>
      </w:r>
      <w:r w:rsidRPr="004D449D">
        <w:rPr>
          <w:rFonts w:ascii="Sylfaen" w:hAnsi="Sylfaen" w:cs="Sylfaen"/>
          <w:sz w:val="24"/>
        </w:rPr>
        <w:t>наиболее высокорисковых субъектах рынка. Поэтому, используя наработанный опыт Республики Казахстан и Российской Федерации, Правила предлагают создать соответствующую систему во всех государствах-членах в максимально возможном количестве уполномоченных государственных органов.</w:t>
      </w:r>
    </w:p>
    <w:p w14:paraId="6742B0E4"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Развитые конкурентной среды и конкурентных рынков в государствах- членах</w:t>
      </w:r>
    </w:p>
    <w:p w14:paraId="04890DC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Беларусь с целью</w:t>
      </w:r>
      <w:r>
        <w:rPr>
          <w:rFonts w:ascii="Sylfaen" w:hAnsi="Sylfaen" w:cs="Sylfaen"/>
          <w:sz w:val="24"/>
        </w:rPr>
        <w:t xml:space="preserve"> </w:t>
      </w:r>
      <w:r w:rsidRPr="004D449D">
        <w:rPr>
          <w:rFonts w:ascii="Sylfaen" w:hAnsi="Sylfaen" w:cs="Sylfaen"/>
          <w:sz w:val="24"/>
        </w:rPr>
        <w:t>формирования единой правоприменительной практики при проведении анализа и оценки состояния конкуренции на товарных рынках Министерством антимонопольного регулирования и торговли Республики Беларусь на основании Закона Республики Беларусь от 12 декабря 2013 г. «О противодействии монополистической деятельности и развитии конкуренции» 13 февраля 2017 г. разработаны и утверждены приказом Министра №</w:t>
      </w:r>
      <w:r>
        <w:rPr>
          <w:rFonts w:ascii="Sylfaen" w:hAnsi="Sylfaen" w:cs="Sylfaen"/>
          <w:sz w:val="24"/>
        </w:rPr>
        <w:t xml:space="preserve"> </w:t>
      </w:r>
      <w:r w:rsidRPr="004D449D">
        <w:rPr>
          <w:rFonts w:ascii="Sylfaen" w:hAnsi="Sylfaen" w:cs="Sylfaen"/>
          <w:sz w:val="24"/>
        </w:rPr>
        <w:t>19 Методические рекомендации о проведении анализа и оценки состояния конкуренции на товарных рынках Республики Беларусь</w:t>
      </w:r>
      <w:r w:rsidR="00A51C4B">
        <w:rPr>
          <w:rStyle w:val="FootnoteReference"/>
          <w:rFonts w:ascii="Sylfaen" w:hAnsi="Sylfaen" w:cs="Sylfaen"/>
          <w:sz w:val="24"/>
        </w:rPr>
        <w:footnoteReference w:id="29"/>
      </w:r>
      <w:r w:rsidRPr="004D449D">
        <w:rPr>
          <w:rFonts w:ascii="Sylfaen" w:hAnsi="Sylfaen" w:cs="Sylfaen"/>
          <w:sz w:val="24"/>
        </w:rPr>
        <w:t>.</w:t>
      </w:r>
    </w:p>
    <w:p w14:paraId="18E20A7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Республике Казахстан с 1 января 2017 г. был осуществлен переход на рыночное ценообразование в регулируемых секторах экономики (выведение регулируемых рынков из-под государственного ценового регулирования) с внедрением инструментов антимонопольного регулирования - пресечением </w:t>
      </w:r>
      <w:r w:rsidRPr="004D449D">
        <w:rPr>
          <w:rFonts w:ascii="Sylfaen" w:hAnsi="Sylfaen" w:cs="Sylfaen"/>
          <w:sz w:val="24"/>
        </w:rPr>
        <w:lastRenderedPageBreak/>
        <w:t>нарушений, связанных со злоупотреблением доминирующим положением, в</w:t>
      </w:r>
      <w:r w:rsidR="00220108" w:rsidRPr="00220108">
        <w:rPr>
          <w:rFonts w:ascii="Sylfaen" w:hAnsi="Sylfaen" w:cs="Sylfaen"/>
          <w:sz w:val="24"/>
        </w:rPr>
        <w:t xml:space="preserve"> </w:t>
      </w:r>
      <w:r w:rsidRPr="004D449D">
        <w:rPr>
          <w:rFonts w:ascii="Sylfaen" w:hAnsi="Sylfaen" w:cs="Sylfaen"/>
          <w:sz w:val="24"/>
        </w:rPr>
        <w:t>том числе в виде установления монопольно высоких и монопольно низких цен, ужесточением борьбы с картелями, пресечение вертикальных соглашений.</w:t>
      </w:r>
    </w:p>
    <w:p w14:paraId="32B8778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в целях выявления норм, препятствующих конкуренции, в настоящее время проведена ревизия 70 законодательных и 690 подзаконных актов. По выявленным в ходе ревизии законодательства нормам инициированы поправки в рамках проекта Закона РК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r w:rsidR="00A51C4B">
        <w:rPr>
          <w:rStyle w:val="FootnoteReference"/>
          <w:rFonts w:ascii="Sylfaen" w:hAnsi="Sylfaen" w:cs="Sylfaen"/>
          <w:sz w:val="24"/>
        </w:rPr>
        <w:footnoteReference w:id="30"/>
      </w:r>
      <w:r w:rsidRPr="004D449D">
        <w:rPr>
          <w:rFonts w:ascii="Sylfaen" w:hAnsi="Sylfaen" w:cs="Sylfaen"/>
          <w:sz w:val="24"/>
        </w:rPr>
        <w:t>.</w:t>
      </w:r>
    </w:p>
    <w:p w14:paraId="69CD8ED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комитетом по регулированию естественных монополий, защите конкуренции и прав потребителей Министерством национальной экономики Казахстана во исполнение Общенационального плана по реализации Послания Главы государства народу Казахстана от 31 января 2017 г. «Третья модернизация Казахстана: глобальная конкурентоспособность», совместно с заинтересованными государственными органами, Национальной палатой предпринимателей Республики Казахстан «Атамекен», а также АО «Институт экономических исследований», прорабатывается комплекс мер по фронтальному снижению всех видов издержек для бизнеса, в том числе по стоимости услуг в энергетике, транспорте, логистике и ЖКХ</w:t>
      </w:r>
      <w:r w:rsidR="00A51C4B">
        <w:rPr>
          <w:rStyle w:val="FootnoteReference"/>
          <w:rFonts w:ascii="Sylfaen" w:hAnsi="Sylfaen" w:cs="Sylfaen"/>
          <w:sz w:val="24"/>
        </w:rPr>
        <w:footnoteReference w:id="31"/>
      </w:r>
      <w:r w:rsidRPr="004D449D">
        <w:rPr>
          <w:rFonts w:ascii="Sylfaen" w:hAnsi="Sylfaen" w:cs="Sylfaen"/>
          <w:sz w:val="24"/>
        </w:rPr>
        <w:t>. В 2017 г. проведен анализ текущей ситуации по издержкам бизнеса и международной практики снижения издержек, который позволил определить виды издержек, подлежащие изучению, а также выбрать методы оценки и расчета этих издержек.</w:t>
      </w:r>
    </w:p>
    <w:p w14:paraId="0DEEAFE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Кыргызской Республике с февраля 2017 г. вступило в силу обновленное конкурентное законодательство, гармонизированное с договорно-правовой базой ЕАЭС. Основные изменения коснулись так называемых «разрешенных монополий». В настоящее время данное понятие исключено, реестр субъектов разрешенных монополий утратил силу. Сформирован и утвержден Г осударственный</w:t>
      </w:r>
      <w:r>
        <w:rPr>
          <w:rFonts w:ascii="Sylfaen" w:hAnsi="Sylfaen" w:cs="Sylfaen"/>
          <w:sz w:val="24"/>
        </w:rPr>
        <w:t xml:space="preserve"> </w:t>
      </w:r>
      <w:r w:rsidRPr="004D449D">
        <w:rPr>
          <w:rFonts w:ascii="Sylfaen" w:hAnsi="Sylfaen" w:cs="Sylfaen"/>
          <w:sz w:val="24"/>
        </w:rPr>
        <w:t>реестр хозяйствующих субъектов, занимающих доминирующее положение на товарных рынках Кыргызской Республики. В отношении этих субъектов уже не применяется прямое государственное регулирование, как было ранее, а за их деятельностью ведется постоянное экономико-статистическое наблюдение. Вмешательство субъектов-доминантов со стороны антимонопольного органа будет возможно только в случаях нарушения ими антимонопольного законодательства, то есть неконкурентного поведения на рынке.</w:t>
      </w:r>
    </w:p>
    <w:p w14:paraId="18DF98F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России в целях укрепления национальной экономики, дальнейшего развития конкуренции и недопущения монополистической деятельности принят Указ Президента РФ от 21 декабря 2017 г. № 618 «Об основных направлениях государственной политики по развитию конкуренции», которым утвержден Национальный План развития конкуренции в Российской Федерации на 2018-2020 </w:t>
      </w:r>
      <w:r w:rsidRPr="004D449D">
        <w:rPr>
          <w:rFonts w:ascii="Sylfaen" w:hAnsi="Sylfaen" w:cs="Sylfaen"/>
          <w:sz w:val="24"/>
        </w:rPr>
        <w:lastRenderedPageBreak/>
        <w:t>гг. и Перечень отраслей экономики и ожидаемых результатов развития конкуренции</w:t>
      </w:r>
      <w:r w:rsidR="00A51C4B">
        <w:rPr>
          <w:rStyle w:val="FootnoteReference"/>
          <w:rFonts w:ascii="Sylfaen" w:hAnsi="Sylfaen" w:cs="Sylfaen"/>
          <w:sz w:val="24"/>
        </w:rPr>
        <w:footnoteReference w:id="32"/>
      </w:r>
      <w:r w:rsidRPr="004D449D">
        <w:rPr>
          <w:rFonts w:ascii="Sylfaen" w:hAnsi="Sylfaen" w:cs="Sylfaen"/>
          <w:sz w:val="24"/>
        </w:rPr>
        <w:t>.</w:t>
      </w:r>
    </w:p>
    <w:p w14:paraId="54FC50B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Мероприятия настоящего Национального плана будут направлены на достижение следующих ключевых показателей: обеспечение во всех отраслях российской экономики,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 снижение количества нарушений антимонопольного законодательства со стороны органов государственной власти и органов местного самоуправления к 2020 г. не менее чем в 2 раза по сравнению с 2017 г.; увеличение к 2020 г.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2 раза по сравнению с 2017 г.,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к 2020 г.</w:t>
      </w:r>
    </w:p>
    <w:p w14:paraId="6EB04DA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в России были приняты План мероприятий («дорожная карта») «Развитие конкуренции на рынке финансовых услуг», утвержденный приказом</w:t>
      </w:r>
      <w:r w:rsidR="00220108" w:rsidRPr="00220108">
        <w:rPr>
          <w:rFonts w:ascii="Sylfaen" w:hAnsi="Sylfaen" w:cs="Sylfaen"/>
          <w:sz w:val="24"/>
        </w:rPr>
        <w:t xml:space="preserve"> </w:t>
      </w:r>
      <w:r w:rsidRPr="004D449D">
        <w:rPr>
          <w:rFonts w:ascii="Sylfaen" w:hAnsi="Sylfaen" w:cs="Sylfaen"/>
          <w:sz w:val="24"/>
        </w:rPr>
        <w:t>ФАС России от 10 мая 2017 г. № 612/17</w:t>
      </w:r>
      <w:r w:rsidR="00A51C4B">
        <w:rPr>
          <w:rStyle w:val="FootnoteReference"/>
          <w:rFonts w:ascii="Sylfaen" w:hAnsi="Sylfaen" w:cs="Sylfaen"/>
          <w:sz w:val="24"/>
        </w:rPr>
        <w:footnoteReference w:id="33"/>
      </w:r>
      <w:r w:rsidRPr="004D449D">
        <w:rPr>
          <w:rFonts w:ascii="Sylfaen" w:hAnsi="Sylfaen" w:cs="Sylfaen"/>
          <w:sz w:val="24"/>
        </w:rPr>
        <w:t>, и План мероприятий («дорожная карта») «Развитие конкуренции в здравоохранении», утвержденный Распоряжением Правительства РФ 12 января 2018 г. №9-Р</w:t>
      </w:r>
      <w:r w:rsidRPr="004D449D">
        <w:rPr>
          <w:rFonts w:ascii="Sylfaen" w:hAnsi="Sylfaen" w:cs="Sylfaen"/>
          <w:sz w:val="24"/>
          <w:vertAlign w:val="superscript"/>
        </w:rPr>
        <w:t>34</w:t>
      </w:r>
      <w:r w:rsidR="00A51C4B">
        <w:rPr>
          <w:rStyle w:val="FootnoteReference"/>
          <w:rFonts w:ascii="Sylfaen" w:hAnsi="Sylfaen" w:cs="Sylfaen"/>
          <w:sz w:val="24"/>
        </w:rPr>
        <w:footnoteReference w:id="34"/>
      </w:r>
      <w:r w:rsidRPr="004D449D">
        <w:rPr>
          <w:rFonts w:ascii="Sylfaen" w:hAnsi="Sylfaen" w:cs="Sylfaen"/>
          <w:sz w:val="24"/>
        </w:rPr>
        <w:t>.</w:t>
      </w:r>
    </w:p>
    <w:p w14:paraId="7CA0A23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течение 2017 г. Комиссией совместно с государствами-членами проводилась подготовка предложений и их обсуждение по внесению изменений в Договор о ЕАЭС в части совершенствования положений Договора по вопросам государственных закупок, а также конкуренции и антимонопольного регулирования.</w:t>
      </w:r>
    </w:p>
    <w:p w14:paraId="397CE79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дальнейшего развития права Союза и формирования собственной правовой базы Комиссией совместно с антимонопольными органами государств-членов проводилась работа по подготовке предложений по внесению изменений в Порядок рассмотрения заявлений (материалов) о нарушении общих правил конкуренции на трансграничных рынках, Порядок проведения расследования нарушений общих правил конкуренции на трансграничных рынках и Порядок рассмотрения дел о нарушении общих правил конкуренции на трансграничных рынках.</w:t>
      </w:r>
    </w:p>
    <w:p w14:paraId="07CD2ED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был подготовлен проект Порядка проведения оценки воздействия специальной защитной, антидемпинговой или компенсационной меры на конкуренцию на соответствующем товарном рынке Союза, рассмотрение которого планируется Коллегией Комиссии в 2018 г.</w:t>
      </w:r>
    </w:p>
    <w:p w14:paraId="658B0E0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Также был подготовлен проект решения Коллегии Комиссии «О внесении </w:t>
      </w:r>
      <w:r w:rsidRPr="004D449D">
        <w:rPr>
          <w:rFonts w:ascii="Sylfaen" w:hAnsi="Sylfaen" w:cs="Sylfaen"/>
          <w:sz w:val="24"/>
        </w:rPr>
        <w:lastRenderedPageBreak/>
        <w:t>изменений в Порядок подачи в Комиссию обращений государств-членов ЕАЭС по фактам введения государственного ценового регулирования и их</w:t>
      </w:r>
      <w:r w:rsidR="00220108" w:rsidRPr="00220108">
        <w:rPr>
          <w:rFonts w:ascii="Sylfaen" w:hAnsi="Sylfaen" w:cs="Sylfaen"/>
          <w:sz w:val="24"/>
        </w:rPr>
        <w:t xml:space="preserve"> </w:t>
      </w:r>
      <w:r w:rsidRPr="004D449D">
        <w:rPr>
          <w:rFonts w:ascii="Sylfaen" w:hAnsi="Sylfaen" w:cs="Sylfaen"/>
          <w:sz w:val="24"/>
        </w:rPr>
        <w:t>рассмотрения Комиссией», рассмотрение которого Коллегией Комиссии также планируется в 2018 г.</w:t>
      </w:r>
    </w:p>
    <w:p w14:paraId="22A507A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течение 2017 г. Комиссией было рассмотрено 13 заявлений (материалов) по признакам нарушений общих правил конкуренции на трансграничных рынках. По 5 заявлениям назначено расследование (с учетом 2 переходящих с 2016</w:t>
      </w:r>
      <w:r>
        <w:rPr>
          <w:rFonts w:ascii="Sylfaen" w:hAnsi="Sylfaen" w:cs="Sylfaen"/>
          <w:sz w:val="24"/>
        </w:rPr>
        <w:t xml:space="preserve"> </w:t>
      </w:r>
      <w:r w:rsidRPr="004D449D">
        <w:rPr>
          <w:rFonts w:ascii="Sylfaen" w:hAnsi="Sylfaen" w:cs="Sylfaen"/>
          <w:sz w:val="24"/>
        </w:rPr>
        <w:t>г.). Всего начата процедура расследования на</w:t>
      </w:r>
      <w:r w:rsidR="00220108" w:rsidRPr="00220108">
        <w:rPr>
          <w:rFonts w:ascii="Sylfaen" w:hAnsi="Sylfaen" w:cs="Sylfaen"/>
          <w:sz w:val="24"/>
        </w:rPr>
        <w:t xml:space="preserve"> </w:t>
      </w:r>
      <w:r w:rsidRPr="004D449D">
        <w:rPr>
          <w:rFonts w:ascii="Sylfaen" w:hAnsi="Sylfaen" w:cs="Sylfaen"/>
          <w:sz w:val="24"/>
        </w:rPr>
        <w:t>9 трансграничных рынках.</w:t>
      </w:r>
    </w:p>
    <w:p w14:paraId="3023F3A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продолжена работа по проведению сравнительного анализа внесения изменений и дополнений в законодательство о естественных монополиях по согласованию с уполномоченными органами государств - членов ЕАЭС. 20 декабря 2017 г. Совет Евразийской экономический комиссии утвердил План мероприятий («дорожную карту») по определению последовательности осуществления мер по гармонизации законодательства государств - членов ЕАЭС в сфере естественных монополий, который был разработан в рамках экспертных совещаний. В результате его реализации будут созданы условия для сближения применяемых инструментов и методов регулирования в сферах естественных монополий, повышения прозрачности и упрощения условий доступа к услугам субъектов естественных монополий, а также для определения проблемных точек в интеграционных процессах, происходящих в сфере естественных монополий.</w:t>
      </w:r>
    </w:p>
    <w:p w14:paraId="6E4720E9"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Активизация применения механизмов государственно-частного партнерства и расширения возможностей для доступа частного капитала к реализации инвестиционных проектов</w:t>
      </w:r>
    </w:p>
    <w:p w14:paraId="39C68348" w14:textId="77777777" w:rsidR="008C226D" w:rsidRPr="00220108"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Что касается развития государственно-частного партнерства (далее - ГЧП), в Республике Армения в настоящее время нет конкретного закона, регулирующего эту сферу, однако ведется работа по разработке законодательных и институциональных основ регулирования ГЧП. В январе 2017 г. был учрежден Центр стратегических инициатив для ускорения процессов ГЧП, привлечения прямых иностранных инвестиций и развития взаимодействия между инвесторами и профильными министрами. Экспертами Европейского банка реконструкции и развития (ЕБРР) в сотрудничестве с Центром стратегических инициатив Армении был разработан проект документа «Политика государственно-частного партнерства Республики Армения». Проект документа обсуждался на совещании в Правительстве Республики Армения в августе 2017 г., на котором принято решение о направлениях его доработки. Принятие закона позволит создать правовую основу для привлечения инвестиций на основе ГЧП в экономику. В ноябре 2017 г. Правительство Армении в ходе заседания одобрило документ, и было поручено разработать и представить вытекающий из документа проект закона</w:t>
      </w:r>
      <w:r w:rsidR="00A51C4B">
        <w:rPr>
          <w:rStyle w:val="FootnoteReference"/>
          <w:rFonts w:ascii="Sylfaen" w:hAnsi="Sylfaen" w:cs="Sylfaen"/>
          <w:sz w:val="24"/>
        </w:rPr>
        <w:footnoteReference w:id="35"/>
      </w:r>
      <w:r w:rsidR="00220108" w:rsidRPr="00220108">
        <w:rPr>
          <w:rFonts w:ascii="Sylfaen" w:hAnsi="Sylfaen" w:cs="Sylfaen"/>
          <w:sz w:val="24"/>
        </w:rPr>
        <w:t>.</w:t>
      </w:r>
    </w:p>
    <w:p w14:paraId="0FA725B8" w14:textId="77777777" w:rsidR="008C226D" w:rsidRPr="00220108"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lastRenderedPageBreak/>
        <w:t>В 2017 г. в Беларуси Межведомственным инфраструктурным координационным советом,</w:t>
      </w:r>
      <w:r>
        <w:rPr>
          <w:rFonts w:ascii="Sylfaen" w:hAnsi="Sylfaen" w:cs="Sylfaen"/>
          <w:sz w:val="24"/>
        </w:rPr>
        <w:t xml:space="preserve"> </w:t>
      </w:r>
      <w:r w:rsidRPr="004D449D">
        <w:rPr>
          <w:rFonts w:ascii="Sylfaen" w:hAnsi="Sylfaen" w:cs="Sylfaen"/>
          <w:sz w:val="24"/>
        </w:rPr>
        <w:t>созданным в целях формирования институциональной основы ГЧП в 2014 г., была принята Национальная инфраструктурная стратегия 2017-2030, направленная на развитие инфраструктуры при сокращении бюджетных расходов, в том числе, с помощью задействования механизма ГЧП. В рамках реализации топ-100 проектов Правительством было принято 7 пилотных проектов ГЧП в различных областях (транспорт, здравоохранение, энергетика, образование), которые реализуются в настоящее время</w:t>
      </w:r>
      <w:r w:rsidR="00A51C4B">
        <w:rPr>
          <w:rStyle w:val="FootnoteReference"/>
          <w:rFonts w:ascii="Sylfaen" w:hAnsi="Sylfaen" w:cs="Sylfaen"/>
          <w:sz w:val="24"/>
        </w:rPr>
        <w:footnoteReference w:id="36"/>
      </w:r>
      <w:r w:rsidRPr="004D449D">
        <w:rPr>
          <w:rFonts w:ascii="Sylfaen" w:hAnsi="Sylfaen" w:cs="Sylfaen"/>
          <w:sz w:val="24"/>
        </w:rPr>
        <w:t>.</w:t>
      </w:r>
    </w:p>
    <w:p w14:paraId="1A5EBF0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Казахстан в 2017 г. был внесен законопроект по дальнейшему совершенствованию и упрощению механизмов ГЧП. Во-первых, законопроект предусматривает оптимизацию процедур, путем исключения 2 этапов из 5, что позволит сократить сроки согласования и экспертизы проектов ГЧП с 7 до 3 месяцев. Во-вторых, им внедряется программное ГЧП, подразумевающее установление особых процедур планирования однородных ГЧП, что также позволит сократить сроки рассмотрения проектов. Первые пилотные проекты по данному направлению решено осуществлять в двух отраслях - образовании и здравоохранении. В-третьих, внедряется предоставление гарантии потребления на 3 и более лет, что позволит инвесторам планировать долгосрочное капиталовложение. В законопроекте предусмотрена также обязательная плата при расторжении договоров ГЧП.</w:t>
      </w:r>
    </w:p>
    <w:p w14:paraId="3FD3A92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этого, в ноябре 2017 г. в Казахстане была запущена Единая база ГЧП для инвесторов, которая дает возможность распространять опыт успешно реализованных проектов по всей республике. Был решен вопрос регистрации договоров ГЧП, что положительно влияет на привлечение заемного финансирования</w:t>
      </w:r>
      <w:r w:rsidR="00A51C4B">
        <w:rPr>
          <w:rStyle w:val="FootnoteReference"/>
          <w:rFonts w:ascii="Sylfaen" w:hAnsi="Sylfaen" w:cs="Sylfaen"/>
          <w:sz w:val="24"/>
        </w:rPr>
        <w:footnoteReference w:id="37"/>
      </w:r>
      <w:r w:rsidRPr="004D449D">
        <w:rPr>
          <w:rFonts w:ascii="Sylfaen" w:hAnsi="Sylfaen" w:cs="Sylfaen"/>
          <w:sz w:val="24"/>
        </w:rPr>
        <w:t>. В целом идет работа по внесению ряда поправок по ГЧП в Бюджетный кодекс, Закон о ГЧП и Закон о концессиях</w:t>
      </w:r>
      <w:r w:rsidR="00A51C4B">
        <w:rPr>
          <w:rStyle w:val="FootnoteReference"/>
          <w:rFonts w:ascii="Sylfaen" w:hAnsi="Sylfaen" w:cs="Sylfaen"/>
          <w:sz w:val="24"/>
        </w:rPr>
        <w:footnoteReference w:id="38"/>
      </w:r>
      <w:r w:rsidRPr="004D449D">
        <w:rPr>
          <w:rFonts w:ascii="Sylfaen" w:hAnsi="Sylfaen" w:cs="Sylfaen"/>
          <w:sz w:val="24"/>
        </w:rPr>
        <w:t>.</w:t>
      </w:r>
    </w:p>
    <w:p w14:paraId="360CA0F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Киргизии в 2017 г. продолжалась работа по реализации Программы развития государственно-частного партнерства в Кыргызской Республике на 2016-2021 гг. В рамках данной программы происходит совершенствование государственного управления и потенциала Правительства в сфере ГЧП. В частности, на первом этапе, который реализуется сейчас, происходит создание и усиление кадрового потенциала, разрабатываются отраслевые и региональные долгосрочные инвестиционные программы. Другие направления работы включают укрепление доверия и повышение информированности по вопросам ГЧП, развитие финансовых инструментов ГЧП, в том числе, создание гарантийного фонда и совершенствование бюджетного законодательства</w:t>
      </w:r>
      <w:r w:rsidR="00A51C4B">
        <w:rPr>
          <w:rStyle w:val="FootnoteReference"/>
          <w:rFonts w:ascii="Sylfaen" w:hAnsi="Sylfaen" w:cs="Sylfaen"/>
          <w:sz w:val="24"/>
        </w:rPr>
        <w:footnoteReference w:id="39"/>
      </w:r>
      <w:r w:rsidRPr="004D449D">
        <w:rPr>
          <w:rFonts w:ascii="Sylfaen" w:hAnsi="Sylfaen" w:cs="Sylfaen"/>
          <w:sz w:val="24"/>
        </w:rPr>
        <w:t xml:space="preserve">. Сейчас в рамках ГЧП в Киргизии готовится к реализации 13 проектов в области здравоохранения, транспорта и городской </w:t>
      </w:r>
      <w:r w:rsidRPr="004D449D">
        <w:rPr>
          <w:rFonts w:ascii="Sylfaen" w:hAnsi="Sylfaen" w:cs="Sylfaen"/>
          <w:sz w:val="24"/>
        </w:rPr>
        <w:lastRenderedPageBreak/>
        <w:t>инфраструктуры, для чего был</w:t>
      </w:r>
      <w:r w:rsidR="00220108" w:rsidRPr="00220108">
        <w:rPr>
          <w:rFonts w:ascii="Sylfaen" w:hAnsi="Sylfaen" w:cs="Sylfaen"/>
          <w:sz w:val="24"/>
        </w:rPr>
        <w:t xml:space="preserve"> </w:t>
      </w:r>
      <w:r w:rsidRPr="004D449D">
        <w:rPr>
          <w:rFonts w:ascii="Sylfaen" w:hAnsi="Sylfaen" w:cs="Sylfaen"/>
          <w:sz w:val="24"/>
        </w:rPr>
        <w:t>создан специальный фонд, из которого выделены средства на разработку 8</w:t>
      </w:r>
      <w:r w:rsidR="00220108" w:rsidRPr="00220108">
        <w:rPr>
          <w:rFonts w:ascii="Sylfaen" w:hAnsi="Sylfaen" w:cs="Sylfaen"/>
          <w:sz w:val="24"/>
        </w:rPr>
        <w:t xml:space="preserve"> </w:t>
      </w:r>
      <w:r w:rsidRPr="004D449D">
        <w:rPr>
          <w:rFonts w:ascii="Sylfaen" w:hAnsi="Sylfaen" w:cs="Sylfaen"/>
          <w:sz w:val="24"/>
        </w:rPr>
        <w:t>проектов</w:t>
      </w:r>
      <w:r w:rsidR="00A51C4B">
        <w:rPr>
          <w:rStyle w:val="FootnoteReference"/>
          <w:rFonts w:ascii="Sylfaen" w:hAnsi="Sylfaen" w:cs="Sylfaen"/>
          <w:sz w:val="24"/>
        </w:rPr>
        <w:footnoteReference w:id="40"/>
      </w:r>
      <w:r w:rsidRPr="004D449D">
        <w:rPr>
          <w:rFonts w:ascii="Sylfaen" w:hAnsi="Sylfaen" w:cs="Sylfaen"/>
          <w:sz w:val="24"/>
        </w:rPr>
        <w:t xml:space="preserve"> .</w:t>
      </w:r>
    </w:p>
    <w:p w14:paraId="1D89251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России в 2017 г. наблюдалось значительное развитие институциональной среды в сфере ГЧП в субъектах РФ (выросло с 23 до 49 количество институтов развития), нормативно-правовой базы (в 81 субъекте РФ реализованы мероприятия по устранению региональных норм, противоречащих федеральному законодательству в сфере ГЧП) и др. В итоге объем частных инвестиций по проектам вырос в 2 раза с 640,3 млрд, рублей в 2016 г. до 1336 млрд, рублей в 2017 г.</w:t>
      </w:r>
      <w:r w:rsidR="00A51C4B">
        <w:rPr>
          <w:rStyle w:val="FootnoteReference"/>
          <w:rFonts w:ascii="Sylfaen" w:hAnsi="Sylfaen" w:cs="Sylfaen"/>
          <w:sz w:val="24"/>
        </w:rPr>
        <w:footnoteReference w:id="41"/>
      </w:r>
    </w:p>
    <w:p w14:paraId="31609DA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дальнейшего развития ГЧП была запущена годовая программа поддержки проектных инициатив, направленная на отбор и содействие в запуске перспективных проектов ГЧП по всей России. Программа нацелена на создание акселератора проектов ГЧП российских регионов на площадке единой информационной системы для отбора лучших проектов и их воплощения, привлечения финансирования и повышения уровня компетенции региональных проектных команд</w:t>
      </w:r>
      <w:r w:rsidR="00A51C4B">
        <w:rPr>
          <w:rStyle w:val="FootnoteReference"/>
          <w:rFonts w:ascii="Sylfaen" w:hAnsi="Sylfaen" w:cs="Sylfaen"/>
          <w:sz w:val="24"/>
        </w:rPr>
        <w:footnoteReference w:id="42"/>
      </w:r>
      <w:r w:rsidRPr="004D449D">
        <w:rPr>
          <w:rFonts w:ascii="Sylfaen" w:hAnsi="Sylfaen" w:cs="Sylfaen"/>
          <w:sz w:val="24"/>
        </w:rPr>
        <w:t>. В 2017 г. Национальный центр ГЧП начал подготовку Национального доклада о привлечении частных инвестиций в развитие инфраструктуры и применении механизмов ГЧП в России, анализирующего состояние сферы ГЧП, её проблемы, содержащего прогнозы, устанавливающего приоритеты и мероприятия по развития ГЧП. Доклад будет завершен в 2018 г., а в 2017 г. осуществлялся 1 этап - сбор и обобщение информации с привлечением представителей государственной власти и участников рынка ГЧП</w:t>
      </w:r>
      <w:r w:rsidR="00A51C4B">
        <w:rPr>
          <w:rStyle w:val="FootnoteReference"/>
          <w:rFonts w:ascii="Sylfaen" w:hAnsi="Sylfaen" w:cs="Sylfaen"/>
          <w:sz w:val="24"/>
        </w:rPr>
        <w:footnoteReference w:id="43"/>
      </w:r>
      <w:r w:rsidRPr="004D449D">
        <w:rPr>
          <w:rFonts w:ascii="Sylfaen" w:hAnsi="Sylfaen" w:cs="Sylfaen"/>
          <w:sz w:val="24"/>
        </w:rPr>
        <w:t>.</w:t>
      </w:r>
    </w:p>
    <w:p w14:paraId="628CCF4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Продолжается работа по внесению изменений в Гражданский кодекс в части ГЧП, а также Центром активно прорабатываются проблемные места концессионного законодательства, экспертами Центра предлагаются меры его совершенствования</w:t>
      </w:r>
      <w:r w:rsidR="00A51C4B">
        <w:rPr>
          <w:rStyle w:val="FootnoteReference"/>
          <w:rFonts w:ascii="Sylfaen" w:hAnsi="Sylfaen" w:cs="Sylfaen"/>
          <w:sz w:val="24"/>
        </w:rPr>
        <w:footnoteReference w:id="44"/>
      </w:r>
      <w:r w:rsidRPr="004D449D">
        <w:rPr>
          <w:rFonts w:ascii="Sylfaen" w:hAnsi="Sylfaen" w:cs="Sylfaen"/>
          <w:sz w:val="24"/>
        </w:rPr>
        <w:t>.</w:t>
      </w:r>
    </w:p>
    <w:p w14:paraId="4EF8DF2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марте 2017 г. Комиссией были представлены результаты мониторинга мер государств-членов, направленных на совершенствование законодательства государств-членов в сфере применения механизмов ГЧП, которые освещены в брошюре «Государственно-частное партнерство в странах Евразийского экономического союза. Практическое руководство для инвесторов». Данное практическое руководство разработано для представителей инфраструктурных компаний, финансирующих организаций, а также других заинтересованных сторон, рассматривающих возможность участия в запуске и реализации проектов ГЧП на территории ЕАЭС. Руководство описывает лучшие имеющиеся национальные практики реализации проектов ГЧП в ЕАЭС. В отношении каждого из государств-членов дается краткая характеристика законодательства в сфере ГЧП, а также описание возможных форм реализации проектов и специфики их применения. Кроме этого, описываются возможные</w:t>
      </w:r>
      <w:r w:rsidR="00220108" w:rsidRPr="00220108">
        <w:rPr>
          <w:rFonts w:ascii="Sylfaen" w:hAnsi="Sylfaen" w:cs="Sylfaen"/>
          <w:sz w:val="24"/>
        </w:rPr>
        <w:t xml:space="preserve"> </w:t>
      </w:r>
      <w:r w:rsidRPr="004D449D">
        <w:rPr>
          <w:rFonts w:ascii="Sylfaen" w:hAnsi="Sylfaen" w:cs="Sylfaen"/>
          <w:sz w:val="24"/>
        </w:rPr>
        <w:t xml:space="preserve">гарантии и преференции инвесторов в </w:t>
      </w:r>
      <w:r w:rsidRPr="004D449D">
        <w:rPr>
          <w:rFonts w:ascii="Sylfaen" w:hAnsi="Sylfaen" w:cs="Sylfaen"/>
          <w:sz w:val="24"/>
        </w:rPr>
        <w:lastRenderedPageBreak/>
        <w:t>проектах ГЧП, процедуры их инициирования, разработки и рассмотрения, в том числе особенности применения механизма «частной инициативы», если такой механизм предусмотрен национальным законодательством</w:t>
      </w:r>
      <w:r w:rsidR="00A51C4B">
        <w:rPr>
          <w:rStyle w:val="FootnoteReference"/>
          <w:rFonts w:ascii="Sylfaen" w:hAnsi="Sylfaen" w:cs="Sylfaen"/>
          <w:sz w:val="24"/>
        </w:rPr>
        <w:footnoteReference w:id="45"/>
      </w:r>
      <w:r w:rsidRPr="004D449D">
        <w:rPr>
          <w:rFonts w:ascii="Sylfaen" w:hAnsi="Sylfaen" w:cs="Sylfaen"/>
          <w:sz w:val="24"/>
        </w:rPr>
        <w:t>.</w:t>
      </w:r>
    </w:p>
    <w:p w14:paraId="3C96183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Комиссией проведены два заседания экспертной группы (28 марта в г. Москве и 7 июня в г. Минске), на которых обсуждались вопросы развития и совершенствования механизмов ГЧП в рамках ЕАЭС. Представители уполномоченных органов и организаций государств - членов Союза представили национальные проекты, реализуемые в формате ГЧП, а также обменялись опытом реализации таких проектов.</w:t>
      </w:r>
    </w:p>
    <w:p w14:paraId="652BB42B"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Использование механизмов гарантирования инвестиций, создающих дополнительные гарантии возврата влоэ/сенных средств и покрытия рысков инвестора</w:t>
      </w:r>
    </w:p>
    <w:p w14:paraId="58ABCCA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Беларусь действует государственная программа поддержки малого и среднего предпринимательства на 2016-2020 гг.</w:t>
      </w:r>
      <w:r w:rsidR="00A51C4B">
        <w:rPr>
          <w:rStyle w:val="FootnoteReference"/>
          <w:rFonts w:ascii="Sylfaen" w:hAnsi="Sylfaen" w:cs="Sylfaen"/>
          <w:sz w:val="24"/>
        </w:rPr>
        <w:footnoteReference w:id="46"/>
      </w:r>
      <w:r w:rsidRPr="004D449D">
        <w:rPr>
          <w:rFonts w:ascii="Sylfaen" w:hAnsi="Sylfaen" w:cs="Sylfaen"/>
          <w:sz w:val="24"/>
        </w:rPr>
        <w:t xml:space="preserve"> Одним из направлений программы является предоставление гарантий по льготным кредитам субъектам малого предпринимательства, реализующим инвестиционные и бизнес-проекты, в целях строительства, приобретения капитальных строений (зданий, сооружений), изолированных помещений, их ремонта и реконструкции, приобретения оборудования, транспортных средств, специальных устройств и приспособлений, закупки комплектующих изделий, сырья и материалов для собственного производства и оказания услуг</w:t>
      </w:r>
      <w:r w:rsidR="00A51C4B">
        <w:rPr>
          <w:rStyle w:val="FootnoteReference"/>
          <w:rFonts w:ascii="Sylfaen" w:hAnsi="Sylfaen" w:cs="Sylfaen"/>
          <w:sz w:val="24"/>
        </w:rPr>
        <w:footnoteReference w:id="47"/>
      </w:r>
      <w:r w:rsidRPr="004D449D">
        <w:rPr>
          <w:rFonts w:ascii="Sylfaen" w:hAnsi="Sylfaen" w:cs="Sylfaen"/>
          <w:sz w:val="24"/>
        </w:rPr>
        <w:t>. Размер гарантии одному субъекту малого предпринимательства (включая индивидуальных предпринимателей, микро- и малые организации) не может превышать 70% от суммы льготного кредита, а плата за предоставление</w:t>
      </w:r>
      <w:r w:rsidR="00220108" w:rsidRPr="00220108">
        <w:rPr>
          <w:rFonts w:ascii="Sylfaen" w:hAnsi="Sylfaen" w:cs="Sylfaen"/>
          <w:sz w:val="24"/>
        </w:rPr>
        <w:t xml:space="preserve"> </w:t>
      </w:r>
      <w:r w:rsidRPr="004D449D">
        <w:rPr>
          <w:rFonts w:ascii="Sylfaen" w:hAnsi="Sylfaen" w:cs="Sylfaen"/>
          <w:sz w:val="24"/>
        </w:rPr>
        <w:t>гарантии составляет 5% от суммы предоставленной гарантии</w:t>
      </w:r>
      <w:r w:rsidR="00A51C4B">
        <w:rPr>
          <w:rStyle w:val="FootnoteReference"/>
          <w:rFonts w:ascii="Sylfaen" w:hAnsi="Sylfaen" w:cs="Sylfaen"/>
          <w:sz w:val="24"/>
        </w:rPr>
        <w:footnoteReference w:id="48"/>
      </w:r>
      <w:r w:rsidRPr="004D449D">
        <w:rPr>
          <w:rFonts w:ascii="Sylfaen" w:hAnsi="Sylfaen" w:cs="Sylfaen"/>
          <w:sz w:val="24"/>
        </w:rPr>
        <w:t>.</w:t>
      </w:r>
    </w:p>
    <w:p w14:paraId="51D8211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Казахстан в рамках Единой программы поддержки и развития бизнеса «Дорожная карта бизнеса-2020»</w:t>
      </w:r>
      <w:r w:rsidR="00A51C4B">
        <w:rPr>
          <w:rStyle w:val="FootnoteReference"/>
          <w:rFonts w:ascii="Sylfaen" w:hAnsi="Sylfaen" w:cs="Sylfaen"/>
          <w:sz w:val="24"/>
        </w:rPr>
        <w:footnoteReference w:id="49"/>
      </w:r>
      <w:r w:rsidRPr="004D449D">
        <w:rPr>
          <w:rFonts w:ascii="Sylfaen" w:hAnsi="Sylfaen" w:cs="Sylfaen"/>
          <w:sz w:val="24"/>
        </w:rPr>
        <w:t xml:space="preserve"> продолжается развитие направления гарантирование кредитов малому и среднему бизнесу. На февраль 2018 г. в рамках реализации данной программы в Казахстане было одобрено 3 833 заявки по гарантированию на общую сумму кредитного портфеля 138 млрд, тенге и на общую сумму гарантий 57,8 млрд, тенге. За 2017 г. было подписано 1064 договора на предоставление госгарантий, по сравнению с 866 в 2016 г.</w:t>
      </w:r>
      <w:r w:rsidR="00A51C4B">
        <w:rPr>
          <w:rStyle w:val="FootnoteReference"/>
          <w:rFonts w:ascii="Sylfaen" w:hAnsi="Sylfaen" w:cs="Sylfaen"/>
          <w:sz w:val="24"/>
        </w:rPr>
        <w:footnoteReference w:id="50"/>
      </w:r>
      <w:r w:rsidRPr="004D449D">
        <w:rPr>
          <w:rFonts w:ascii="Sylfaen" w:hAnsi="Sylfaen" w:cs="Sylfaen"/>
          <w:sz w:val="24"/>
        </w:rPr>
        <w:t xml:space="preserve"> Общая сумма гарантий в 2017 г. составила около 14,9 млрд, тенге, что на 4,1 млрд, тенге больше, чем в 2016 г., при этом доля общей суммы кредита, обеспеченной госгарантиями, сократилась с 44,17% до 40%. Наибольший объем кредитования и гарантирования получают </w:t>
      </w:r>
      <w:r w:rsidRPr="004D449D">
        <w:rPr>
          <w:rFonts w:ascii="Sylfaen" w:hAnsi="Sylfaen" w:cs="Sylfaen"/>
          <w:sz w:val="24"/>
        </w:rPr>
        <w:lastRenderedPageBreak/>
        <w:t>обрабатывающая промышленность -</w:t>
      </w:r>
      <w:r w:rsidR="00220108" w:rsidRPr="00220108">
        <w:rPr>
          <w:rFonts w:ascii="Sylfaen" w:hAnsi="Sylfaen" w:cs="Sylfaen"/>
          <w:sz w:val="24"/>
        </w:rPr>
        <w:t xml:space="preserve"> </w:t>
      </w:r>
      <w:r w:rsidRPr="004D449D">
        <w:rPr>
          <w:rFonts w:ascii="Sylfaen" w:hAnsi="Sylfaen" w:cs="Sylfaen"/>
          <w:sz w:val="24"/>
          <w:lang w:eastAsia="en-US" w:bidi="en-US"/>
        </w:rPr>
        <w:t xml:space="preserve">39% </w:t>
      </w:r>
      <w:r w:rsidRPr="004D449D">
        <w:rPr>
          <w:rFonts w:ascii="Sylfaen" w:hAnsi="Sylfaen" w:cs="Sylfaen"/>
          <w:sz w:val="24"/>
        </w:rPr>
        <w:t>от общей суммы гарантирования, транспорт и складирование - 14%, сельское хозяйство - 9%, и медицинские услуги - 9%</w:t>
      </w:r>
      <w:r w:rsidR="00A51C4B">
        <w:rPr>
          <w:rStyle w:val="FootnoteReference"/>
          <w:rFonts w:ascii="Sylfaen" w:hAnsi="Sylfaen" w:cs="Sylfaen"/>
          <w:sz w:val="24"/>
        </w:rPr>
        <w:footnoteReference w:id="51"/>
      </w:r>
      <w:r w:rsidR="00A51C4B">
        <w:rPr>
          <w:rStyle w:val="FootnoteReference"/>
          <w:rFonts w:ascii="Sylfaen" w:hAnsi="Sylfaen" w:cs="Sylfaen"/>
          <w:sz w:val="24"/>
        </w:rPr>
        <w:footnoteReference w:id="52"/>
      </w:r>
      <w:r w:rsidRPr="004D449D">
        <w:rPr>
          <w:rFonts w:ascii="Sylfaen" w:hAnsi="Sylfaen" w:cs="Sylfaen"/>
          <w:sz w:val="24"/>
        </w:rPr>
        <w:t>.</w:t>
      </w:r>
    </w:p>
    <w:p w14:paraId="6B7ABFE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Казахстан также начала действовать Программа развития продуктивной занятости и массового предпринимательства на 2017-2021 гг., в рамках которой приняты Правила гарантирования по микрокредитам, выдаваемым микрофинансовыми организациями для инвестиционных целей и</w:t>
      </w:r>
      <w:r w:rsidR="00220108" w:rsidRPr="00220108">
        <w:rPr>
          <w:rFonts w:ascii="Sylfaen" w:hAnsi="Sylfaen" w:cs="Sylfaen"/>
          <w:sz w:val="24"/>
        </w:rPr>
        <w:t xml:space="preserve"> </w:t>
      </w:r>
      <w:r w:rsidRPr="004D449D">
        <w:rPr>
          <w:rFonts w:ascii="Sylfaen" w:hAnsi="Sylfaen" w:cs="Sylfaen"/>
          <w:sz w:val="24"/>
        </w:rPr>
        <w:t>целей пополнения оборотных средств</w:t>
      </w:r>
      <w:r w:rsidR="00A51C4B">
        <w:rPr>
          <w:rStyle w:val="FootnoteReference"/>
          <w:rFonts w:ascii="Sylfaen" w:hAnsi="Sylfaen" w:cs="Sylfaen"/>
          <w:sz w:val="24"/>
        </w:rPr>
        <w:footnoteReference w:id="53"/>
      </w:r>
      <w:r w:rsidRPr="004D449D">
        <w:rPr>
          <w:rFonts w:ascii="Sylfaen" w:hAnsi="Sylfaen" w:cs="Sylfaen"/>
          <w:sz w:val="24"/>
        </w:rPr>
        <w:t xml:space="preserve"> . Данная программа подразумевает предоставление гарантий в размере до 85% от суммы кредита для начинающих предпринимателей и до 50% - для действующих. На 17 ноября 2017 г. было заключено 47 договоров гарантии на общую сумму гарантий 298,1 млн. тенге</w:t>
      </w:r>
      <w:r w:rsidR="00A51C4B">
        <w:rPr>
          <w:rStyle w:val="FootnoteReference"/>
          <w:rFonts w:ascii="Sylfaen" w:hAnsi="Sylfaen" w:cs="Sylfaen"/>
          <w:sz w:val="24"/>
        </w:rPr>
        <w:footnoteReference w:id="54"/>
      </w:r>
      <w:r w:rsidRPr="004D449D">
        <w:rPr>
          <w:rFonts w:ascii="Sylfaen" w:hAnsi="Sylfaen" w:cs="Sylfaen"/>
          <w:sz w:val="24"/>
        </w:rPr>
        <w:t>.</w:t>
      </w:r>
    </w:p>
    <w:p w14:paraId="5F2007F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Кыргызской Республике в 2016 г. был создан ОАО «Гарантийный фонд», основной целью деятельности которого является обеспечение доступа субъектов малого и среднего предпринимательства к кредитным и иным финансовым ресурсам</w:t>
      </w:r>
      <w:r w:rsidR="00A51C4B">
        <w:rPr>
          <w:rStyle w:val="FootnoteReference"/>
          <w:rFonts w:ascii="Sylfaen" w:hAnsi="Sylfaen" w:cs="Sylfaen"/>
          <w:sz w:val="24"/>
        </w:rPr>
        <w:footnoteReference w:id="55"/>
      </w:r>
      <w:r w:rsidRPr="004D449D">
        <w:rPr>
          <w:rFonts w:ascii="Sylfaen" w:hAnsi="Sylfaen" w:cs="Sylfaen"/>
          <w:sz w:val="24"/>
        </w:rPr>
        <w:t>. На капитализацию фонда, помимо выделенных из республиканского бюджета в размере 72,0 млн. сомов, из Азиатского банка развития привлечены средства в размере 3,0 млн. долл. США в рамках реализации Подпрограммы 2 Второй Программы улучшения инвестиционного климата</w:t>
      </w:r>
      <w:r w:rsidR="00A51C4B">
        <w:rPr>
          <w:rStyle w:val="FootnoteReference"/>
          <w:rFonts w:ascii="Sylfaen" w:hAnsi="Sylfaen" w:cs="Sylfaen"/>
          <w:sz w:val="24"/>
        </w:rPr>
        <w:footnoteReference w:id="56"/>
      </w:r>
      <w:r w:rsidRPr="004D449D">
        <w:rPr>
          <w:rFonts w:ascii="Sylfaen" w:hAnsi="Sylfaen" w:cs="Sylfaen"/>
          <w:sz w:val="24"/>
        </w:rPr>
        <w:t xml:space="preserve">. В 2017 г. фондом было утверждено 233 гарантии на сумму 246 млн. сом. Основная доля гарантий пришлась на инвестиции в инфраструктуру торговли (32%), обрабатывающую промышленность (20%) и сельское хозяйство (19%), а по типам бизнеса </w:t>
      </w:r>
      <w:r w:rsidRPr="004D449D">
        <w:rPr>
          <w:rStyle w:val="Bodytext22"/>
          <w:rFonts w:ascii="Sylfaen" w:hAnsi="Sylfaen" w:cs="Sylfaen"/>
          <w:sz w:val="24"/>
        </w:rPr>
        <w:t xml:space="preserve">- </w:t>
      </w:r>
      <w:r w:rsidRPr="004D449D">
        <w:rPr>
          <w:rFonts w:ascii="Sylfaen" w:hAnsi="Sylfaen" w:cs="Sylfaen"/>
          <w:sz w:val="24"/>
        </w:rPr>
        <w:t>на микробизнес (37%), средний (26%) и малый бизнес (19%)</w:t>
      </w:r>
      <w:r w:rsidR="00A51C4B">
        <w:rPr>
          <w:rStyle w:val="FootnoteReference"/>
          <w:rFonts w:ascii="Sylfaen" w:hAnsi="Sylfaen" w:cs="Sylfaen"/>
          <w:sz w:val="24"/>
        </w:rPr>
        <w:footnoteReference w:id="57"/>
      </w:r>
      <w:r w:rsidRPr="004D449D">
        <w:rPr>
          <w:rFonts w:ascii="Sylfaen" w:hAnsi="Sylfaen" w:cs="Sylfaen"/>
          <w:sz w:val="24"/>
        </w:rPr>
        <w:t>.</w:t>
      </w:r>
    </w:p>
    <w:p w14:paraId="6ADF221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Согласно Основным направлениям государственной долговой политики Российской Федерации на 2017-2019 гг., принятым Министерством финансов РФ, общий объем государственных гарантий, предусмотренных к выдаче в 2017 г., составил 190,1 млрд, рублей, что на 87% меньше по сравнению с 2016 г. В последующие 2 года объемы государственной гарантийной поддержки продолжат сокращаться, а суммы госгарантий в иностранной валюте в течение 3-летнего периода, в среднем, сохранятся на уровне 83 млрд, рублей в год. При этом объемы гарантийной поддержки инвестиционных проектов на данный период так же будут значительно сокращены (в среднем на 43% по сравнению с 2016 г.). Планируется провести отраслевую и региональную приоритезацию господдержки, ориентированную на поддержку предприятий, столкнувшихся с последствиями экономического кризиса, и значимых инвестиционных проектов, а также проектов </w:t>
      </w:r>
      <w:r w:rsidRPr="004D449D">
        <w:rPr>
          <w:rFonts w:ascii="Sylfaen" w:hAnsi="Sylfaen" w:cs="Sylfaen"/>
          <w:sz w:val="24"/>
        </w:rPr>
        <w:lastRenderedPageBreak/>
        <w:t>по экспорту российской высокотехнологичной продукции. Что касается государственной гарантийной поддержки экспорта</w:t>
      </w:r>
      <w:r w:rsidR="00220108" w:rsidRPr="00220108">
        <w:rPr>
          <w:rFonts w:ascii="Sylfaen" w:hAnsi="Sylfaen" w:cs="Sylfaen"/>
          <w:sz w:val="24"/>
        </w:rPr>
        <w:t xml:space="preserve"> </w:t>
      </w:r>
      <w:r w:rsidRPr="004D449D">
        <w:rPr>
          <w:rFonts w:ascii="Sylfaen" w:hAnsi="Sylfaen" w:cs="Sylfaen"/>
          <w:sz w:val="24"/>
        </w:rPr>
        <w:t>промышленной продукции, то в 2017-2018 гг. она остается на уровне 2016 г. (29,9% от общего объема в 2017 г.).</w:t>
      </w:r>
    </w:p>
    <w:p w14:paraId="0D2BBA8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При этом в 2017-2019 гг. ежегодные объемы бюджетных ассигнований на исполнение госгарантий в рублях вырастут в среднем на 122%, а в иностранной валюте сократятся на 47%. В целом вследствие роста государственного долга по условным обязательствам федерального бюджета в Российской Федерации осуществляется переход к более консервативной политике в данной области, а основные силы направлены на устранение недостатков текущей практики предоставления государственных гарантий, в том числе, поставлен вопрос о введении платности за получение госгарантий с целью повышения ответственности банков-кредиторов за выдаваемые кредиты.</w:t>
      </w:r>
    </w:p>
    <w:p w14:paraId="619E9AF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в июне 2017 г. в России Госдума приняла в первом чтении проект федерального закона №</w:t>
      </w:r>
      <w:r>
        <w:rPr>
          <w:rFonts w:ascii="Sylfaen" w:hAnsi="Sylfaen" w:cs="Sylfaen"/>
          <w:sz w:val="24"/>
        </w:rPr>
        <w:t xml:space="preserve"> </w:t>
      </w:r>
      <w:r w:rsidRPr="004D449D">
        <w:rPr>
          <w:rFonts w:ascii="Sylfaen" w:hAnsi="Sylfaen" w:cs="Sylfaen"/>
          <w:sz w:val="24"/>
        </w:rPr>
        <w:t>76910-7 «О страховании инвестиций физических лиц на индивидуальных инвестиционных счетах». Документ</w:t>
      </w:r>
      <w:r w:rsidR="00A51C4B">
        <w:rPr>
          <w:rFonts w:ascii="Sylfaen" w:hAnsi="Sylfaen" w:cs="Sylfaen"/>
          <w:sz w:val="24"/>
          <w:lang w:val="en-US"/>
        </w:rPr>
        <w:t xml:space="preserve"> </w:t>
      </w:r>
      <w:r w:rsidRPr="004D449D">
        <w:rPr>
          <w:rFonts w:ascii="Sylfaen" w:hAnsi="Sylfaen" w:cs="Sylfaen"/>
          <w:sz w:val="24"/>
        </w:rPr>
        <w:t>предполагает создание компенсационного фонда для страхования инвестиций</w:t>
      </w:r>
      <w:r w:rsidR="00A51C4B">
        <w:rPr>
          <w:rStyle w:val="FootnoteReference"/>
          <w:rFonts w:ascii="Sylfaen" w:hAnsi="Sylfaen" w:cs="Sylfaen"/>
          <w:sz w:val="24"/>
        </w:rPr>
        <w:footnoteReference w:id="58"/>
      </w:r>
      <w:r w:rsidRPr="004D449D">
        <w:rPr>
          <w:rFonts w:ascii="Sylfaen" w:hAnsi="Sylfaen" w:cs="Sylfaen"/>
          <w:sz w:val="24"/>
        </w:rPr>
        <w:t xml:space="preserve"> .</w:t>
      </w:r>
    </w:p>
    <w:p w14:paraId="1CAACC3F"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Расширение набора применяемых инструментов, позволяющих привлекать долгосрочное финансирование</w:t>
      </w:r>
    </w:p>
    <w:p w14:paraId="5F6A454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Армения в 2017 г. Агентством международной информации «Новости-Армения» и Центральным банком Республики Армения был разработан совместный проект «Финансовая грамотность», в рамках которого на сайте агентства открыта рубрика, где в доступной форме можно будет получить определенные навыки в области финансовой грамотности. Цель проекта - научить население страны грамотно пользоваться услугами участников финансового рынка, оперативно управлять своими финансами с помощью инновационных технологий, бережно относиться к своим деньгам и правильно хранить сбережения</w:t>
      </w:r>
      <w:r w:rsidR="00A51C4B">
        <w:rPr>
          <w:rStyle w:val="FootnoteReference"/>
          <w:rFonts w:ascii="Sylfaen" w:hAnsi="Sylfaen" w:cs="Sylfaen"/>
          <w:sz w:val="24"/>
        </w:rPr>
        <w:footnoteReference w:id="59"/>
      </w:r>
      <w:r w:rsidRPr="004D449D">
        <w:rPr>
          <w:rFonts w:ascii="Sylfaen" w:hAnsi="Sylfaen" w:cs="Sylfaen"/>
          <w:sz w:val="24"/>
        </w:rPr>
        <w:t>.</w:t>
      </w:r>
    </w:p>
    <w:p w14:paraId="0AF1B8E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Республике Беларусь также продолжается работа согласно плану совместных действий государственных органов и участников финансового рынка по повышению финансовой грамотности населения Республики Беларусь на 2013-2018 гг. Согласно документу в 2017 г. продолжается реализация различных мероприятий по оценке уровня финансовой грамотности населения, проведению единой информационной политики, повышению финансовой грамотности школьников и молодежи, наименее социально защищенных целевых групп, повышению финансовой грамотности в сфере банковских услуг, в области рынка ценных бумаг, в сфере страхования, в налоговой сфере и т.п. Основными целями данного документа является формирование у граждан рационального финансового поведения при принятии решений, касающихся личных финансов, и повышение эффективности защиты их прав как инвесторов и потребителей финансовых услуг, обеспечение участия </w:t>
      </w:r>
      <w:r w:rsidRPr="004D449D">
        <w:rPr>
          <w:rFonts w:ascii="Sylfaen" w:hAnsi="Sylfaen" w:cs="Sylfaen"/>
          <w:sz w:val="24"/>
        </w:rPr>
        <w:lastRenderedPageBreak/>
        <w:t>сбережений населения в экономическом росте страны. Кроме этого, в марте 2017 г. была принята Стратегия развития финансового рынка Республики Беларусь до 2020 г.,</w:t>
      </w:r>
      <w:r w:rsidR="00220108" w:rsidRPr="00220108">
        <w:rPr>
          <w:rFonts w:ascii="Sylfaen" w:hAnsi="Sylfaen" w:cs="Sylfaen"/>
          <w:sz w:val="24"/>
        </w:rPr>
        <w:t xml:space="preserve"> </w:t>
      </w:r>
      <w:r w:rsidRPr="004D449D">
        <w:rPr>
          <w:rFonts w:ascii="Sylfaen" w:hAnsi="Sylfaen" w:cs="Sylfaen"/>
          <w:sz w:val="24"/>
        </w:rPr>
        <w:t>согласно которой начали предприниматься действия по обеспечению финансовой стабильности, развитию банковской системы и других секторов финансового рынка, совершенствованию его инфраструктуры и устранению его дисбалансов, активизации сберегательного процесса и вовлечению в него широких слоев населения. Указанным документом предусмотрена разработка в течение 2018 - 2019 гг. нового Плана совместных действий государственных органов и участников финансового рынка по повышению финансовой грамотности населения Республики Беларусь на 2019 - 2024 гг.</w:t>
      </w:r>
    </w:p>
    <w:p w14:paraId="76500BA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Казахстан действует Программа по повышению финансовой грамотности населения на 2016-2018 гг., направленная на развитие у граждан навыков финансового планирования и формирования накоплений, формирование активного экономического поведения населения и повышение его доверия к финансовому сектору. В рамках программы уже были осуществлены такие мероприятия, как проведение лекций в ВУЗах, возобновление интернет-портала, созданы учебный центр при Национальном банке и мобильное приложение и т.п.</w:t>
      </w:r>
    </w:p>
    <w:p w14:paraId="77DCD2C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Подобная программа на 2016-2020 гг. существует и в Кыргызской Республике. В 2017 г. завершился первый, подготовительный этап этой программы, который включал определение базовых умений и навыков для различных групп граждан, разработку ресурсов и повышение потенциала различных организаций, реализующих Программу, а также тестирование, реализацию и внедрение финансовых мероприятий и инициатив. Программа имеет целью сформировать финансово грамотное молодое поколение, повысить эффективность использования личных денежных средств и финансовых инструментов - увеличить депозитную базу банковской системы, повысить качество кредитного портфеля, расширить возможности граждан по инвестированию в инструменты фондового рынка, использовать страховые инструменты</w:t>
      </w:r>
      <w:r w:rsidR="00A51C4B">
        <w:rPr>
          <w:rStyle w:val="FootnoteReference"/>
          <w:rFonts w:ascii="Sylfaen" w:hAnsi="Sylfaen" w:cs="Sylfaen"/>
          <w:sz w:val="24"/>
        </w:rPr>
        <w:footnoteReference w:id="60"/>
      </w:r>
      <w:r w:rsidRPr="004D449D">
        <w:rPr>
          <w:rFonts w:ascii="Sylfaen" w:hAnsi="Sylfaen" w:cs="Sylfaen"/>
          <w:sz w:val="24"/>
        </w:rPr>
        <w:t>.</w:t>
      </w:r>
    </w:p>
    <w:p w14:paraId="6D8FCC2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Отдельно в Кыргызской Республике принята и реализуется Концепция развития рынка ценных бумаг до 2018 г., целью которой является создание условий для эффективного функционирования рынка ценных бумаг как механизма перераспределения финансовых ресурсов, способствующих росту инвестиций в экономику</w:t>
      </w:r>
      <w:r w:rsidR="00A51C4B">
        <w:rPr>
          <w:rStyle w:val="FootnoteReference"/>
          <w:rFonts w:ascii="Sylfaen" w:hAnsi="Sylfaen" w:cs="Sylfaen"/>
          <w:sz w:val="24"/>
        </w:rPr>
        <w:footnoteReference w:id="61"/>
      </w:r>
      <w:r w:rsidRPr="004D449D">
        <w:rPr>
          <w:rFonts w:ascii="Sylfaen" w:hAnsi="Sylfaen" w:cs="Sylfaen"/>
          <w:sz w:val="24"/>
        </w:rPr>
        <w:t>.</w:t>
      </w:r>
    </w:p>
    <w:p w14:paraId="4096D6B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сентябре 2017 г. в Российской Федерации была принята Стратегия повышения финансовой грамотности населения. Документ рассчитан до 2023 г. и </w:t>
      </w:r>
      <w:r w:rsidRPr="004D449D">
        <w:rPr>
          <w:rFonts w:ascii="Sylfaen" w:hAnsi="Sylfaen" w:cs="Sylfaen"/>
          <w:sz w:val="24"/>
        </w:rPr>
        <w:lastRenderedPageBreak/>
        <w:t xml:space="preserve">нацелен на увеличение численности финансово образованных граждан. Это первый стратегический документ подобного масштаба в сфере финансовой грамотности в России, который обеспечит координацию и системное партнерство между всеми заинтересованными участниками </w:t>
      </w:r>
      <w:r w:rsidR="00220108">
        <w:rPr>
          <w:rFonts w:ascii="Sylfaen" w:hAnsi="Sylfaen" w:cs="Sylfaen"/>
          <w:sz w:val="24"/>
        </w:rPr>
        <w:t>–</w:t>
      </w:r>
      <w:r w:rsidRPr="004D449D">
        <w:rPr>
          <w:rFonts w:ascii="Sylfaen" w:hAnsi="Sylfaen" w:cs="Sylfaen"/>
          <w:sz w:val="24"/>
        </w:rPr>
        <w:t xml:space="preserve"> Минфином</w:t>
      </w:r>
      <w:r w:rsidR="00220108" w:rsidRPr="00220108">
        <w:rPr>
          <w:rFonts w:ascii="Sylfaen" w:hAnsi="Sylfaen" w:cs="Sylfaen"/>
          <w:sz w:val="24"/>
        </w:rPr>
        <w:t xml:space="preserve"> </w:t>
      </w:r>
      <w:r w:rsidRPr="004D449D">
        <w:rPr>
          <w:rFonts w:ascii="Sylfaen" w:hAnsi="Sylfaen" w:cs="Sylfaen"/>
          <w:sz w:val="24"/>
        </w:rPr>
        <w:t>России, Банком России, региональными властями, бизнес-сообществом, педагогическим сообществом. В Стратегии отмечается, что одним из основных аспектов при выборе приоритетных тем информирования населения является создание мотивации к среднесрочным и долгосрочным накоплениям.</w:t>
      </w:r>
    </w:p>
    <w:p w14:paraId="75B91F3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Центробанк России продолжает проект по упрощению выпуска корпоративных облигаций, направленный на повышение капитализации рынка облигаций и увеличение удельного веса облигаций в суммарном объеме кредитов в российской экономике путем оптимизации процесса эмиссии облигаций (упрощение, ускорение и повышение доступности облигационного займа), а также повышения экономической привлекательности облигаций для эмитентов и инвесторов. В 2017 г. осуществлялись мероприятия, направленные на сокращение периода между принятием эмитентом решения о выпуске облигаций в рамках программы и размещением этого выпуска до 24 часов. Прорабатываются возможности и пути реализации таких вопросов, как подача эмиссионной документации на регистрацию в электронном виде, оптимизация эмиссионных документов, сокращение количества документов, сокращение сроков и информации до начала фактического обращения облигаций</w:t>
      </w:r>
      <w:r w:rsidR="00A51C4B">
        <w:rPr>
          <w:rStyle w:val="FootnoteReference"/>
          <w:rFonts w:ascii="Sylfaen" w:hAnsi="Sylfaen" w:cs="Sylfaen"/>
          <w:sz w:val="24"/>
        </w:rPr>
        <w:footnoteReference w:id="62"/>
      </w:r>
      <w:r w:rsidRPr="004D449D">
        <w:rPr>
          <w:rFonts w:ascii="Sylfaen" w:hAnsi="Sylfaen" w:cs="Sylfaen"/>
          <w:sz w:val="24"/>
        </w:rPr>
        <w:t>.</w:t>
      </w:r>
    </w:p>
    <w:p w14:paraId="59F0A72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продолжают реализовываться Основные направления развития финансового рынка Российской Федерации на период 2016-2018 гг. - первый документ Банка России по развитию финансового рынка. Согласно плану мероприятий, в 2017 г. были предприняты шаги, направленные на повышение уровня финансовой грамотности, совершенствование требований к раскрываемой информации и рекламе финансовых продуктов и услуг, повышение доступности финансовых услуг для населения и субъектов малого и среднего предпринимательства, развитие рынка облигаций и синдицированного кредитования, совершенствование регулирования финансового рынка и т.д.</w:t>
      </w:r>
      <w:r w:rsidR="00A51C4B">
        <w:rPr>
          <w:rStyle w:val="FootnoteReference"/>
          <w:rFonts w:ascii="Sylfaen" w:hAnsi="Sylfaen" w:cs="Sylfaen"/>
          <w:sz w:val="24"/>
        </w:rPr>
        <w:footnoteReference w:id="63"/>
      </w:r>
      <w:r w:rsidRPr="004D449D">
        <w:rPr>
          <w:rFonts w:ascii="Sylfaen" w:hAnsi="Sylfaen" w:cs="Sylfaen"/>
          <w:sz w:val="24"/>
          <w:vertAlign w:val="superscript"/>
        </w:rPr>
        <w:t xml:space="preserve"> </w:t>
      </w:r>
      <w:r w:rsidRPr="004D449D">
        <w:rPr>
          <w:rFonts w:ascii="Sylfaen" w:hAnsi="Sylfaen" w:cs="Sylfaen"/>
          <w:sz w:val="24"/>
        </w:rPr>
        <w:t>Все эти меры способствуют повышению привлекательности финансового рынка и использования инструментов долгосрочного финансирования для населения и бизнеса.</w:t>
      </w:r>
    </w:p>
    <w:p w14:paraId="00485E8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ЕЭК совместно с Федеральным общественно-государственным фондом по защите прав вкладчиков и акционеров Российской Федерации в октябре 2017 г. организовано проведение II Международной научно-практической конференции по защите прав потребителей финансовых услуг в странах ЕАЭС и Китайской Народной Республике.</w:t>
      </w:r>
    </w:p>
    <w:p w14:paraId="73601E9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целях повышения эффективности, устойчивости и конкурентоспособности интегрированного финансового рынка и создания на этой основе предпосылок для </w:t>
      </w:r>
      <w:r w:rsidRPr="004D449D">
        <w:rPr>
          <w:rFonts w:ascii="Sylfaen" w:hAnsi="Sylfaen" w:cs="Sylfaen"/>
          <w:sz w:val="24"/>
        </w:rPr>
        <w:lastRenderedPageBreak/>
        <w:t>стабильного экономического роста государств- членов подготовлен проект Соглашения о гармонизации законодательства государств - членов ЕАЭС в сфере финансового рынка. Проектом соглашения определяются направления и порядок гармонизации законодательств в банковском секторе, страховом секторе и секторе услуг на рынке ценных бумаг, и предусматривается разработка плана гармонизации законодательств</w:t>
      </w:r>
      <w:r w:rsidR="00220108" w:rsidRPr="00220108">
        <w:rPr>
          <w:rFonts w:ascii="Sylfaen" w:hAnsi="Sylfaen" w:cs="Sylfaen"/>
          <w:sz w:val="24"/>
        </w:rPr>
        <w:t xml:space="preserve"> </w:t>
      </w:r>
      <w:r w:rsidRPr="004D449D">
        <w:rPr>
          <w:rFonts w:ascii="Sylfaen" w:hAnsi="Sylfaen" w:cs="Sylfaen"/>
          <w:sz w:val="24"/>
        </w:rPr>
        <w:t>государств-членов в финансовой сфере с указанием этапов и сроков её проведения. В соответствии с этим планом предполагается принятие согласованных требований к профессиональным участникам финансового рынка, обеспечение условий для взаимного признания лицензий, осуществление гармонизации надзорных требований и подходов к регулированию рисков на основе международных стандартов, согласование единых требований по защите прав и интересов потребителей финансовых услуг.</w:t>
      </w:r>
    </w:p>
    <w:p w14:paraId="498258C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Консультативный комитет по финансовым рынкам 7 сентября 2017 г. одобрил План гармонизации для внесения на утверждение в соответствии со сроками, установленными Соглашением о гармонизации законодательства. Проект Соглашения о гармонизации законодательства направлен в государства - члены ЕАЭС для проведения внутригосударственных процедур, необходимых для его подписания. Республика Армения, Республика Беларусь, Кыргызская Республика и Российская Федерация завершили, а Республика Казахстан продолжает осуществлять внутригосударственные процедуры.</w:t>
      </w:r>
    </w:p>
    <w:p w14:paraId="2893BA82"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Активизация использования финансовых возмоэ/сностей национальных и региональных институтов развития, включая Евразийский фонд стабилизации и развития и Евразийский банк развития</w:t>
      </w:r>
    </w:p>
    <w:p w14:paraId="4666D14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На 1 февраля 2018 г. текущий инвестиционный портфель Евразийского банка развития (далее - ЕАБР) составил 2,453 млрд, долларов и включает 69 проектов в шести государствах - участниках ЕАБР. Общая сумма инвестиций ЕАБР в экономики государств-участников достигла 6,308 млрд, долларов. Приоритетными секторами для финансирования проектов ЕАБР являются энергетика, транспорт и инфраструктура. На февраль 2018 г. проекты в данных отраслях заняли 17,6% (энергетика) и 18,2% (транспорт и инфраструктура) от объема текущего инвестиционного портфеля</w:t>
      </w:r>
      <w:r w:rsidR="00A51C4B">
        <w:rPr>
          <w:rStyle w:val="FootnoteReference"/>
          <w:rFonts w:ascii="Sylfaen" w:hAnsi="Sylfaen" w:cs="Sylfaen"/>
          <w:sz w:val="24"/>
        </w:rPr>
        <w:footnoteReference w:id="64"/>
      </w:r>
      <w:r w:rsidRPr="004D449D">
        <w:rPr>
          <w:rFonts w:ascii="Sylfaen" w:hAnsi="Sylfaen" w:cs="Sylfaen"/>
          <w:sz w:val="24"/>
        </w:rPr>
        <w:t>.</w:t>
      </w:r>
    </w:p>
    <w:p w14:paraId="7176CE7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20 декабря 2017 г. в ЕЭК состоялось второе заседание Рабочей группы, на котором представители Комиссии, государств-членов и ЕАБР обсудили вопросы проведения совместной аналитической работы по поиску кооперационных проектов, имеющих интеграционный потенциал, для финансирования ЕАБР, а также рассмотрели ряд кооперационных проектов в химической, пищевой и светотехнической промышленности, фармацевтике и деревообработке.</w:t>
      </w:r>
    </w:p>
    <w:p w14:paraId="75DC280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части активизации использования финансовых возможностей Евразийского банка развития для финансирования проектов с интеграционным потенциалом ведется работа с отраслевыми министерствами и ведомствами, крупным и средним </w:t>
      </w:r>
      <w:r w:rsidRPr="004D449D">
        <w:rPr>
          <w:rFonts w:ascii="Sylfaen" w:hAnsi="Sylfaen" w:cs="Sylfaen"/>
          <w:sz w:val="24"/>
        </w:rPr>
        <w:lastRenderedPageBreak/>
        <w:t>бизнесом государств-членов, с основными промышленными ассоциациями, такими как РСПП, ТПП РФ, БелАПП, НЛП РК «Атамекен», КСПП, Союза промышленников и предпринимателей (работодателей) Армении.</w:t>
      </w:r>
    </w:p>
    <w:p w14:paraId="19F8DC1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4 апреля 2018 г. на 10-м заседании Консультативного комитета по макроэкономической политике был рассмотрен вопрос об организации сотрудничества между Евразийской экономической комиссией и Евразийским фондом стабилизации и развития, по итогам которого принято решение о подготовке и направлении в Совет Фонда конкретных предложений по расширению взаимодействия Комиссии и Фонда.</w:t>
      </w:r>
    </w:p>
    <w:p w14:paraId="7B1FBA03" w14:textId="77777777" w:rsidR="008C226D" w:rsidRPr="004D449D" w:rsidRDefault="004D449D" w:rsidP="00220108">
      <w:pPr>
        <w:pStyle w:val="Bodytext50"/>
        <w:shd w:val="clear" w:color="auto" w:fill="auto"/>
        <w:spacing w:before="0" w:after="120" w:line="240" w:lineRule="auto"/>
        <w:ind w:firstLine="567"/>
        <w:rPr>
          <w:rFonts w:ascii="Sylfaen" w:hAnsi="Sylfaen" w:cs="Sylfaen"/>
          <w:sz w:val="24"/>
        </w:rPr>
      </w:pPr>
      <w:r w:rsidRPr="004D449D">
        <w:rPr>
          <w:rFonts w:ascii="Sylfaen" w:hAnsi="Sylfaen" w:cs="Sylfaen"/>
          <w:sz w:val="24"/>
        </w:rPr>
        <w:t>Направление 3. Увеличение добавленной стоимости, создаваемой в Союзе</w:t>
      </w:r>
    </w:p>
    <w:p w14:paraId="0B3001A0"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Подготовка совместных кооперационных проектов государств-членов в сферах экономики, обладающих интеграционным потенциалом</w:t>
      </w:r>
    </w:p>
    <w:p w14:paraId="4BBB066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Комиссией был подготовлен доклад «О результатах мониторинга рынка промышленной продукции в рамках Евразийского экономического союза за 2016 г.», который содержит, в том числе, результаты проведенного анализа кооперационного потенциала в рамках Союза с указанием приоритетных для развития производственной кооперации видов деятельности.</w:t>
      </w:r>
    </w:p>
    <w:p w14:paraId="60F18ED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 результатам проведенного анализа сформирован перечень из более чем 1,7 тыс. товаров, производство которых целесообразно развивать на территории Союза и по которым государства-члены могут нарастить кооперационное сотрудничество, что позволит сформировать круг заинтересованных в сотрудничестве промышленных предприятий и перейти к реализации кооперационных проектов.</w:t>
      </w:r>
    </w:p>
    <w:p w14:paraId="2E0267E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Распоряжением Евразийского межправительственного совета от 7 марта 2017 г. № 2 определены сферы экономики, обладающие интеграционным потенциалом в ЕАЭС, и меры, направленные на его использование.</w:t>
      </w:r>
    </w:p>
    <w:p w14:paraId="2D59354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Принята Рекомендация Коллегии Комиссии от 14 ноября 2017 г. № 24 «Об учете интеграционного потенциала государств - членов Евразийского экономического союза при реализации проектов по производству аналогов выпускаемых в третьих странах и импортируемых на территорию Российской Федерации материалов, комплектующих и оборудования», в которой определен перечень продукции в 17 отраслях промышленности, в которых выразили готовность участвовать производители других государств-членов.</w:t>
      </w:r>
    </w:p>
    <w:p w14:paraId="525CCFC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Предложения государств-членов по возможным проектам кооперационного сотрудничества представлены в рамках рассмотренного на заседании Коллегии Комиссии 26 декабря 2017 г. Доклада о результатах ежегодного мониторинга кооперационного взаимодействия и реализации кооперационных проектов.</w:t>
      </w:r>
    </w:p>
    <w:p w14:paraId="4D9B3AD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настоящее время подготовлен проект распоряжения Евразийского межправительственного совета, которым предусматривается создание рабочей группы высокого уровня по вопросам интеграционного взаимодействия в кооперации и импортозамещении в приоритетных отраслях промышленности.</w:t>
      </w:r>
    </w:p>
    <w:p w14:paraId="572C28A2"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lastRenderedPageBreak/>
        <w:t>Создание и развитие международных цепочек добавленной стоимости с участием государств-членов</w:t>
      </w:r>
    </w:p>
    <w:p w14:paraId="541FBE5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 целью создания и развития цепочек добавленной стоимости с участием государств-членов Комиссией в 2017 г. было проведено два заседания экспертной группы по использованию страновых и межстрановых таблиц «затраты-выпуск» для формирования и оценки интеграционного потенциала ЕАЭС, в работе которых участвовали эксперты государств-членов. В рамках работы экспертной группы подготовлен обзор производства, передачи и распределения электроэнергии в государствах - членах Союза и предложения по развитию отрасли в целях использования интеграционного потенциала Союза. Обзор был представлен в рамках круглого стола «Потенциал общих рынков энергетических ресурсов ЕАЭС. Энергомосты в третьи страны» в рамках форума «Евразийская неделя-2017» и направлен государствам-членам для дальнейшего применения в целях определения потенциала и направлений встраивания в глобальные и внутрисоюзные цепочки создания добавленной стоимости.</w:t>
      </w:r>
    </w:p>
    <w:p w14:paraId="60D61A9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практического применения подготовленного ранее Комиссией обзора производства продуктов питания, напитков и табачных изделий в государствах - членах Союза на встрече с представителями ЕАБР были обсуждены предложения по развитию отрасли и реализации интеграционного потенциала Союза. Специалисты ЕАБР выразили готовность продолжить совместно с Комиссией изучение возможности разработки инвестиционных программ (проектов) на основе предложений, изложенных в обзоре. В дальнейшем, по мнению ЕАБР, данная работа может привести к реальным результатам по поддержке целевых секторов и предприятий, становлению внутрисоюзных производств и цепочек добавленной стоимости, развитию импортозамещения.</w:t>
      </w:r>
    </w:p>
    <w:p w14:paraId="10C7374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данный обзор был представлен в рамках совещания, посвященного рассмотрению результатов анализа пилотных отраслей и перспектив их развития в Союзе, с участием представителей Национального статистического комитета и Министерства экономики Республики Беларусь, Белорусского государственного концерна пищевой промышленности «Белгоспищепром» и Научно-исследовательского экономического института Министерства экономики Республики Беларусь.</w:t>
      </w:r>
    </w:p>
    <w:p w14:paraId="459F59A8"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Развитие эффективных форм сотрудничества государств-членов в сфере промышленной, агропромышленной и энергетической политики в целях создания продукции, конкурентоспособной на внешнем и внутреннем рынках</w:t>
      </w:r>
    </w:p>
    <w:p w14:paraId="0D3F5FD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представители государств-членов приняли участие в консультациях по чувствительным сельскохозяйственным товарам. Комиссией подготовлены комплексные обзоры по развитию основных рынков чувствительных сельскохозяйственных товаров, а также были организованы консультации с участием представителей государств-членов по развитию масложировой отрасли (27 сентября 2017 г., Москва), сахарной отрасли (23 августа 2017 г., Астана), птицеводства (20 сентября 2017 г., Москва). В</w:t>
      </w:r>
      <w:r w:rsidR="00220108" w:rsidRPr="00220108">
        <w:rPr>
          <w:rFonts w:ascii="Sylfaen" w:hAnsi="Sylfaen" w:cs="Sylfaen"/>
          <w:sz w:val="24"/>
        </w:rPr>
        <w:t xml:space="preserve"> </w:t>
      </w:r>
      <w:r w:rsidRPr="004D449D">
        <w:rPr>
          <w:rFonts w:ascii="Sylfaen" w:hAnsi="Sylfaen" w:cs="Sylfaen"/>
          <w:sz w:val="24"/>
        </w:rPr>
        <w:t xml:space="preserve">результате реализации этих действий были разработаны </w:t>
      </w:r>
      <w:r w:rsidRPr="004D449D">
        <w:rPr>
          <w:rFonts w:ascii="Sylfaen" w:hAnsi="Sylfaen" w:cs="Sylfaen"/>
          <w:sz w:val="24"/>
        </w:rPr>
        <w:lastRenderedPageBreak/>
        <w:t>проекты рекомендаций по устойчивому развитию основных чувствительных сельскохозяйственных товаров.</w:t>
      </w:r>
    </w:p>
    <w:p w14:paraId="534CA4D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сфере энергетической политики в государствах-членах были приняты планы по реализации Программы формирования общего электроэнергетического рынка Евразийского экономического союза, утвержденной Решением Высшего экономического совета от 26 декабря 2016 г. № 20. Комиссией был подготовлен предварительный проект соглашения об общем электроэнергетическом рынке Союза и организована разработка предварительных проектов единых правил доступа к услугам субъектов естественных монополий в сфере электроэнергетики, правил взаимной торговли электрической энергией на общем электроэнергетическом рынке Союза, правил определения и распределения пропускной способности межгосударственных линий электропередачи, правил информационного обмена на общем электроэнергетическом рынке Союза и положения о развитии межгосударственных электрических сетей. Проекты соглашения были рассмотрены уполномоченными органами и заинтересованными энергетическими компаниями государств-членов. По итогам рассмотрения были подготовлены замечания и предложения по их доработке.</w:t>
      </w:r>
    </w:p>
    <w:p w14:paraId="3E5C3E2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Комиссией также был разработан проект Программы формирования общего рынка газа Союза. Проведены процедуры согласования проекта органами Союза, ожидается его рассмотрение на заседании ВЕЭС в 2018 г.</w:t>
      </w:r>
    </w:p>
    <w:p w14:paraId="73C9D9B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 части формирования общих рынков нефти и нефтепродуктов Союза также был разработан и одобрен Советом Комиссии 20 декабря 2017 г. проект Программы. Рассмотрение проекта Высшим советом состоится в 2018 г.</w:t>
      </w:r>
    </w:p>
    <w:p w14:paraId="21B19F5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Разработана Концепция создания и функционирования Евразийской сети трансфера технологий. Формирование такой системы, основанной на объединении национальных инструментов и систем поддержки научнотехнологического развития и промышленной кооперации, позволит стимулировать транссоюзный рынок трансфера технологий и упростить процедуру оказания услуг по трансферу технологий в рамках данной сети (проект концепции одобрен на заседании Коллегии Комиссии 26 декабря 2017 г. и рассмотрен Советом Комиссии 16 февраля 2018 г.).</w:t>
      </w:r>
    </w:p>
    <w:p w14:paraId="3639A07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государства-члены приступили к формированию национальных сегментов сети промышленной кооперации и субконтрактации (далее - Сеть). Государствами-членами были определены уполномоченные органы, отвечающие за проведение работы по созданию национальных сегментов Сети, рассмотрены и даны предложения по формированию и ведению национальных реестров промышленных предприятий.</w:t>
      </w:r>
    </w:p>
    <w:p w14:paraId="5BCEF93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Также велась разработка и представление государствам-членам рабочего прототипа (модели) витрины сервисов Евразийской информационной системы промышленности, включающей евразийскую сеть субконтрактации, евразийскую сеть трансфера технологий и электронные сервисы, обеспечивающие информационное взаимодействие участников и инвесторов, а также механизмы </w:t>
      </w:r>
      <w:r w:rsidRPr="004D449D">
        <w:rPr>
          <w:rFonts w:ascii="Sylfaen" w:hAnsi="Sylfaen" w:cs="Sylfaen"/>
          <w:sz w:val="24"/>
        </w:rPr>
        <w:lastRenderedPageBreak/>
        <w:t>мониторинга. Подготовлены проекты документов,</w:t>
      </w:r>
      <w:r w:rsidR="00220108" w:rsidRPr="00220108">
        <w:rPr>
          <w:rFonts w:ascii="Sylfaen" w:hAnsi="Sylfaen" w:cs="Sylfaen"/>
          <w:sz w:val="24"/>
        </w:rPr>
        <w:t xml:space="preserve"> </w:t>
      </w:r>
      <w:r w:rsidRPr="004D449D">
        <w:rPr>
          <w:rFonts w:ascii="Sylfaen" w:hAnsi="Sylfaen" w:cs="Sylfaen"/>
          <w:sz w:val="24"/>
        </w:rPr>
        <w:t>являющиеся методической базой для функционирования Сети, проведено апробирование механизмов объединения национальных сегментов.</w:t>
      </w:r>
    </w:p>
    <w:p w14:paraId="2E3B54A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Помимо этого, проводится системная работа с евразийскими технологическими платформами (далее - ЕТП). Сформирована ЕТП «Технологии металлургии и новые материалы» и ЕТП «Промышленные технологии: цемент, бетон, сухие смеси». Также проведен системный анализ, и подготовлена комплексная матрица формирования ЕТП с учетом направлений, утвержденных Евразийским межправительственным советом (Решение от 13 апреля 2016 г. № 2), и технологических приоритетов инновационного развития государств-членов, утвержденных национальными документами. Всего к настоящему времени утверждено 12 ЕТП.</w:t>
      </w:r>
    </w:p>
    <w:p w14:paraId="352A46F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июне 2017 г. состоялся Евразийский инвестиционный форум по привлечению инвестиций в реализацию инновационных кооперационных проектов евразийских технологических платформ, на котором представители институтов развития государств-членов информировали евразийские технологические платформы о механизмах поддержки кооперационных проектов.</w:t>
      </w:r>
    </w:p>
    <w:p w14:paraId="31F0EDC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2018 г. продолжена работа по расширению участия ЕТП в реализуемых государствами-членами важнейших инновационных проектах, и начато рассмотрение предлагаемых ЕТП проектов совместно с ЕАБР.</w:t>
      </w:r>
    </w:p>
    <w:p w14:paraId="02DE13A2"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Постепенное устранение барьеров и минимизация изъятий и ограничений для свободного движения товаров, услуг, капитала и рабочей силы</w:t>
      </w:r>
    </w:p>
    <w:p w14:paraId="1CA3CD6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Выявление препятствий на внутреннем рынке Союза осуществляется путем рассмотрения и анализа обращений государств-членов, бизнес- сообществ и других заинтересованных лиц, а также путем самостоятельного мониторинга Комиссии, в том числе с использованием информационного портала «Функционирование внутренних рынков Евразийского экономического союза».</w:t>
      </w:r>
    </w:p>
    <w:p w14:paraId="530B879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работа по выявлению препятствий была систематизирована благодаря утвержденной Решением Коллегии Комиссии от 14 ноября 2017 г. № 152 Методологии разделения препятствий на внутреннем рынке Евразийского экономического союза на барьеры, изъятия и ограничения, которая позволила категорировать препятствия для эффективного их устранения.</w:t>
      </w:r>
    </w:p>
    <w:p w14:paraId="7C5D8BE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настоящее время работа по устранению препятствий на внутреннем рынке Союза ведется по двум трекам: устранение барьеров и сокращение изъятий и ограничений. Активная работа Комиссии совместно с государствами- членами по обеспечению реализации «четырех свобод» позволила в 2017 г. устранить 13 барьеров и принять 3 Решения Коллегии Комиссии о необходимости</w:t>
      </w:r>
      <w:r>
        <w:rPr>
          <w:rFonts w:ascii="Sylfaen" w:hAnsi="Sylfaen" w:cs="Sylfaen"/>
          <w:sz w:val="24"/>
        </w:rPr>
        <w:t xml:space="preserve"> </w:t>
      </w:r>
      <w:r w:rsidRPr="004D449D">
        <w:rPr>
          <w:rFonts w:ascii="Sylfaen" w:hAnsi="Sylfaen" w:cs="Sylfaen"/>
          <w:sz w:val="24"/>
        </w:rPr>
        <w:t>исполнения</w:t>
      </w:r>
      <w:r>
        <w:rPr>
          <w:rFonts w:ascii="Sylfaen" w:hAnsi="Sylfaen" w:cs="Sylfaen"/>
          <w:sz w:val="24"/>
        </w:rPr>
        <w:t xml:space="preserve"> </w:t>
      </w:r>
      <w:r w:rsidRPr="004D449D">
        <w:rPr>
          <w:rFonts w:ascii="Sylfaen" w:hAnsi="Sylfaen" w:cs="Sylfaen"/>
          <w:sz w:val="24"/>
        </w:rPr>
        <w:t>взятых государствами-членами на себя обязательств в рамках функционирования внутреннего рынка Союза.</w:t>
      </w:r>
    </w:p>
    <w:p w14:paraId="2BCD649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Среди таких устраненных барьеров можно отметить следующие.</w:t>
      </w:r>
    </w:p>
    <w:p w14:paraId="019944A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сентябре 2017 г. в Российской Федерацией отменено таможенное </w:t>
      </w:r>
      <w:r w:rsidRPr="004D449D">
        <w:rPr>
          <w:rFonts w:ascii="Sylfaen" w:hAnsi="Sylfaen" w:cs="Sylfaen"/>
          <w:sz w:val="24"/>
        </w:rPr>
        <w:lastRenderedPageBreak/>
        <w:t>декларирование большинства позиций в товарной группе 27 Товарной</w:t>
      </w:r>
      <w:r w:rsidR="00220108" w:rsidRPr="00220108">
        <w:rPr>
          <w:rFonts w:ascii="Sylfaen" w:hAnsi="Sylfaen" w:cs="Sylfaen"/>
          <w:sz w:val="24"/>
        </w:rPr>
        <w:t xml:space="preserve"> </w:t>
      </w:r>
      <w:r w:rsidRPr="004D449D">
        <w:rPr>
          <w:rFonts w:ascii="Sylfaen" w:hAnsi="Sylfaen" w:cs="Sylfaen"/>
          <w:sz w:val="24"/>
        </w:rPr>
        <w:t>номенклатуры внешнеэкономической деятельности Евразийского экономического союза (далее - ТН ВЭД ЕАЭС) электроэнергии, угля, минерального воска. Устраненный барьер позволил сделать очередной шаг к реализации потенциала внутреннего рынка ЕАЭС в частности рынка товаров, классифицированных в 27 товарной группе ТН ВЭД ЕАЭС, емкость которого оценивается в 660,8 млн. долл. США (за исключением газа, нефти и нефтепродуктов).</w:t>
      </w:r>
    </w:p>
    <w:p w14:paraId="6FEAC8C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ноябре 2017 г. устранен барьер, возникший в связи с освобождением в Кыргызской Республике от уплаты налога на добавленную стоимость поставок муки, произведенной из импортного зерна. Нормы налогового законодательства Кыргызской Республики приведены в соответствие с пунктом 2 статьи 71 Договора о ЕАЭС, согласно которому государства - члены ЕАЭС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в отношении аналогичных товаров, происходящих с его территории.</w:t>
      </w:r>
    </w:p>
    <w:p w14:paraId="1D25508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в декабре 2017 г. Республика Казахстан приняла решение о применении унифицированного тарифа при перевозке грузов железнодорожным транспортом из Кыргызской Республики в другие страны ЕАЭС через Республику Казахстан, что позволило снять еще один барьер на Евразийском пространстве.</w:t>
      </w:r>
    </w:p>
    <w:p w14:paraId="3B8F7FD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Решается вопрос по неприменению национального режима в обложении НДС ряда товаров в Республике Беларусь. По ряду товаров, для которых пониженная ставка НДС в размере 10% предоставляется только в том случае, если данные товары произведены на территории Беларуси, в тоже время ввоз и реализация аналогичных товаров из других государств-членов облагается по стандартной ставке НДС в размере 20%. Вопрос был рассмотрен в течение 2017 г. на совещаниях экспертов Консультативного комитета по налоговой политике и администрированию. Соответствующий проект Указа Президента Республики Беларусь был внесен в Правительство Республики Беларусь. В январе 2018 г. проект Указа возвращен, и Правительством Республики Беларусь поручено Министерству финансов дополнительно комплексно проработать с заинтересованными органами предлагаемые нормы по выравниванию условий взимания налога на добавленную стоимость на отечественные и импортируемые товары и при необходимости принять меры по их реализации в рамках плановой корректировки Налогового кодекса Республики Беларусь на 2019 год. Данный вопрос будет рассмотрен созданной при Министерстве финансов специальной межведомственной рабочей группой для подготовки предложений по комплексной корректировке Кодекса с последующим отражением в нем результатов рассмотрения этого вопроса.</w:t>
      </w:r>
    </w:p>
    <w:p w14:paraId="0B2866C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Особое значение в обеспечении эффективного функционирования внутреннего рынка интеграционного объединения имеет устранение наиболее системных препятствий - изъятий и ограничений. В 2017 г. со вступлением в силу ряда актов Комиссии были устранены 4 ограничения в сфере</w:t>
      </w:r>
      <w:r w:rsidR="00220108" w:rsidRPr="00220108">
        <w:rPr>
          <w:rFonts w:ascii="Sylfaen" w:hAnsi="Sylfaen" w:cs="Sylfaen"/>
          <w:sz w:val="24"/>
        </w:rPr>
        <w:t xml:space="preserve"> </w:t>
      </w:r>
      <w:r w:rsidRPr="004D449D">
        <w:rPr>
          <w:rFonts w:ascii="Sylfaen" w:hAnsi="Sylfaen" w:cs="Sylfaen"/>
          <w:sz w:val="24"/>
        </w:rPr>
        <w:t xml:space="preserve">агропромышленного комплекса и </w:t>
      </w:r>
      <w:r w:rsidRPr="004D449D">
        <w:rPr>
          <w:rFonts w:ascii="Sylfaen" w:hAnsi="Sylfaen" w:cs="Sylfaen"/>
          <w:sz w:val="24"/>
        </w:rPr>
        <w:lastRenderedPageBreak/>
        <w:t>применения санитарных и фитосанитарных мер и 1 изъятие в сфере государственных закупок. Устраненные препятствия позволили сделать очередной шаг к реализации потенциала внутреннего рынка ЕАЭС.</w:t>
      </w:r>
    </w:p>
    <w:p w14:paraId="27FB839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Евразийским межправительственным советом 25 октября 2017 г. утвержден план мероприятий («дорожная карта») по устранению изъятий и ограничений на внутреннем рынке Евразийского экономического союза на 2018-2019 гг. (далее - «дорожная карта»). В «дорожную карту» вошли 17 препятствий, из них -</w:t>
      </w:r>
      <w:r>
        <w:rPr>
          <w:rFonts w:ascii="Sylfaen" w:hAnsi="Sylfaen" w:cs="Sylfaen"/>
          <w:sz w:val="24"/>
        </w:rPr>
        <w:t xml:space="preserve"> </w:t>
      </w:r>
      <w:r w:rsidRPr="004D449D">
        <w:rPr>
          <w:rFonts w:ascii="Sylfaen" w:hAnsi="Sylfaen" w:cs="Sylfaen"/>
          <w:sz w:val="24"/>
        </w:rPr>
        <w:t>2 изъятия и 15 ограничений. Совокупный положительный эффект от устранения препятствий, включенных в «дорожную карту», оценивается от 1,5% до 2% от общего объема взаимной торговли.</w:t>
      </w:r>
    </w:p>
    <w:p w14:paraId="76F3DA2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7 ноября 2017 г. государствами-членами было подписано Соглашение об обращении семян сельскохозяйственных растений в рамках Союза, проводятся внутригосударственные процедуры, необходимые для вступления в силу данного Соглашения. Также государствами-членами проводятся внутригосударственные процедуры, необходимые для подписания проекта Соглашения о мерах, направленных на унификацию проведения селекционно- племенной работы в рамках ЕАЭС (одобрен Распоряжением Совета ЕЭК от 23 июня 2017 г. № 24). Их реализация позволит устранить ограничения во взаимной торговле семенами сельскохозяйственных растений и племенными сельскохозяйственными животными.</w:t>
      </w:r>
    </w:p>
    <w:p w14:paraId="0405AB2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целом, в 2017 г. было зафиксировано 194 обращения по вопросам функционирования внутреннего рынка. Больше всего обращений - порядка 49 % - поступило из Российской Федерации, 25,5 % - из Республики Беларусь, 10,5 % - из Республики Армения, 9,4 % - из Республики Казахстан и 5,6% - из Кыргызской Республики.</w:t>
      </w:r>
    </w:p>
    <w:p w14:paraId="68845AB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целях более активного вовлечения бизнес-ассоциаций в процесс выявления препятствий и оценки их влияния на функционирование внутреннего рынка в 2017 г. по инициативному предложению Комиссии в рамках 2-ого заседания Консультативного совета по взаимодействию Комиссии и Делового совета ЕАЭС было принято решение о создании экспертной группы по вопросам устранения барьеров, изъятий и ограничений на внутреннем рынке ЕАЭС. Экспертная группа является консультативным органом, обеспечивающим постоянное взаимодействие с представителями бизнес- сообществ государств - членов Союза в целях выявления и устранения препятствующих функционированию внутренних рынков барьеров, изъятий и ограничений.</w:t>
      </w:r>
    </w:p>
    <w:p w14:paraId="38995DB3" w14:textId="77777777" w:rsidR="008C226D" w:rsidRPr="004D449D" w:rsidRDefault="004D449D" w:rsidP="00220108">
      <w:pPr>
        <w:pStyle w:val="Bodytext50"/>
        <w:shd w:val="clear" w:color="auto" w:fill="auto"/>
        <w:spacing w:before="0" w:after="120" w:line="240" w:lineRule="auto"/>
        <w:ind w:firstLine="567"/>
        <w:rPr>
          <w:rFonts w:ascii="Sylfaen" w:hAnsi="Sylfaen" w:cs="Sylfaen"/>
          <w:sz w:val="24"/>
        </w:rPr>
      </w:pPr>
      <w:r w:rsidRPr="004D449D">
        <w:rPr>
          <w:rFonts w:ascii="Sylfaen" w:hAnsi="Sylfaen" w:cs="Sylfaen"/>
          <w:sz w:val="24"/>
        </w:rPr>
        <w:t>Направление 4. Развитие несырьевого экспорта</w:t>
      </w:r>
    </w:p>
    <w:p w14:paraId="6EAC647B"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Развитие торгово-экономических отношений с третьими сторонами, направленных на продвижение интересов Союза на мировом рынке</w:t>
      </w:r>
    </w:p>
    <w:p w14:paraId="6697B55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Решением Высшего Евразийского экономического совета № 15 от 8 мая 2015 г. были начаты переговоры с Китайской Народной Республикой по заключению соглашения о торгово-экономическом сотрудничестве. В течение 2016-2017 гг. </w:t>
      </w:r>
      <w:r w:rsidRPr="004D449D">
        <w:rPr>
          <w:rFonts w:ascii="Sylfaen" w:hAnsi="Sylfaen" w:cs="Sylfaen"/>
          <w:sz w:val="24"/>
        </w:rPr>
        <w:lastRenderedPageBreak/>
        <w:t>состоялось пять раундов переговоров и несколько межсессионных</w:t>
      </w:r>
      <w:r w:rsidR="00220108" w:rsidRPr="00220108">
        <w:rPr>
          <w:rFonts w:ascii="Sylfaen" w:hAnsi="Sylfaen" w:cs="Sylfaen"/>
          <w:sz w:val="24"/>
        </w:rPr>
        <w:t xml:space="preserve"> </w:t>
      </w:r>
      <w:r w:rsidRPr="004D449D">
        <w:rPr>
          <w:rFonts w:ascii="Sylfaen" w:hAnsi="Sylfaen" w:cs="Sylfaen"/>
          <w:sz w:val="24"/>
        </w:rPr>
        <w:t>встреч между переговорной делегацией Комиссии, государств - членов ЕАЭС и Китайской Народной Республики (далее - КНР).</w:t>
      </w:r>
    </w:p>
    <w:p w14:paraId="651407B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По итогам финального раунда переговоров 26 сентября - 1 октября 2017 г. было подписано совместное заявление о принципиальном завершении переговоров по соглашению. Данное соглашение предусматривает создание механизма сотрудничества между Сторонами в таких областях, как «Технические меры регулирования», «Санитарные и фитосанитарные меры», «Таможенное сотрудничество и упрощение процедур торговли», «Отраслевое сотрудничество», «Конкуренция», «Меры защиты рынка», «Интеллектуальная собственность», «Государственные закупки» и «Электронная торговля». Таким образом, создается площадка эффективного двустороннего взаимодействия между Сторонами.</w:t>
      </w:r>
    </w:p>
    <w:p w14:paraId="4C7809A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2016-2017 гг. был сформирован «банк данных» из 118 проектов инфраструктурной, инвестиционной и экспортной направленности, реализуемых и планируемых к реализации на территории государств - членов Союза и КНР, на основе предложений, полученных от министерств и ведомств, деловых объединений стран Союза, а также проектов в сфере транспорта и энергетики, проработанных на площадке Комиссии.</w:t>
      </w:r>
    </w:p>
    <w:p w14:paraId="3416811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Всего было сформировано 53 инфраструктурных проекта, 56 инвестиционных проектов и 9 экспортных проектов. Ключевыми сферами, в которых сосредоточены проекты, являются транспорт и энергетика. Также можно выделить такие сферы как машиностроение, горно-металлургическая и химическая промышленность. В соглашении о торгово-экономическом сотрудничестве с Китайской Народной Республикой предусмотрена возможность обсуждения вышеуказанных проектов в рамках отдельных отраслевых подкомитетов и рабочих групп на предмет выявления проектов общего интереса, а также привлечения ресурсов международных и финансовых институтов для их реализации.</w:t>
      </w:r>
    </w:p>
    <w:p w14:paraId="5E6419A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25-27 октября 2017 г. в Китае прошел пятый раунд переговоров по проекту Соглашения об обмене информацией о товарах и транспортных средствах международной перевозки, перемещаемых через таможенные границы Союза и КНР. По итогам раунда достигнута договоренность о проведении внутригосударственного согласования текста проекта Соглашения в возможно короткие сроки. Проект Соглашения был одобрен Распоряжением Коллегии ЕЭК от 16 января 2018 г. № 4.</w:t>
      </w:r>
    </w:p>
    <w:p w14:paraId="413875D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7 декабря 2017 г. проведено Совещание министров транспорта государств - членов Союза с участием заместителя министра транспорта КНР Дай Дунчана. На встрече прошло обсуждение общих подходов по сопряжению Евразийского экономического союза и Экономического пояса Шелкового пути (ЭПШП). Еосударства-члены предложили к рассмотрению 38 совместных проектов в области транспорта, претендующих на софинансирование Китая. Проекты имеют целью наладить сквозную логистику между Китаем, Евразийским экономическим союзом и Европейским союзом и по сопутствующим маршрутам, дополняющим основные транспортные коридоры</w:t>
      </w:r>
      <w:r w:rsidR="00220108" w:rsidRPr="00220108">
        <w:rPr>
          <w:rFonts w:ascii="Sylfaen" w:hAnsi="Sylfaen" w:cs="Sylfaen"/>
          <w:sz w:val="24"/>
        </w:rPr>
        <w:t xml:space="preserve"> </w:t>
      </w:r>
      <w:r w:rsidRPr="004D449D">
        <w:rPr>
          <w:rFonts w:ascii="Sylfaen" w:hAnsi="Sylfaen" w:cs="Sylfaen"/>
          <w:sz w:val="24"/>
        </w:rPr>
        <w:t xml:space="preserve">Евразии: Западная Европа - Западный Китай, Север - Юг, </w:t>
      </w:r>
      <w:r w:rsidRPr="004D449D">
        <w:rPr>
          <w:rFonts w:ascii="Sylfaen" w:hAnsi="Sylfaen" w:cs="Sylfaen"/>
          <w:sz w:val="24"/>
        </w:rPr>
        <w:lastRenderedPageBreak/>
        <w:t>Восток - Запад и Северный морской путь</w:t>
      </w:r>
      <w:r w:rsidR="00A51C4B">
        <w:rPr>
          <w:rStyle w:val="FootnoteReference"/>
          <w:rFonts w:ascii="Sylfaen" w:hAnsi="Sylfaen" w:cs="Sylfaen"/>
          <w:sz w:val="24"/>
        </w:rPr>
        <w:footnoteReference w:id="65"/>
      </w:r>
      <w:r w:rsidRPr="004D449D">
        <w:rPr>
          <w:rFonts w:ascii="Sylfaen" w:hAnsi="Sylfaen" w:cs="Sylfaen"/>
          <w:sz w:val="24"/>
        </w:rPr>
        <w:t>.</w:t>
      </w:r>
    </w:p>
    <w:p w14:paraId="2E0D2A4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рамках развития международного сотрудничества в области железнодорожного транспорта и в целях повышения его конкурентоспособности и развития международных перевозок в евразийском регионе 18 января 2017 г. подписан Меморандум о взаимопонимании между Комиссией и Международной ассоциацией «Координационный Совет по Транссибирским перевозкам» (КСТП), а 5 мая 2017 г. подписан Меморандум о взаимопонимании между Комиссией и Международным союзом железных дорог (МСЖД).</w:t>
      </w:r>
    </w:p>
    <w:p w14:paraId="4A1B744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прошло 4 раунда переговоров между Социалистической Республикой Вьетнам и государствами - членами ЕАЭС по подписанию Протокола между центральными таможенными органами сторон по реализации обмена в соответствии со Статьей 5.7 Соглашения между Евразийским экономическим союзом и Социалистической Республикой Вьетнам, подписанного 29 мая 2015 г. Подписание протокола запланировано на первую половину 2018 г., а начало обмена информацией - с 5 октября 2018 г.</w:t>
      </w:r>
    </w:p>
    <w:p w14:paraId="1A47BDA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в соответствии со статьей 4.29 Соглашения, Решением Коллегии от 11 июля 2017 г. № 86 перечень общих процессов в рамках Союза, утвержденный Решением Коллегии от 14 апреля 2015 г. № 29, дополнен общим процессом «Обеспечение реализации электронного информационного обмена между государствами - членами Евразийского экономического союза и третьими странами в рамках электронной системы сертификации и верификации происхождения товаров».</w:t>
      </w:r>
    </w:p>
    <w:p w14:paraId="4D427F1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в соответствии с Распоряжением Совета Комиссии № 21 от 18 октября 2016 г. «О формировании совместной исследовательской группы по изучению вопроса о целесообразности заключения соглашения о свободной торговле с Республикой Сингапур» проводилось соответствующее совместное исследование при участии экспертов Комиссии, государств - членов Союза и Министерства промышленности и торговли Республики Сингапур. По итогам работы группы стороны перешли к проведению непосредственных переговоров о заключении соглашения о свободной торговле.</w:t>
      </w:r>
    </w:p>
    <w:p w14:paraId="0B115DC9"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22 августа 2017 г. принято Распоряжение Совета № 25, в соответствии с которым была завершена работа совместной исследовательской группы по изучению целесообразности заключения соглашения о свободной торговле с Республикой Корея. Взаимодействие с корейскими партнерами в среднесрочной перспективе было решено осуществлять в рамках Меморандума о взаимопонимании между Комиссией и Министерством торговли, промышленности и энергетики Республики Корея, подписанного в ноябре 2015 г.</w:t>
      </w:r>
    </w:p>
    <w:p w14:paraId="34479AB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Также в 2017 г. Комиссией и государствами - членами Союза активно велась работа по уже запущенным переговорным трекам по заключению соглашений о свободной торговле с Исламской Республикой Иран,</w:t>
      </w:r>
      <w:r w:rsidR="00220108" w:rsidRPr="00220108">
        <w:rPr>
          <w:rFonts w:ascii="Sylfaen" w:hAnsi="Sylfaen" w:cs="Sylfaen"/>
          <w:sz w:val="24"/>
        </w:rPr>
        <w:t xml:space="preserve"> </w:t>
      </w:r>
      <w:r w:rsidRPr="004D449D">
        <w:rPr>
          <w:rFonts w:ascii="Sylfaen" w:hAnsi="Sylfaen" w:cs="Sylfaen"/>
          <w:sz w:val="24"/>
        </w:rPr>
        <w:t xml:space="preserve">Республикой Сербия, Арабской </w:t>
      </w:r>
      <w:r w:rsidRPr="004D449D">
        <w:rPr>
          <w:rFonts w:ascii="Sylfaen" w:hAnsi="Sylfaen" w:cs="Sylfaen"/>
          <w:sz w:val="24"/>
        </w:rPr>
        <w:lastRenderedPageBreak/>
        <w:t>Республикой Египет, Государством Израиль, Республикой Индия.</w:t>
      </w:r>
    </w:p>
    <w:p w14:paraId="3A086A1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того, на заседании Совета Комиссии 15 сентября 2017 г. был рассмотрен проект Соглашения о порядке и условиях устранения технических барьеров во взаимной торговле с третьими странами. В рамках заседания проект был одобрен и направлен на внутригосударственные процедуры.</w:t>
      </w:r>
    </w:p>
    <w:p w14:paraId="6FDB43AE"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Повышение эффективности участия Союза в многосторонней торговой системе</w:t>
      </w:r>
    </w:p>
    <w:p w14:paraId="49C05B0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рамках процесса присоединения Республики Беларусь к ВТО была продолжена работа по приведению республиканского законодательства в соответствие с нормами ВТО. На данный момент все государства - члены Союза, кроме Беларуси, являются участниками ВТО. В настоящее время Беларусь находится на этапе подготовки Доклада Рабочей группы и согласования двусторонних договорённостей по доступу на рынок товаров и услуг. В декабре 2017 г. Беларусь также приняла участие в 11-й министерской конференции ВТО, на полях которой белорусская делегация провела ряд двусторонних переговоров, в результате чего число членов ВТО, с которыми были подписаны протоколы, фиксирующие доступ на рынок товаров и услуг, достигло 16</w:t>
      </w:r>
      <w:r w:rsidR="00A51C4B">
        <w:rPr>
          <w:rStyle w:val="FootnoteReference"/>
          <w:rFonts w:ascii="Sylfaen" w:hAnsi="Sylfaen" w:cs="Sylfaen"/>
          <w:sz w:val="24"/>
        </w:rPr>
        <w:footnoteReference w:id="66"/>
      </w:r>
      <w:r w:rsidRPr="004D449D">
        <w:rPr>
          <w:rFonts w:ascii="Sylfaen" w:hAnsi="Sylfaen" w:cs="Sylfaen"/>
          <w:sz w:val="24"/>
        </w:rPr>
        <w:t>. С рядом членов ВТО были сближены позиции, что позволило выйти на двусторонние итоговые договоренности по доступу на рынки товаров и услуг в ближайшее время</w:t>
      </w:r>
      <w:r w:rsidR="00A51C4B">
        <w:rPr>
          <w:rStyle w:val="FootnoteReference"/>
          <w:rFonts w:ascii="Sylfaen" w:hAnsi="Sylfaen" w:cs="Sylfaen"/>
          <w:sz w:val="24"/>
        </w:rPr>
        <w:footnoteReference w:id="67"/>
      </w:r>
      <w:r w:rsidRPr="004D449D">
        <w:rPr>
          <w:rFonts w:ascii="Sylfaen" w:hAnsi="Sylfaen" w:cs="Sylfaen"/>
          <w:sz w:val="24"/>
        </w:rPr>
        <w:t xml:space="preserve"> .</w:t>
      </w:r>
    </w:p>
    <w:p w14:paraId="7371F0D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соответствии с запросом Белорусской Стороны от 1 августа 2017 г. № 11750 на площадке Комиссии инициирована работа по координации позиций государств-членов, в частности по вопросам технического регулирования, для дальнейшего представления на площадке ВТО. На площадке Комиссии проведены координационные встречи с участием государств - членов ЕАЭС.</w:t>
      </w:r>
    </w:p>
    <w:p w14:paraId="7531504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течение 2017 г. был подготовлен и согласован с государствами - членами ЕАЭС ряд проектов нотификаций по мерам Союза для единообразного представления в ВТО. В частности, на основе информации Комиссии подготовлены нотификации по принятым на уровне ЕАЭС санитарным и фитосанитарным мерам, ветеринарным меры, нетарифным меры, мерам защиты внутреннего рынка, мерам в отношении технических барьеров в торговле и другим.</w:t>
      </w:r>
    </w:p>
    <w:p w14:paraId="7FE0BA0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Проведен анализ правовых актов Союза на предмет соответствия нормам ВТО, в том числе, Таможенного кодекса ЕАЭС.</w:t>
      </w:r>
    </w:p>
    <w:p w14:paraId="6B4DBED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Проведен анализ проекта рекомендации Совета ЕЭК «О мерах по продвижению совместно произведенной продукции приоритетных отраслей государств - членов ЕАЭС на рынки третьих стран» на предмет соответствия нормам ВТО, по итогам внесены соответствующие изменения.</w:t>
      </w:r>
    </w:p>
    <w:p w14:paraId="209E1FC9"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Использование механизмов поддержки экспорта, включая кредитование, страхование и перестрахование, а также информационно-консультационную поддержку</w:t>
      </w:r>
    </w:p>
    <w:p w14:paraId="6D361CFC"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lastRenderedPageBreak/>
        <w:t xml:space="preserve">В Республике Беларусь в 2017 г. совместными усилиями двух крупнейших финансовых учреждений - ОАО «Белинвестбанк» и страховой компании «Белэксимгарант» - был реализован первый проект финансирования под уступку денежного требования (факторинг) при реализации экспортных контрактов в рамках содействия развитию экспорта товаров. Данный инструмент позволяет предприятиям-экспортерам получать финансирование внешнеторговых сделок в иностранной валюте по коммерчески ориентированным ставкам </w:t>
      </w:r>
      <w:r w:rsidRPr="004D449D">
        <w:rPr>
          <w:rFonts w:ascii="Sylfaen" w:hAnsi="Sylfaen" w:cs="Sylfaen"/>
          <w:sz w:val="24"/>
          <w:lang w:eastAsia="en-US" w:bidi="en-US"/>
        </w:rPr>
        <w:t>(</w:t>
      </w:r>
      <w:r w:rsidRPr="004D449D">
        <w:rPr>
          <w:rFonts w:ascii="Sylfaen" w:hAnsi="Sylfaen" w:cs="Sylfaen"/>
          <w:sz w:val="24"/>
          <w:lang w:val="en-US" w:eastAsia="en-US" w:bidi="en-US"/>
        </w:rPr>
        <w:t>CIRRs</w:t>
      </w:r>
      <w:r w:rsidRPr="004D449D">
        <w:rPr>
          <w:rFonts w:ascii="Sylfaen" w:hAnsi="Sylfaen" w:cs="Sylfaen"/>
          <w:sz w:val="24"/>
          <w:lang w:eastAsia="en-US" w:bidi="en-US"/>
        </w:rPr>
        <w:t xml:space="preserve">), </w:t>
      </w:r>
      <w:r w:rsidRPr="004D449D">
        <w:rPr>
          <w:rFonts w:ascii="Sylfaen" w:hAnsi="Sylfaen" w:cs="Sylfaen"/>
          <w:sz w:val="24"/>
        </w:rPr>
        <w:t>в российских рублях — в размере двух</w:t>
      </w:r>
      <w:r w:rsidR="00220108" w:rsidRPr="00220108">
        <w:rPr>
          <w:rFonts w:ascii="Sylfaen" w:hAnsi="Sylfaen" w:cs="Sylfaen"/>
          <w:sz w:val="24"/>
        </w:rPr>
        <w:t xml:space="preserve"> </w:t>
      </w:r>
      <w:r w:rsidRPr="004D449D">
        <w:rPr>
          <w:rFonts w:ascii="Sylfaen" w:hAnsi="Sylfaen" w:cs="Sylfaen"/>
          <w:sz w:val="24"/>
        </w:rPr>
        <w:t>третьих ключевой ставки, установленной Центральным банком РФ</w:t>
      </w:r>
      <w:r w:rsidR="00A51C4B">
        <w:rPr>
          <w:rStyle w:val="FootnoteReference"/>
          <w:rFonts w:ascii="Sylfaen" w:hAnsi="Sylfaen" w:cs="Sylfaen"/>
          <w:sz w:val="24"/>
        </w:rPr>
        <w:footnoteReference w:id="68"/>
      </w:r>
      <w:r w:rsidRPr="004D449D">
        <w:rPr>
          <w:rFonts w:ascii="Sylfaen" w:hAnsi="Sylfaen" w:cs="Sylfaen"/>
          <w:sz w:val="24"/>
        </w:rPr>
        <w:t>.</w:t>
      </w:r>
    </w:p>
    <w:p w14:paraId="5002EDE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Казахстан в 2017 г. была принята программа «Национальная экспортная стратегия Республики Казахстан» на 2018-2022 гг., одной из основных задач которой является усиление институциональных основ поддержки экспортеров и внедрение финансовых и нефинансовых мер их поддержки. Для решения поставленных задач отмечаются такие меры, как создание «единого окна» для экспортеров, разработка комплекса предложений для финансовой поддержки экспорта на уровне 1% ВВП с акцентом на промежуточную продукцию и готовые товары обрабатывающей промышленности, развитие нефинансовых мер в виде предоставления информации, обучения и консультирования экспортеров, установления деловых</w:t>
      </w:r>
      <w:r w:rsidR="00220108" w:rsidRPr="00220108">
        <w:rPr>
          <w:rFonts w:ascii="Sylfaen" w:hAnsi="Sylfaen" w:cs="Sylfaen"/>
          <w:sz w:val="24"/>
        </w:rPr>
        <w:t xml:space="preserve"> </w:t>
      </w:r>
      <w:r w:rsidRPr="004D449D">
        <w:rPr>
          <w:rFonts w:ascii="Sylfaen" w:hAnsi="Sylfaen" w:cs="Sylfaen"/>
          <w:sz w:val="24"/>
        </w:rPr>
        <w:t>контактов и т.д.</w:t>
      </w:r>
      <w:r w:rsidR="00A51C4B">
        <w:rPr>
          <w:rStyle w:val="FootnoteReference"/>
          <w:rFonts w:ascii="Sylfaen" w:hAnsi="Sylfaen" w:cs="Sylfaen"/>
          <w:sz w:val="24"/>
        </w:rPr>
        <w:footnoteReference w:id="69"/>
      </w:r>
    </w:p>
    <w:p w14:paraId="1B6C8DC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Кыргызской Республике в 2017 г. было проведено две широкомасштабных кампании «Караван экспорта» и «Караван экспорта 2», целью которых было информирование отечественных производителей о выгодах, условиях экспорта, важности упаковки и маркировки товаров, услугах по продвижению экспорта, методах ценообразования, стратегиях выхода на другие рынки и т.п.</w:t>
      </w:r>
      <w:r w:rsidR="00A51C4B">
        <w:rPr>
          <w:rStyle w:val="FootnoteReference"/>
          <w:rFonts w:ascii="Sylfaen" w:hAnsi="Sylfaen" w:cs="Sylfaen"/>
          <w:sz w:val="24"/>
        </w:rPr>
        <w:footnoteReference w:id="70"/>
      </w:r>
      <w:r w:rsidRPr="004D449D">
        <w:rPr>
          <w:rFonts w:ascii="Sylfaen" w:hAnsi="Sylfaen" w:cs="Sylfaen"/>
          <w:sz w:val="24"/>
        </w:rPr>
        <w:t>.</w:t>
      </w:r>
    </w:p>
    <w:p w14:paraId="2E88F31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России в рамках реализации приоритетного проекта «Международная кооперация и экспорт в промышленности» в 2017 г. было принято четыре Стратегии развития экспорта продукции автомобильной, авиационной продукции, продукции железнодорожного и сельскохозяйственного машиностроения на период до 2025 г.</w:t>
      </w:r>
      <w:r w:rsidR="00A51C4B">
        <w:rPr>
          <w:rStyle w:val="FootnoteReference"/>
          <w:rFonts w:ascii="Sylfaen" w:hAnsi="Sylfaen" w:cs="Sylfaen"/>
          <w:sz w:val="24"/>
        </w:rPr>
        <w:footnoteReference w:id="71"/>
      </w:r>
      <w:r w:rsidRPr="004D449D">
        <w:rPr>
          <w:rFonts w:ascii="Sylfaen" w:hAnsi="Sylfaen" w:cs="Sylfaen"/>
          <w:sz w:val="24"/>
        </w:rPr>
        <w:t xml:space="preserve"> В Стратегиях среди мер поддержки экспорта выделяются налоговые вычеты, финансирование части затрат, предоставление субсидий, предоставление госгарантий и страхования, снижение издержек экспортеров путем обнуления ввозных пошлин на оборудование, упрощение таможенных процедур и отчетности, финансовые стимулы для зарубежных покупателей, создание центров информационной</w:t>
      </w:r>
      <w:r w:rsidR="00220108" w:rsidRPr="00220108">
        <w:rPr>
          <w:rFonts w:ascii="Sylfaen" w:hAnsi="Sylfaen" w:cs="Sylfaen"/>
          <w:sz w:val="24"/>
        </w:rPr>
        <w:t xml:space="preserve"> </w:t>
      </w:r>
      <w:r w:rsidRPr="004D449D">
        <w:rPr>
          <w:rFonts w:ascii="Sylfaen" w:hAnsi="Sylfaen" w:cs="Sylfaen"/>
          <w:sz w:val="24"/>
        </w:rPr>
        <w:t>поддержки и другие инструменты поддержки экспорта</w:t>
      </w:r>
      <w:r w:rsidR="00A51C4B">
        <w:rPr>
          <w:rStyle w:val="FootnoteReference"/>
          <w:rFonts w:ascii="Sylfaen" w:hAnsi="Sylfaen" w:cs="Sylfaen"/>
          <w:sz w:val="24"/>
        </w:rPr>
        <w:footnoteReference w:id="72"/>
      </w:r>
      <w:r w:rsidRPr="004D449D">
        <w:rPr>
          <w:rFonts w:ascii="Sylfaen" w:hAnsi="Sylfaen" w:cs="Sylfaen"/>
          <w:sz w:val="24"/>
        </w:rPr>
        <w:t xml:space="preserve">. Кроме того, в ноябре 2017 г. Госдумой были приняты поправки в Налоговый кодекс, предусматривающие обнуление НДС при реэкспорте товаров, а также распространение нулевой ставки не только на реэкспортируемые товары, но и на </w:t>
      </w:r>
      <w:r w:rsidRPr="004D449D">
        <w:rPr>
          <w:rFonts w:ascii="Sylfaen" w:hAnsi="Sylfaen" w:cs="Sylfaen"/>
          <w:sz w:val="24"/>
        </w:rPr>
        <w:lastRenderedPageBreak/>
        <w:t>услуги по их перевозке и транспортировке</w:t>
      </w:r>
      <w:r w:rsidR="00A51C4B">
        <w:rPr>
          <w:rStyle w:val="FootnoteReference"/>
          <w:rFonts w:ascii="Sylfaen" w:hAnsi="Sylfaen" w:cs="Sylfaen"/>
          <w:sz w:val="24"/>
        </w:rPr>
        <w:footnoteReference w:id="73"/>
      </w:r>
      <w:r w:rsidRPr="004D449D">
        <w:rPr>
          <w:rFonts w:ascii="Sylfaen" w:hAnsi="Sylfaen" w:cs="Sylfaen"/>
          <w:sz w:val="24"/>
        </w:rPr>
        <w:t>.</w:t>
      </w:r>
    </w:p>
    <w:p w14:paraId="56E2E91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Комиссии действует Рабочая группа по вопросам финансовой поддержки экспорта. В состав рабочей группы вошли представители экспортно-кредитных агентств, заинтересованных министерств, центральных банков стран Союза и представители ряда департаментов ЕЭК. По итогам деятельности в 2017 г. рабочей группой подготовлен аналитический материал и предложения правительствам государств-членов Союза по вопросу совершенствования мер государственной поддержки экспорта товаров, работ и услуг на пространстве ЕАЭС, которые рассмотрены на заседании Совета Комиссии 15 сентября 2017 г.</w:t>
      </w:r>
    </w:p>
    <w:p w14:paraId="5A13E2A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рамках рабочей группы были выработаны общие подходы по координации деятельности экспортных кредитных агентств. Также 24 августа 2017 г. на площадке форума «Евразийская неделя» в г. Астана в рамках «ЭКСПО-2017» подписан Меморандум о сотрудничестве между экспортно- кредитными агентствами государств-членов ЕАЭС. 1Делью Меморандума является развитие и укрепление экспортного потенциала Союза, стимулирование экспорта товаров, работ и услуг, произведенных в рамках Союза в третьи страны, а также стимулирование как многостороннего, так и двухстороннего товарооборота между государствами - членами Союза. Для достижения этих целей, Стороны намерены создать систему регулярного обмена опытом и информацией по вопросам сотрудничества в рамках совместных проектов и разработки предложений по совершенствованию законодательства, а также по общим вопросам в части страхования экспортных кредитов.</w:t>
      </w:r>
    </w:p>
    <w:p w14:paraId="47EA0FD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Комиссией разработано два отраслевых акта по поддержке экспорта совместно произведенной продукции - Рекомендация Коллегии Комиссии от 13 ноября 2016 г. «О мерах по поддержке производителей продукции легкой промышленности в целях продвижения товаров на рынки третьих стран» и Решение Евразийского межправительственного совета от 7 марта 2017 № 9 «О развитии экспорта на рынки третьих стран продукции сельскохозяйственного машиностроения».</w:t>
      </w:r>
    </w:p>
    <w:p w14:paraId="796E33F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этого, Советом Евразийской экономической комиссии 20 декабря 2017 г. принята Рекомендация № 3 «О мерах по продвижению совместно произведенной продукции приоритетных отраслей государств - членов Евразийского экономического союза на рынки третьих стран». С учетом экспортных отраслевых приоритетов государств-членов, Рекомендацией определен перечень мероприятий, направленных на стимулирование промышленной кооперации производителей Союза в сфере производства</w:t>
      </w:r>
      <w:r w:rsidR="00220108" w:rsidRPr="00220108">
        <w:rPr>
          <w:rFonts w:ascii="Sylfaen" w:hAnsi="Sylfaen" w:cs="Sylfaen"/>
          <w:sz w:val="24"/>
        </w:rPr>
        <w:t xml:space="preserve"> </w:t>
      </w:r>
      <w:r w:rsidRPr="004D449D">
        <w:rPr>
          <w:rFonts w:ascii="Sylfaen" w:hAnsi="Sylfaen" w:cs="Sylfaen"/>
          <w:sz w:val="24"/>
        </w:rPr>
        <w:t>экспортоориентированной продукции, в том числе путем поддержки производителей совместной продукции на всех стадиях ее создания и производства, оптимизации логистики внутри Союза, процедур сертификации, информационно-консультационной поддержки экспортеров государств-членов на рынках третьих стран.</w:t>
      </w:r>
    </w:p>
    <w:p w14:paraId="13CBB56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Реализация этих документов позволит создать условия для стимулирования </w:t>
      </w:r>
      <w:r w:rsidRPr="004D449D">
        <w:rPr>
          <w:rFonts w:ascii="Sylfaen" w:hAnsi="Sylfaen" w:cs="Sylfaen"/>
          <w:sz w:val="24"/>
        </w:rPr>
        <w:lastRenderedPageBreak/>
        <w:t>промышленной кооперации в экспортоориентированных секторах промышленности и повысить конкурентоспособность производителей Союза на внешних рынках за счет минимизации издержек выхода и встраивания их в международные цепочки создания добавленной стоимости.</w:t>
      </w:r>
    </w:p>
    <w:p w14:paraId="08FA7527"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Развитие транспортно-логистической инфраструктуры Союза</w:t>
      </w:r>
    </w:p>
    <w:p w14:paraId="0B6D190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14 августа 2017 г. был утвержден План мероприятий («дорожная карта») по реализации Основных направлений и этапов реализации скоординированной (согласованной) транспортной политики ЕАЭС в части воздушного транспорта на 2018-2020 гг., а 25 октября 2017 г. утвержден План мероприятий («дорожная карта») по реализации Основных направлений и этапов реализации скоординированной (согласованной) транспортной политики ЕАЭС по другим видам транспорта.</w:t>
      </w:r>
    </w:p>
    <w:p w14:paraId="7365324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«Дорожные карты» включены мероприятия по развитию транспортнологистической инфраструктуры Союза. «Дорожные карты» предусматривают подготовку проектов 3 международных договоров, около 40 актов Комиссии и 29 аналитических докладов. Практическая реализация указанных и последующих «дорожных карт» позволит снять до 2025 г. существующие ограничения на осуществление перевозок всеми видами транспорта в рамках Союза, что будет способствовать увеличению грузопотоков в рамках взаимной и внешней торговли государств-членов, реализации в увязке с товарными рынками и промышленным производством крупномасштабных транспортных проектов.</w:t>
      </w:r>
    </w:p>
    <w:p w14:paraId="0C468B6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Транспорт станет более доступным для населения за счет повышения качества услуг и снижения тарифов на перевозки. Для бизнеса будет создана конкурентная среда с равными условиями доступа на рынок транспортных услуг, одинаковыми правилами и условиями перевозок.</w:t>
      </w:r>
    </w:p>
    <w:p w14:paraId="095E146F"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Развитие транзитных и смешанных перевозок в целях ускорения доставки грузов и улучшения качества транспортных услуг</w:t>
      </w:r>
    </w:p>
    <w:p w14:paraId="7942940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Комиссией на постоянной основе проводится мониторинг развития транзитных перевозок железнодорожным транспортом в рамках проекта «Объединенная транспортно-логистическая компания» (АО «ОТЛК»).</w:t>
      </w:r>
    </w:p>
    <w:p w14:paraId="0A35C91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2017 г. было отправлено 2102 контейнерных поезда, а количество регулярных маршрутов в сервисах АО «ОТЛК» достигло 48. Ежедневно компания осуществляла отправку до 15 контейнерных поездов. Также в рамках реализации проекта </w:t>
      </w:r>
      <w:r w:rsidRPr="004D449D">
        <w:rPr>
          <w:rFonts w:ascii="Sylfaen" w:hAnsi="Sylfaen" w:cs="Sylfaen"/>
          <w:sz w:val="24"/>
          <w:lang w:eastAsia="en-US" w:bidi="en-US"/>
        </w:rPr>
        <w:t>«</w:t>
      </w:r>
      <w:r w:rsidRPr="004D449D">
        <w:rPr>
          <w:rFonts w:ascii="Sylfaen" w:hAnsi="Sylfaen" w:cs="Sylfaen"/>
          <w:sz w:val="24"/>
          <w:lang w:val="en-US" w:eastAsia="en-US" w:bidi="en-US"/>
        </w:rPr>
        <w:t>XT</w:t>
      </w:r>
      <w:r w:rsidRPr="004D449D">
        <w:rPr>
          <w:rFonts w:ascii="Sylfaen" w:hAnsi="Sylfaen" w:cs="Sylfaen"/>
          <w:sz w:val="24"/>
          <w:lang w:eastAsia="en-US" w:bidi="en-US"/>
        </w:rPr>
        <w:t xml:space="preserve"> </w:t>
      </w:r>
      <w:r w:rsidRPr="004D449D">
        <w:rPr>
          <w:rFonts w:ascii="Sylfaen" w:hAnsi="Sylfaen" w:cs="Sylfaen"/>
          <w:sz w:val="24"/>
          <w:lang w:val="en-US" w:eastAsia="en-US" w:bidi="en-US"/>
        </w:rPr>
        <w:t>train</w:t>
      </w:r>
      <w:r w:rsidRPr="004D449D">
        <w:rPr>
          <w:rFonts w:ascii="Sylfaen" w:hAnsi="Sylfaen" w:cs="Sylfaen"/>
          <w:sz w:val="24"/>
          <w:lang w:eastAsia="en-US" w:bidi="en-US"/>
        </w:rPr>
        <w:t xml:space="preserve">» </w:t>
      </w:r>
      <w:r w:rsidRPr="004D449D">
        <w:rPr>
          <w:rFonts w:ascii="Sylfaen" w:hAnsi="Sylfaen" w:cs="Sylfaen"/>
          <w:sz w:val="24"/>
        </w:rPr>
        <w:t>было организовано более 115 длинносоставных поездов, включавших до 100 условных вагонов. Все это позволило АО «ОТЛК»</w:t>
      </w:r>
      <w:r w:rsidR="00220108" w:rsidRPr="00220108">
        <w:rPr>
          <w:rFonts w:ascii="Sylfaen" w:hAnsi="Sylfaen" w:cs="Sylfaen"/>
          <w:sz w:val="24"/>
        </w:rPr>
        <w:t xml:space="preserve"> </w:t>
      </w:r>
      <w:r w:rsidRPr="004D449D">
        <w:rPr>
          <w:rFonts w:ascii="Sylfaen" w:hAnsi="Sylfaen" w:cs="Sylfaen"/>
          <w:sz w:val="24"/>
        </w:rPr>
        <w:t>увеличить объем транзитных перевозок в сообщении Азия-Европа-Азия в 2017 г. до 101,7 тыс. двадцатифунтовых эквивалентов, что на 75% больше, чем в 2016 г.</w:t>
      </w:r>
    </w:p>
    <w:p w14:paraId="4C70CE5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Планом мероприятий («дорожной картой») по реализации основных направлений и этапов реализации скоординированной (согласованной) транспортной политики на 2018-2020 гг. предусматривается проведение анализа законодательств государств-членов в сфере осуществления транзитных и мультимодальных перевозок в целях подготовки рекомендаций по их развитию.</w:t>
      </w:r>
    </w:p>
    <w:p w14:paraId="1EA824DD"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lastRenderedPageBreak/>
        <w:t>Активизация взаимной торговли государств-членов</w:t>
      </w:r>
    </w:p>
    <w:p w14:paraId="339AFC8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Комиссией был подготовлен и рассмотрен на заседании Евразийского межправительственного совета 2 февраля 2018 г. доклад «О состоянии взаимной торговли между государствами - членами</w:t>
      </w:r>
      <w:r>
        <w:rPr>
          <w:rFonts w:ascii="Sylfaen" w:hAnsi="Sylfaen" w:cs="Sylfaen"/>
          <w:sz w:val="24"/>
        </w:rPr>
        <w:t xml:space="preserve"> </w:t>
      </w:r>
      <w:r w:rsidRPr="004D449D">
        <w:rPr>
          <w:rFonts w:ascii="Sylfaen" w:hAnsi="Sylfaen" w:cs="Sylfaen"/>
          <w:sz w:val="24"/>
        </w:rPr>
        <w:t>Евразийского экономического союза в</w:t>
      </w:r>
      <w:r>
        <w:rPr>
          <w:rFonts w:ascii="Sylfaen" w:hAnsi="Sylfaen" w:cs="Sylfaen"/>
          <w:sz w:val="24"/>
        </w:rPr>
        <w:t xml:space="preserve"> </w:t>
      </w:r>
      <w:r w:rsidRPr="004D449D">
        <w:rPr>
          <w:rFonts w:ascii="Sylfaen" w:hAnsi="Sylfaen" w:cs="Sylfaen"/>
          <w:sz w:val="24"/>
        </w:rPr>
        <w:t>2017</w:t>
      </w:r>
      <w:r>
        <w:rPr>
          <w:rFonts w:ascii="Sylfaen" w:hAnsi="Sylfaen" w:cs="Sylfaen"/>
          <w:sz w:val="24"/>
        </w:rPr>
        <w:t xml:space="preserve"> </w:t>
      </w:r>
      <w:r w:rsidRPr="004D449D">
        <w:rPr>
          <w:rFonts w:ascii="Sylfaen" w:hAnsi="Sylfaen" w:cs="Sylfaen"/>
          <w:sz w:val="24"/>
        </w:rPr>
        <w:t>г.» (Распоряжение</w:t>
      </w:r>
      <w:r>
        <w:rPr>
          <w:rFonts w:ascii="Sylfaen" w:hAnsi="Sylfaen" w:cs="Sylfaen"/>
          <w:sz w:val="24"/>
        </w:rPr>
        <w:t xml:space="preserve"> </w:t>
      </w:r>
      <w:r w:rsidRPr="004D449D">
        <w:rPr>
          <w:rFonts w:ascii="Sylfaen" w:hAnsi="Sylfaen" w:cs="Sylfaen"/>
          <w:sz w:val="24"/>
        </w:rPr>
        <w:t>Евразийского межправительственного совета № 3), в рамках которого был проведен анализ несырьевого экспорта товаров во взаимной торговле государств - членов Союза. Как отмечается в докладе, в 2017 г. наблюдалась положительная динамика развития взаимной торговли между государствами - членами ЕАЭС - спад в последние годы сменился существенным ростом показателей взаимного товарооборота по всем странам-партнерам. Возобновление экономического роста в государствах-членах способствовало формированию высокого регионального спроса на продукцию ЕАЭС, опередившего внешний валовой спрос, что свидетельствует о повышении значимости единого рынка. Республики Армения и Кыргызская Республика достигли темпов восстановления докризисных объемов взаимной торговли.</w:t>
      </w:r>
    </w:p>
    <w:p w14:paraId="5BD7143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Произошедшее в 2017 г. укрепление торгово-экономических отношений между государствами - членами Союза является свидетельством долгосрочного взаимного интереса бизнеса ЕАЭС и возможности использования государствами-членами текущего момента для принятия решений по углублению интеграционного взаимодействия.</w:t>
      </w:r>
    </w:p>
    <w:p w14:paraId="652EA8B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подготовлены и представлены в Комиссию прогнозные значения индикативных показателей развития агропромышленного комплекса, спроса и предложения по основным видам сельскохозяйственной продукции, продовольствию, льноволокну, кожевенному сырью, хлопковолокну и шерсти. Комиссией были сформированы Совместные прогнозы развития агропромышленного комплекса, спроса и предложения государств-членов ЕАЭС на 2017-2018 г., которые одобрены Решением Совета ЕЭК от 20 декабря 2017 г. Итогом данной работы явилась проведенная оценка динамики и направлений развития сельскохозяйственного производства, состояния продовольственной безопасности, экономического положения отраслей агропромышленного комплекса.</w:t>
      </w:r>
    </w:p>
    <w:p w14:paraId="4A0C4E0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lang w:eastAsia="en-US" w:bidi="en-US"/>
        </w:rPr>
        <w:t xml:space="preserve">11 </w:t>
      </w:r>
      <w:r w:rsidRPr="004D449D">
        <w:rPr>
          <w:rFonts w:ascii="Sylfaen" w:hAnsi="Sylfaen" w:cs="Sylfaen"/>
          <w:sz w:val="24"/>
        </w:rPr>
        <w:t>октября 2017 г. Решением Высшего евразийского экономического совета №</w:t>
      </w:r>
      <w:r>
        <w:rPr>
          <w:rFonts w:ascii="Sylfaen" w:hAnsi="Sylfaen" w:cs="Sylfaen"/>
          <w:sz w:val="24"/>
        </w:rPr>
        <w:t xml:space="preserve"> </w:t>
      </w:r>
      <w:r w:rsidRPr="004D449D">
        <w:rPr>
          <w:rFonts w:ascii="Sylfaen" w:hAnsi="Sylfaen" w:cs="Sylfaen"/>
          <w:sz w:val="24"/>
        </w:rPr>
        <w:t>12 утверждены Основные направления реализации цифровой повестки ЕАЭС до 2025 г. Основные направления определяют общие подходы проработки инициатив и реализации проектов цифровой повестки по следующим направлениям: цифровая трансформация отраслей экономики и кросс-отраслевая трансформация в Союзе; цифровая трансформация рынков товаров и услуг, капитала и труда; цифровая трансформация процессов управления интеграционных процессов в Союзе; развитие цифровой инфраструктуры и обеспечение защищенности цифровых процессов.</w:t>
      </w:r>
    </w:p>
    <w:p w14:paraId="551B1812"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 качестве приложения к Основным направлениям утверждены приоритеты для проработки инициатив в рамках реализации цифровой повестки ЕАЭС: цифровая прослеживаемость продукции, товаров, услуг и цифровых активов; цифровая промышленная кооперация; соглашение об обороте данных; цифровая </w:t>
      </w:r>
      <w:r w:rsidRPr="004D449D">
        <w:rPr>
          <w:rFonts w:ascii="Sylfaen" w:hAnsi="Sylfaen" w:cs="Sylfaen"/>
          <w:sz w:val="24"/>
        </w:rPr>
        <w:lastRenderedPageBreak/>
        <w:t>торговля; цифровые транспортные коридоры.</w:t>
      </w:r>
    </w:p>
    <w:p w14:paraId="0B77521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Совместно с правительствами государств - членов Евразийского экономического союза Евразийская экономическая комиссия перешла к практической реализации положений и приоритетов Основных направлений реализации цифровой повестки Союза до 2025 г.</w:t>
      </w:r>
    </w:p>
    <w:p w14:paraId="7B95173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На площадке Комиссии запущен процесс проработки цифровых инициатив, ведется работа по оценке, анализу, экспертному обсуждению поступающих цифровых инициатив.</w:t>
      </w:r>
    </w:p>
    <w:p w14:paraId="21A98C07"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Совершенствование таможенного регулирования и упрощение порядка совершения таможенных операций в Союзе</w:t>
      </w:r>
    </w:p>
    <w:p w14:paraId="006DAE9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2017 г. была проделана обширная работа по проведению во всех странах Союза внутригосударственных процедур, необходимых для вступления в силу Договора о Таможенном кодексе Евразийского экономического союза 1 января 2018 г. Итогом работы в 2017 г. стало завершение внутригосударственных процедур и вступление с 1 января 2018 г. Таможенного кодекса в силу.</w:t>
      </w:r>
    </w:p>
    <w:p w14:paraId="0AD01D6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Велась работа по приведению актов, входящих в право Союза, регулирующих таможенные правоотношения, в соответствие с Таможенным кодексом ЕАЭС. Во всех государствах - членах Союза подготовлены проекты законодательных актов, вносящих изменения в национальное законодательство в соответствии с компетенцией, определенной Таможенным кодексом ЕАЭС.</w:t>
      </w:r>
    </w:p>
    <w:p w14:paraId="6D0552A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Для обеспечения успешного функционирования Таможенного Кодекса Евразийского экономического союза и реализации его отсылочных норм разработаны и приняты более 35 решений Комиссии</w:t>
      </w:r>
      <w:r w:rsidR="00A51C4B">
        <w:rPr>
          <w:rStyle w:val="FootnoteReference"/>
          <w:rFonts w:ascii="Sylfaen" w:hAnsi="Sylfaen" w:cs="Sylfaen"/>
          <w:sz w:val="24"/>
        </w:rPr>
        <w:footnoteReference w:id="74"/>
      </w:r>
      <w:r w:rsidRPr="004D449D">
        <w:rPr>
          <w:rFonts w:ascii="Sylfaen" w:hAnsi="Sylfaen" w:cs="Sylfaen"/>
          <w:sz w:val="24"/>
        </w:rPr>
        <w:t>. Принятые решения направлены на регулирование вопросов совершения таможенных операций, таможенного декларирования, применения таможенных процедур таможенного транзита и свободной таможенной зоны, подтверждения статуса товаров для таможенных целей, принятия предварительных решений о происхождении товаров, деятельности уполномоченных экономических операторов, расчета</w:t>
      </w:r>
      <w:r w:rsidR="00220108" w:rsidRPr="00220108">
        <w:rPr>
          <w:rFonts w:ascii="Sylfaen" w:hAnsi="Sylfaen" w:cs="Sylfaen"/>
          <w:sz w:val="24"/>
        </w:rPr>
        <w:t xml:space="preserve"> </w:t>
      </w:r>
      <w:r w:rsidRPr="004D449D">
        <w:rPr>
          <w:rFonts w:ascii="Sylfaen" w:hAnsi="Sylfaen" w:cs="Sylfaen"/>
          <w:sz w:val="24"/>
        </w:rPr>
        <w:t>таможенных пошлин, налогов, специальных, антидемпинговых, компенсационных пошлин, перемещения физическими лицами товаров и транспортных средств для личного пользования, применения форматов и структур электронных документов, используемых при осуществлении таможенных операций, и др.</w:t>
      </w:r>
    </w:p>
    <w:p w14:paraId="0041ED7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Согласовано 9 проектов решений Коллегии Комиссии, регламентирующих представление предварительной информации при ввозе товаров на таможенную территорию всеми видами транспорта, порядок её регистрации и использования, которые планируется утвердить в первом полугодии 2018 г.</w:t>
      </w:r>
    </w:p>
    <w:p w14:paraId="7C409179"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Упрощение и ускорение таможенных операций для участников внешнеэкономической деятельности без потери качества таможенного контроля и иных видов контроля на таможенной границе Союза</w:t>
      </w:r>
    </w:p>
    <w:p w14:paraId="5419D095"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lastRenderedPageBreak/>
        <w:t>В сфере развития таможенных операций для участников внешнеэкономической деятельности государствами-членами и Комиссией были предприняты действия по их упрощению и ускорению. В Армении на платформе «Национальное единое окно внешней торговли Республики Армения» к настоящему времени внедрено 20 систем. Одна часть направлена на электронное взаимодействие таможенного органа и бизнеса, другая касается электронного предоставления разрешающих документов иными ведомствами, связанными с внешнеэкономической деятельностью. Благодаря нововведениям был упрощен и ускорен процесс перевозки товаров и транспортных средств, снизились расходы</w:t>
      </w:r>
      <w:r w:rsidR="00A51C4B">
        <w:rPr>
          <w:rStyle w:val="FootnoteReference"/>
          <w:rFonts w:ascii="Sylfaen" w:hAnsi="Sylfaen" w:cs="Sylfaen"/>
          <w:sz w:val="24"/>
        </w:rPr>
        <w:footnoteReference w:id="75"/>
      </w:r>
      <w:r w:rsidRPr="004D449D">
        <w:rPr>
          <w:rFonts w:ascii="Sylfaen" w:hAnsi="Sylfaen" w:cs="Sylfaen"/>
          <w:sz w:val="24"/>
        </w:rPr>
        <w:t>.</w:t>
      </w:r>
    </w:p>
    <w:p w14:paraId="7D63D57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Республике Казахстан, согласно Плану Нации «100 конкретных шагов», с 1 января 2018 г. (шаг 40) введен режим таможенной очистки «Постфактум», который позволил всем участникам ВЭД пользоваться товарами сразу после пересечения границы, а заполнение таможенной декларации осуществить в течение 10-40 дней после ввоза товара. «Единое окно» по экспортноимпортным операциям планируется запустить с начала 2019 г. При таможенной очистке товаров можно будет получить через единую электронную систему все необходимые разрешения государственных органов. На 1 августа 2017 г. системой было обработано уже 25 848 деклараций. С 1 октября 2017 г. Минфин также запустил модуль «Виртуальный склад» (шаг 39), призванный пресечь мошеннические операции</w:t>
      </w:r>
      <w:r w:rsidR="00A51C4B">
        <w:rPr>
          <w:rStyle w:val="FootnoteReference"/>
          <w:rFonts w:ascii="Sylfaen" w:hAnsi="Sylfaen" w:cs="Sylfaen"/>
          <w:sz w:val="24"/>
        </w:rPr>
        <w:footnoteReference w:id="76"/>
      </w:r>
      <w:r w:rsidRPr="004D449D">
        <w:rPr>
          <w:rFonts w:ascii="Sylfaen" w:hAnsi="Sylfaen" w:cs="Sylfaen"/>
          <w:sz w:val="24"/>
        </w:rPr>
        <w:t>.</w:t>
      </w:r>
    </w:p>
    <w:p w14:paraId="7A023C2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России в 2017 г. принята комплексная программа развития ФТС России на период до 2020 г., в рамках которой одним из основных направлений совершенствования межведомственного взаимодействия является развитие локальных инструментов механизма «единого окна». Среди механизмов выделяются следующие:</w:t>
      </w:r>
      <w:r>
        <w:rPr>
          <w:rFonts w:ascii="Sylfaen" w:hAnsi="Sylfaen" w:cs="Sylfaen"/>
          <w:sz w:val="24"/>
        </w:rPr>
        <w:t xml:space="preserve"> </w:t>
      </w:r>
      <w:r w:rsidRPr="004D449D">
        <w:rPr>
          <w:rFonts w:ascii="Sylfaen" w:hAnsi="Sylfaen" w:cs="Sylfaen"/>
          <w:sz w:val="24"/>
        </w:rPr>
        <w:t>электронное декларирование, автоматическое</w:t>
      </w:r>
      <w:r w:rsidR="00220108" w:rsidRPr="00220108">
        <w:rPr>
          <w:rFonts w:ascii="Sylfaen" w:hAnsi="Sylfaen" w:cs="Sylfaen"/>
          <w:sz w:val="24"/>
        </w:rPr>
        <w:t xml:space="preserve"> </w:t>
      </w:r>
      <w:r w:rsidRPr="004D449D">
        <w:rPr>
          <w:rFonts w:ascii="Sylfaen" w:hAnsi="Sylfaen" w:cs="Sylfaen"/>
          <w:sz w:val="24"/>
        </w:rPr>
        <w:t>принятие юридически значимых решений, реализация общих процессов</w:t>
      </w:r>
      <w:r w:rsidR="00220108" w:rsidRPr="00220108">
        <w:rPr>
          <w:rFonts w:ascii="Sylfaen" w:hAnsi="Sylfaen" w:cs="Sylfaen"/>
          <w:sz w:val="24"/>
        </w:rPr>
        <w:t xml:space="preserve"> </w:t>
      </w:r>
      <w:r w:rsidRPr="004D449D">
        <w:rPr>
          <w:rFonts w:ascii="Sylfaen" w:hAnsi="Sylfaen" w:cs="Sylfaen"/>
          <w:sz w:val="24"/>
        </w:rPr>
        <w:t>информационного взаимодействия между всеми заинтересованными участниками бизнес-процессов в морских портах, расширение направлений использования таможенными органами предварительной информации при совершении таможенных операций, обеспечение взаимодействия таможенных органов и заинтересованных лиц исключительно в электронном виде в режиме времени, близком к реальному, без участия должностных лиц таможенных органов на этапе декларирования и выпуска товаров</w:t>
      </w:r>
      <w:r w:rsidR="00A51C4B">
        <w:rPr>
          <w:rStyle w:val="FootnoteReference"/>
          <w:rFonts w:ascii="Sylfaen" w:hAnsi="Sylfaen" w:cs="Sylfaen"/>
          <w:sz w:val="24"/>
        </w:rPr>
        <w:footnoteReference w:id="77"/>
      </w:r>
      <w:r w:rsidRPr="004D449D">
        <w:rPr>
          <w:rFonts w:ascii="Sylfaen" w:hAnsi="Sylfaen" w:cs="Sylfaen"/>
          <w:sz w:val="24"/>
        </w:rPr>
        <w:t>.</w:t>
      </w:r>
    </w:p>
    <w:p w14:paraId="42CAAE4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Решением Совета Комиссии от 28 апреля 2017 №</w:t>
      </w:r>
      <w:r w:rsidRPr="004D449D">
        <w:rPr>
          <w:rFonts w:ascii="Sylfaen" w:hAnsi="Sylfaen" w:cs="Sylfaen"/>
          <w:sz w:val="24"/>
          <w:lang w:eastAsia="en-US" w:bidi="en-US"/>
        </w:rPr>
        <w:t xml:space="preserve"> </w:t>
      </w:r>
      <w:r w:rsidRPr="004D449D">
        <w:rPr>
          <w:rFonts w:ascii="Sylfaen" w:hAnsi="Sylfaen" w:cs="Sylfaen"/>
          <w:sz w:val="24"/>
        </w:rPr>
        <w:t xml:space="preserve">50 принят детализированный план на 2017 г.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 План содержит мероприятия по таким направлениям, как развитие национальных механизмов «единого окна», сближение их подходов, взаимное признание электронных документов, организация </w:t>
      </w:r>
      <w:r w:rsidRPr="004D449D">
        <w:rPr>
          <w:rFonts w:ascii="Sylfaen" w:hAnsi="Sylfaen" w:cs="Sylfaen"/>
          <w:sz w:val="24"/>
        </w:rPr>
        <w:lastRenderedPageBreak/>
        <w:t>информационного взаимодействия и другие</w:t>
      </w:r>
      <w:r w:rsidR="00A51C4B">
        <w:rPr>
          <w:rStyle w:val="FootnoteReference"/>
          <w:rFonts w:ascii="Sylfaen" w:hAnsi="Sylfaen" w:cs="Sylfaen"/>
          <w:sz w:val="24"/>
        </w:rPr>
        <w:footnoteReference w:id="78"/>
      </w:r>
      <w:r w:rsidRPr="004D449D">
        <w:rPr>
          <w:rFonts w:ascii="Sylfaen" w:hAnsi="Sylfaen" w:cs="Sylfaen"/>
          <w:sz w:val="24"/>
        </w:rPr>
        <w:t xml:space="preserve"> .</w:t>
      </w:r>
    </w:p>
    <w:p w14:paraId="748C112F"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Мероприятия, закрепленные в детализированном плане на 2017 г. и в Поручении Евразийского межправительственного совета от 26 мая 2017 г. № 3, направлены на постепенный переход к использованию электронных документов и данных в ходе взаимодействия участников внешнеэкономической деятельности и контролирующих органов, что в свою очередь позволит сократить временные и стоимостные издержки, упростить порядок совершения таможенных и иных операций в пунктах пропуска, а также операций, связанных с получением разрешительных документов.</w:t>
      </w:r>
    </w:p>
    <w:p w14:paraId="3C7C37E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Комиссией выработаны конкретные рекомендации по дальнейшему совершенствованию механизмов «единого окна» в государствах - членах Союза.</w:t>
      </w:r>
    </w:p>
    <w:p w14:paraId="04796E44"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Кроме этого, совместно с представителями уполномоченных органов государств - членов Союза разработан проект решения Совета «Об описании эталонной модели национального механизма «единого окна». Рассмотрение проекта органами Союза предполагается в 2018 г. Также актуализирован перечень общих процессов в рамках Союза, задействованных в обеспечении механизмов «единого окна».</w:t>
      </w:r>
    </w:p>
    <w:p w14:paraId="4187D5E8"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Была продолжена работа по подготовке технологических документов, необходимых для обеспечения реализации общих процессов, включенных в перечень общих процессов в рамках ЕАЭС, утвержденный Решением Коллегии Евразийской экономической комиссии от 14 апреля 2015 г. № 29.</w:t>
      </w:r>
    </w:p>
    <w:p w14:paraId="13260FC2" w14:textId="77777777" w:rsidR="008C226D" w:rsidRDefault="004D449D" w:rsidP="00220108">
      <w:pPr>
        <w:pStyle w:val="Bodytext20"/>
        <w:shd w:val="clear" w:color="auto" w:fill="auto"/>
        <w:spacing w:before="0" w:after="120" w:line="240" w:lineRule="auto"/>
        <w:ind w:firstLine="567"/>
        <w:rPr>
          <w:rFonts w:ascii="Sylfaen" w:hAnsi="Sylfaen" w:cs="Sylfaen"/>
          <w:sz w:val="24"/>
          <w:lang w:val="en-US"/>
        </w:rPr>
      </w:pPr>
      <w:r w:rsidRPr="004D449D">
        <w:rPr>
          <w:rFonts w:ascii="Sylfaen" w:hAnsi="Sylfaen" w:cs="Sylfaen"/>
          <w:sz w:val="24"/>
        </w:rPr>
        <w:t>Более того, Комиссией разработаны Правила реализации общего процесса и технологические документы, регламентирующие информационное взаимодействие с использованием интегрированной информационной системы Союза при реализации общего процесса «Использование баз данных документов, оформляемых уполномоченными органами государств - членов ЕАЭС, при регулировании внешней и взаимной торговли, в том числе, представляемых при совершении таможенных операций для целей</w:t>
      </w:r>
      <w:r w:rsidR="00220108" w:rsidRPr="00220108">
        <w:rPr>
          <w:rFonts w:ascii="Sylfaen" w:hAnsi="Sylfaen" w:cs="Sylfaen"/>
          <w:sz w:val="24"/>
        </w:rPr>
        <w:t xml:space="preserve"> </w:t>
      </w:r>
      <w:r w:rsidRPr="004D449D">
        <w:rPr>
          <w:rFonts w:ascii="Sylfaen" w:hAnsi="Sylfaen" w:cs="Sylfaen"/>
          <w:sz w:val="24"/>
        </w:rPr>
        <w:t>подтверждения соблюдения запретов и ограничений». Проводятся работы по их согласованию с уполномоченными органами государств-членов.</w:t>
      </w:r>
    </w:p>
    <w:p w14:paraId="36373D39" w14:textId="77777777" w:rsidR="00220108" w:rsidRPr="00220108" w:rsidRDefault="00220108" w:rsidP="00220108">
      <w:pPr>
        <w:pStyle w:val="Bodytext20"/>
        <w:shd w:val="clear" w:color="auto" w:fill="auto"/>
        <w:spacing w:before="0" w:after="120" w:line="240" w:lineRule="auto"/>
        <w:ind w:firstLine="567"/>
        <w:rPr>
          <w:rFonts w:ascii="Sylfaen" w:hAnsi="Sylfaen" w:cs="Sylfaen"/>
          <w:sz w:val="24"/>
          <w:lang w:val="en-US"/>
        </w:rPr>
      </w:pPr>
    </w:p>
    <w:p w14:paraId="003492F2" w14:textId="77777777" w:rsidR="008C226D" w:rsidRPr="004D449D" w:rsidRDefault="004D449D" w:rsidP="00220108">
      <w:pPr>
        <w:pStyle w:val="Bodytext60"/>
        <w:shd w:val="clear" w:color="auto" w:fill="auto"/>
        <w:spacing w:after="120" w:line="240" w:lineRule="auto"/>
        <w:ind w:firstLine="567"/>
        <w:rPr>
          <w:rFonts w:ascii="Sylfaen" w:hAnsi="Sylfaen" w:cs="Sylfaen"/>
          <w:sz w:val="24"/>
        </w:rPr>
      </w:pPr>
      <w:r w:rsidRPr="004D449D">
        <w:rPr>
          <w:rFonts w:ascii="Sylfaen" w:hAnsi="Sylfaen" w:cs="Sylfaen"/>
          <w:sz w:val="24"/>
        </w:rPr>
        <w:t>Заключение</w:t>
      </w:r>
    </w:p>
    <w:p w14:paraId="7BF5FC3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Проведенный Евразийской экономической комиссией мониторинг мер, реализуемых государствами-членами в области макроэкономической политики, а также действий Комиссии, показал, что в целом они соответствовали утвержденным Основным ориентирам макроэкономической политики государств-членов на 2017 - 2018 гг.</w:t>
      </w:r>
    </w:p>
    <w:p w14:paraId="26D9D3E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Предпринятые правительствами и национальными (центральными) банками государств-членов меры обусловили достижение всеми государствами-членами </w:t>
      </w:r>
      <w:r w:rsidRPr="004D449D">
        <w:rPr>
          <w:rFonts w:ascii="Sylfaen" w:hAnsi="Sylfaen" w:cs="Sylfaen"/>
          <w:sz w:val="24"/>
        </w:rPr>
        <w:lastRenderedPageBreak/>
        <w:t>положительных темпов экономического роста. При этом темпы роста экономик Республики Армения, Республики Казахстан и Кыргызской Республики оказались выше среднемирового значения.</w:t>
      </w:r>
    </w:p>
    <w:p w14:paraId="0DA3FC6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Благодаря эффективным мерам денежно-кредитной политики впервые за период существования Союза было достигнуто соблюдение всеми государствами-членами предельного расчетного количественного значения показателя инфляции, установленного Договором.</w:t>
      </w:r>
    </w:p>
    <w:p w14:paraId="67168B9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В бюджетной сфере по итогам девяти месяцев 2017 г. наблюдалось улучшение показателей в большинстве государств-членов. Отмечается рост инвестирования в основной капитал корпоративным сектором. Однако государственное финансирование инвестиционных проектов все еще остается значительным, повышая нагрузку на государственные бюджеты. Важнейшим фактором поддержания позитивной экономической динамики являются дальнейшие меры по привлечению частных инвестиций в экономики государств-членов, формированию и применению механизмов государственночастного партнерства и улучшению делового климата в Союзе.</w:t>
      </w:r>
    </w:p>
    <w:p w14:paraId="66F675C6"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Определены сферы экономики, обладающие интеграционным потенциалом в Евразийском экономическом союзе с указанием приоритетных для развития производственной кооперации видов деятельности. Разрабатываются меры, направленные на его использование, которые позволят объединить заинтересованные в сотрудничестве промышленные предприятия для реализации совместных проектов.</w:t>
      </w:r>
    </w:p>
    <w:p w14:paraId="18111D2D"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Отдельно необходимо отметить мероприятия по выявлению и устранению препятствующих функционированию внутреннего рынка Союза барьеров, изъятий и ограничений в отношении движения товаров, услуг, капитала и рабочей силы. Результатом этих мер, а также мер, направленных на увеличение добавленной стоимости, создаваемой в Союзе, явилось увеличение объема взаимной торговли товарами в рамках Союза, где более высокими темпами рос экспорт продукции средне- и высокотехнологичных производств.</w:t>
      </w:r>
    </w:p>
    <w:p w14:paraId="6398FE91"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Значимым событием стало вступление в силу с 1 января 2018 г. Таможенного кодекса ЕАЭС, которым вводится режим «электронной таможни», а сроки выпуска товаров при этом значительно сокращаются.</w:t>
      </w:r>
    </w:p>
    <w:p w14:paraId="7F6AFBDB"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Заметно продвинулся Союз и в направлении развития торгово- экономических отношений с третьими сторонами. Продолжение работы по</w:t>
      </w:r>
      <w:r w:rsidR="00220108" w:rsidRPr="00220108">
        <w:rPr>
          <w:rFonts w:ascii="Sylfaen" w:hAnsi="Sylfaen" w:cs="Sylfaen"/>
          <w:sz w:val="24"/>
        </w:rPr>
        <w:t xml:space="preserve"> </w:t>
      </w:r>
      <w:r w:rsidRPr="004D449D">
        <w:rPr>
          <w:rFonts w:ascii="Sylfaen" w:hAnsi="Sylfaen" w:cs="Sylfaen"/>
          <w:sz w:val="24"/>
        </w:rPr>
        <w:t>заключению соглашений с потенциальными торгово-экономическими партнерами будет способствовать укреплению позиций государств-членов и продвижению интересов Союза на мировом рынке.</w:t>
      </w:r>
    </w:p>
    <w:p w14:paraId="464CF21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Проводимая государствами-членами работа</w:t>
      </w:r>
      <w:r>
        <w:rPr>
          <w:rFonts w:ascii="Sylfaen" w:hAnsi="Sylfaen" w:cs="Sylfaen"/>
          <w:sz w:val="24"/>
        </w:rPr>
        <w:t xml:space="preserve"> </w:t>
      </w:r>
      <w:r w:rsidRPr="004D449D">
        <w:rPr>
          <w:rFonts w:ascii="Sylfaen" w:hAnsi="Sylfaen" w:cs="Sylfaen"/>
          <w:sz w:val="24"/>
        </w:rPr>
        <w:t xml:space="preserve">по направлениям, определенным в Основных ориентирах макроэкономической политики на 2017- 2018 гг., способствовала улучшению макроэкономической ситуации, восстановлению торговли и экономической активности в Союзе, а также в целом улучшению </w:t>
      </w:r>
      <w:r w:rsidRPr="004D449D">
        <w:rPr>
          <w:rFonts w:ascii="Sylfaen" w:hAnsi="Sylfaen" w:cs="Sylfaen"/>
          <w:sz w:val="24"/>
        </w:rPr>
        <w:lastRenderedPageBreak/>
        <w:t>ситуации в национальных экономиках, что будет благоприятствовать дальнейшему развитию и</w:t>
      </w:r>
      <w:r>
        <w:rPr>
          <w:rFonts w:ascii="Sylfaen" w:hAnsi="Sylfaen" w:cs="Sylfaen"/>
          <w:sz w:val="24"/>
        </w:rPr>
        <w:t xml:space="preserve"> </w:t>
      </w:r>
      <w:r w:rsidRPr="004D449D">
        <w:rPr>
          <w:rFonts w:ascii="Sylfaen" w:hAnsi="Sylfaen" w:cs="Sylfaen"/>
          <w:sz w:val="24"/>
        </w:rPr>
        <w:t>функционированию Евразийского экономического союза.</w:t>
      </w:r>
    </w:p>
    <w:p w14:paraId="10EFA3F0" w14:textId="77777777" w:rsidR="00220108" w:rsidRDefault="00220108">
      <w:pPr>
        <w:rPr>
          <w:rFonts w:ascii="Sylfaen" w:eastAsia="Times New Roman" w:hAnsi="Sylfaen" w:cs="Sylfaen"/>
          <w:b/>
          <w:bCs/>
          <w:szCs w:val="32"/>
        </w:rPr>
      </w:pPr>
      <w:r>
        <w:rPr>
          <w:rFonts w:ascii="Sylfaen" w:hAnsi="Sylfaen" w:cs="Sylfaen"/>
        </w:rPr>
        <w:br w:type="page"/>
      </w:r>
    </w:p>
    <w:p w14:paraId="5470EA47" w14:textId="77777777" w:rsidR="008C226D" w:rsidRPr="004D449D" w:rsidRDefault="004D449D" w:rsidP="00220108">
      <w:pPr>
        <w:pStyle w:val="Heading220"/>
        <w:shd w:val="clear" w:color="auto" w:fill="auto"/>
        <w:spacing w:after="120" w:line="240" w:lineRule="auto"/>
        <w:ind w:left="560" w:right="568"/>
        <w:jc w:val="center"/>
        <w:rPr>
          <w:rFonts w:ascii="Sylfaen" w:hAnsi="Sylfaen" w:cs="Sylfaen"/>
          <w:sz w:val="24"/>
        </w:rPr>
      </w:pPr>
      <w:r w:rsidRPr="004D449D">
        <w:rPr>
          <w:rFonts w:ascii="Sylfaen" w:hAnsi="Sylfaen" w:cs="Sylfaen"/>
          <w:sz w:val="24"/>
        </w:rPr>
        <w:lastRenderedPageBreak/>
        <w:t>ВЫСШИЙ ЕВРАЗИЙСКИЙ ЭКОНОМИЧЕСКИЙ СОВЕТ</w:t>
      </w:r>
    </w:p>
    <w:p w14:paraId="0AD89990" w14:textId="77777777" w:rsidR="00220108" w:rsidRDefault="00220108" w:rsidP="00220108">
      <w:pPr>
        <w:pStyle w:val="Tablecaption20"/>
        <w:shd w:val="clear" w:color="auto" w:fill="auto"/>
        <w:spacing w:after="120" w:line="240" w:lineRule="auto"/>
        <w:ind w:left="560" w:right="568"/>
        <w:jc w:val="center"/>
        <w:rPr>
          <w:rStyle w:val="Tablecaption2Spacing4pt"/>
          <w:rFonts w:ascii="Sylfaen" w:hAnsi="Sylfaen" w:cs="Sylfaen"/>
          <w:b/>
          <w:bCs/>
          <w:spacing w:val="0"/>
          <w:sz w:val="24"/>
          <w:lang w:val="en-US"/>
        </w:rPr>
      </w:pPr>
    </w:p>
    <w:p w14:paraId="3287CEC7" w14:textId="77777777" w:rsidR="008C226D" w:rsidRPr="004D449D" w:rsidRDefault="004D449D" w:rsidP="00220108">
      <w:pPr>
        <w:pStyle w:val="Tablecaption20"/>
        <w:shd w:val="clear" w:color="auto" w:fill="auto"/>
        <w:spacing w:after="120" w:line="240" w:lineRule="auto"/>
        <w:ind w:left="560" w:right="568"/>
        <w:jc w:val="center"/>
        <w:rPr>
          <w:rFonts w:ascii="Sylfaen" w:hAnsi="Sylfaen" w:cs="Sylfaen"/>
          <w:sz w:val="24"/>
        </w:rPr>
      </w:pPr>
      <w:r w:rsidRPr="004D449D">
        <w:rPr>
          <w:rStyle w:val="Tablecaption2Spacing4pt"/>
          <w:rFonts w:ascii="Sylfaen" w:hAnsi="Sylfaen" w:cs="Sylfaen"/>
          <w:b/>
          <w:bCs/>
          <w:spacing w:val="0"/>
          <w:sz w:val="24"/>
        </w:rPr>
        <w:t>РЕШЕНИЕ</w:t>
      </w:r>
    </w:p>
    <w:tbl>
      <w:tblPr>
        <w:tblOverlap w:val="never"/>
        <w:tblW w:w="0" w:type="auto"/>
        <w:tblLayout w:type="fixed"/>
        <w:tblCellMar>
          <w:left w:w="10" w:type="dxa"/>
          <w:right w:w="10" w:type="dxa"/>
        </w:tblCellMar>
        <w:tblLook w:val="0000" w:firstRow="0" w:lastRow="0" w:firstColumn="0" w:lastColumn="0" w:noHBand="0" w:noVBand="0"/>
      </w:tblPr>
      <w:tblGrid>
        <w:gridCol w:w="3802"/>
        <w:gridCol w:w="1699"/>
        <w:gridCol w:w="3823"/>
      </w:tblGrid>
      <w:tr w:rsidR="008C226D" w:rsidRPr="004D449D" w14:paraId="21D783B0" w14:textId="77777777" w:rsidTr="004D449D">
        <w:tc>
          <w:tcPr>
            <w:tcW w:w="3802" w:type="dxa"/>
            <w:shd w:val="clear" w:color="auto" w:fill="FFFFFF"/>
            <w:vAlign w:val="center"/>
          </w:tcPr>
          <w:p w14:paraId="1F147B3E" w14:textId="77777777" w:rsidR="008C226D" w:rsidRPr="004D449D" w:rsidRDefault="004D449D" w:rsidP="004D449D">
            <w:pPr>
              <w:pStyle w:val="Bodytext20"/>
              <w:shd w:val="clear" w:color="auto" w:fill="auto"/>
              <w:spacing w:before="0" w:after="120" w:line="240" w:lineRule="auto"/>
              <w:ind w:left="180"/>
              <w:jc w:val="left"/>
              <w:rPr>
                <w:rFonts w:ascii="Sylfaen" w:hAnsi="Sylfaen" w:cs="Sylfaen"/>
                <w:sz w:val="24"/>
              </w:rPr>
            </w:pPr>
            <w:r w:rsidRPr="004D449D">
              <w:rPr>
                <w:rFonts w:ascii="Sylfaen" w:hAnsi="Sylfaen" w:cs="Sylfaen"/>
                <w:sz w:val="24"/>
              </w:rPr>
              <w:t>« » 20 г.</w:t>
            </w:r>
          </w:p>
        </w:tc>
        <w:tc>
          <w:tcPr>
            <w:tcW w:w="1699" w:type="dxa"/>
            <w:shd w:val="clear" w:color="auto" w:fill="FFFFFF"/>
            <w:vAlign w:val="center"/>
          </w:tcPr>
          <w:p w14:paraId="6FC8AFEB"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Fonts w:ascii="Sylfaen" w:hAnsi="Sylfaen" w:cs="Sylfaen"/>
                <w:sz w:val="24"/>
              </w:rPr>
              <w:t>№</w:t>
            </w:r>
          </w:p>
        </w:tc>
        <w:tc>
          <w:tcPr>
            <w:tcW w:w="3823" w:type="dxa"/>
            <w:shd w:val="clear" w:color="auto" w:fill="FFFFFF"/>
            <w:vAlign w:val="center"/>
          </w:tcPr>
          <w:p w14:paraId="0111C5A2" w14:textId="77777777" w:rsidR="008C226D" w:rsidRPr="004D449D" w:rsidRDefault="004D449D" w:rsidP="004D449D">
            <w:pPr>
              <w:pStyle w:val="Bodytext20"/>
              <w:shd w:val="clear" w:color="auto" w:fill="auto"/>
              <w:spacing w:before="0" w:after="120" w:line="240" w:lineRule="auto"/>
              <w:ind w:left="1240"/>
              <w:jc w:val="left"/>
              <w:rPr>
                <w:rFonts w:ascii="Sylfaen" w:hAnsi="Sylfaen" w:cs="Sylfaen"/>
                <w:sz w:val="24"/>
              </w:rPr>
            </w:pPr>
            <w:r w:rsidRPr="004D449D">
              <w:rPr>
                <w:rFonts w:ascii="Sylfaen" w:hAnsi="Sylfaen" w:cs="Sylfaen"/>
                <w:sz w:val="24"/>
              </w:rPr>
              <w:t>г.</w:t>
            </w:r>
          </w:p>
        </w:tc>
      </w:tr>
    </w:tbl>
    <w:p w14:paraId="63E3B461" w14:textId="77777777" w:rsidR="00220108" w:rsidRDefault="00220108" w:rsidP="004D449D">
      <w:pPr>
        <w:pStyle w:val="Heading220"/>
        <w:shd w:val="clear" w:color="auto" w:fill="auto"/>
        <w:spacing w:after="120" w:line="240" w:lineRule="auto"/>
        <w:ind w:left="180" w:firstLine="720"/>
        <w:jc w:val="both"/>
        <w:rPr>
          <w:rFonts w:ascii="Sylfaen" w:hAnsi="Sylfaen" w:cs="Sylfaen"/>
          <w:sz w:val="24"/>
          <w:lang w:val="en-US"/>
        </w:rPr>
      </w:pPr>
    </w:p>
    <w:p w14:paraId="318BD07B" w14:textId="77777777" w:rsidR="008C226D" w:rsidRPr="004D449D" w:rsidRDefault="004D449D" w:rsidP="00220108">
      <w:pPr>
        <w:pStyle w:val="Heading220"/>
        <w:shd w:val="clear" w:color="auto" w:fill="auto"/>
        <w:spacing w:after="120" w:line="240" w:lineRule="auto"/>
        <w:ind w:left="567" w:right="568"/>
        <w:jc w:val="center"/>
        <w:rPr>
          <w:rFonts w:ascii="Sylfaen" w:hAnsi="Sylfaen" w:cs="Sylfaen"/>
          <w:sz w:val="24"/>
        </w:rPr>
      </w:pPr>
      <w:r w:rsidRPr="004D449D">
        <w:rPr>
          <w:rFonts w:ascii="Sylfaen" w:hAnsi="Sylfaen" w:cs="Sylfaen"/>
          <w:sz w:val="24"/>
        </w:rPr>
        <w:t>Об основных ориентирах макроэкономической политики</w:t>
      </w:r>
      <w:r w:rsidR="00220108" w:rsidRPr="00220108">
        <w:rPr>
          <w:rFonts w:ascii="Sylfaen" w:hAnsi="Sylfaen" w:cs="Sylfaen"/>
          <w:sz w:val="24"/>
        </w:rPr>
        <w:t xml:space="preserve"> </w:t>
      </w:r>
      <w:r w:rsidRPr="004D449D">
        <w:rPr>
          <w:rFonts w:ascii="Sylfaen" w:hAnsi="Sylfaen" w:cs="Sylfaen"/>
          <w:sz w:val="24"/>
        </w:rPr>
        <w:t>государств - членов Евразийского экономического союза</w:t>
      </w:r>
      <w:r w:rsidR="00220108" w:rsidRPr="00220108">
        <w:rPr>
          <w:rFonts w:ascii="Sylfaen" w:hAnsi="Sylfaen" w:cs="Sylfaen"/>
          <w:sz w:val="24"/>
        </w:rPr>
        <w:t xml:space="preserve"> </w:t>
      </w:r>
      <w:r w:rsidRPr="004D449D">
        <w:rPr>
          <w:rFonts w:ascii="Sylfaen" w:hAnsi="Sylfaen" w:cs="Sylfaen"/>
          <w:sz w:val="24"/>
        </w:rPr>
        <w:t>на 2018 - 2019 годы</w:t>
      </w:r>
    </w:p>
    <w:p w14:paraId="5BC9DBBE"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rPr>
        <w:t xml:space="preserve">Высший Евразийский экономический совет </w:t>
      </w:r>
      <w:r w:rsidRPr="004D449D">
        <w:rPr>
          <w:rStyle w:val="Bodytext2Bold0"/>
          <w:rFonts w:ascii="Sylfaen" w:hAnsi="Sylfaen" w:cs="Sylfaen"/>
          <w:spacing w:val="0"/>
          <w:sz w:val="24"/>
        </w:rPr>
        <w:t>решил:</w:t>
      </w:r>
    </w:p>
    <w:p w14:paraId="69FFF8CA"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lang w:eastAsia="en-US" w:bidi="en-US"/>
        </w:rPr>
        <w:t>1.</w:t>
      </w:r>
      <w:r>
        <w:rPr>
          <w:rFonts w:ascii="Sylfaen" w:hAnsi="Sylfaen" w:cs="Sylfaen"/>
          <w:sz w:val="24"/>
          <w:lang w:eastAsia="en-US" w:bidi="en-US"/>
        </w:rPr>
        <w:t xml:space="preserve"> </w:t>
      </w:r>
      <w:r w:rsidRPr="004D449D">
        <w:rPr>
          <w:rFonts w:ascii="Sylfaen" w:hAnsi="Sylfaen" w:cs="Sylfaen"/>
          <w:sz w:val="24"/>
        </w:rPr>
        <w:t>Утвердить</w:t>
      </w:r>
      <w:r>
        <w:rPr>
          <w:rFonts w:ascii="Sylfaen" w:hAnsi="Sylfaen" w:cs="Sylfaen"/>
          <w:sz w:val="24"/>
        </w:rPr>
        <w:t xml:space="preserve"> </w:t>
      </w:r>
      <w:r w:rsidRPr="004D449D">
        <w:rPr>
          <w:rFonts w:ascii="Sylfaen" w:hAnsi="Sylfaen" w:cs="Sylfaen"/>
          <w:sz w:val="24"/>
        </w:rPr>
        <w:t>прилагаемые</w:t>
      </w:r>
      <w:r>
        <w:rPr>
          <w:rFonts w:ascii="Sylfaen" w:hAnsi="Sylfaen" w:cs="Sylfaen"/>
          <w:sz w:val="24"/>
        </w:rPr>
        <w:t xml:space="preserve"> </w:t>
      </w:r>
      <w:r w:rsidRPr="004D449D">
        <w:rPr>
          <w:rFonts w:ascii="Sylfaen" w:hAnsi="Sylfaen" w:cs="Sylfaen"/>
          <w:sz w:val="24"/>
        </w:rPr>
        <w:t>основные</w:t>
      </w:r>
      <w:r>
        <w:rPr>
          <w:rFonts w:ascii="Sylfaen" w:hAnsi="Sylfaen" w:cs="Sylfaen"/>
          <w:sz w:val="24"/>
        </w:rPr>
        <w:t xml:space="preserve"> </w:t>
      </w:r>
      <w:r w:rsidRPr="004D449D">
        <w:rPr>
          <w:rFonts w:ascii="Sylfaen" w:hAnsi="Sylfaen" w:cs="Sylfaen"/>
          <w:sz w:val="24"/>
        </w:rPr>
        <w:t>ориентиры макроэкономической политики государств - членов Евразийского экономического союза на 2018 -2019 годы.</w:t>
      </w:r>
    </w:p>
    <w:p w14:paraId="1BF84563"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lang w:eastAsia="en-US" w:bidi="en-US"/>
        </w:rPr>
        <w:t>2.</w:t>
      </w:r>
      <w:r>
        <w:rPr>
          <w:rFonts w:ascii="Sylfaen" w:hAnsi="Sylfaen" w:cs="Sylfaen"/>
          <w:sz w:val="24"/>
          <w:lang w:eastAsia="en-US" w:bidi="en-US"/>
        </w:rPr>
        <w:t xml:space="preserve"> </w:t>
      </w:r>
      <w:r w:rsidRPr="004D449D">
        <w:rPr>
          <w:rFonts w:ascii="Sylfaen" w:hAnsi="Sylfaen" w:cs="Sylfaen"/>
          <w:sz w:val="24"/>
        </w:rPr>
        <w:t>Рекомендовать правительствам государств -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 членов Евразийского экономического союза на 2018 - 2019 годы.</w:t>
      </w:r>
    </w:p>
    <w:p w14:paraId="1E8A9EF0"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lang w:eastAsia="en-US" w:bidi="en-US"/>
        </w:rPr>
        <w:t>3.</w:t>
      </w:r>
      <w:r>
        <w:rPr>
          <w:rFonts w:ascii="Sylfaen" w:hAnsi="Sylfaen" w:cs="Sylfaen"/>
          <w:sz w:val="24"/>
          <w:lang w:eastAsia="en-US" w:bidi="en-US"/>
        </w:rPr>
        <w:t xml:space="preserve"> </w:t>
      </w:r>
      <w:r w:rsidRPr="004D449D">
        <w:rPr>
          <w:rFonts w:ascii="Sylfaen" w:hAnsi="Sylfaen" w:cs="Sylfaen"/>
          <w:sz w:val="24"/>
        </w:rPr>
        <w:t>Евразийской экономической комиссии проводить анализ мер, реализуемых государствами - членами Евразийского экономического союза в области макроэкономической политики, и оценивать соответствие таких мер утвержденным настоящим Решением основным ориентирам макроэкономической политики государств - членов Евразийского экономического союза на 201 8 - 2019 годы.</w:t>
      </w:r>
    </w:p>
    <w:p w14:paraId="47002AF7" w14:textId="77777777" w:rsidR="008C226D" w:rsidRPr="004D449D" w:rsidRDefault="004D449D" w:rsidP="00220108">
      <w:pPr>
        <w:pStyle w:val="Bodytext20"/>
        <w:shd w:val="clear" w:color="auto" w:fill="auto"/>
        <w:spacing w:before="0" w:after="120" w:line="240" w:lineRule="auto"/>
        <w:ind w:firstLine="567"/>
        <w:rPr>
          <w:rFonts w:ascii="Sylfaen" w:hAnsi="Sylfaen" w:cs="Sylfaen"/>
          <w:sz w:val="24"/>
        </w:rPr>
      </w:pPr>
      <w:r w:rsidRPr="004D449D">
        <w:rPr>
          <w:rFonts w:ascii="Sylfaen" w:hAnsi="Sylfaen" w:cs="Sylfaen"/>
          <w:sz w:val="24"/>
          <w:lang w:eastAsia="en-US" w:bidi="en-US"/>
        </w:rPr>
        <w:t>4.</w:t>
      </w:r>
      <w:r>
        <w:rPr>
          <w:rFonts w:ascii="Sylfaen" w:hAnsi="Sylfaen" w:cs="Sylfaen"/>
          <w:sz w:val="24"/>
          <w:lang w:eastAsia="en-US" w:bidi="en-US"/>
        </w:rPr>
        <w:t xml:space="preserve"> </w:t>
      </w:r>
      <w:r w:rsidRPr="004D449D">
        <w:rPr>
          <w:rFonts w:ascii="Sylfaen" w:hAnsi="Sylfaen" w:cs="Sylfaen"/>
          <w:sz w:val="24"/>
        </w:rPr>
        <w:t>Настоящее Решение вступает в силу с даты его официального опубликования.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3"/>
        <w:gridCol w:w="2020"/>
        <w:gridCol w:w="1984"/>
        <w:gridCol w:w="2059"/>
        <w:gridCol w:w="1922"/>
      </w:tblGrid>
      <w:tr w:rsidR="008C226D" w:rsidRPr="004D449D" w14:paraId="149053FA" w14:textId="77777777" w:rsidTr="00220108">
        <w:trPr>
          <w:jc w:val="center"/>
        </w:trPr>
        <w:tc>
          <w:tcPr>
            <w:tcW w:w="10048" w:type="dxa"/>
            <w:gridSpan w:val="5"/>
            <w:shd w:val="clear" w:color="auto" w:fill="FFFFFF"/>
            <w:vAlign w:val="center"/>
          </w:tcPr>
          <w:p w14:paraId="6C7D0E09"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Style w:val="Bodytext2Bold2"/>
                <w:rFonts w:ascii="Sylfaen" w:hAnsi="Sylfaen" w:cs="Sylfaen"/>
                <w:sz w:val="24"/>
              </w:rPr>
              <w:t>Члены Высшего Евразийского экономического совета:</w:t>
            </w:r>
          </w:p>
        </w:tc>
      </w:tr>
      <w:tr w:rsidR="008C226D" w:rsidRPr="004D449D" w14:paraId="723662C7" w14:textId="77777777" w:rsidTr="00220108">
        <w:trPr>
          <w:jc w:val="center"/>
        </w:trPr>
        <w:tc>
          <w:tcPr>
            <w:tcW w:w="2063" w:type="dxa"/>
            <w:shd w:val="clear" w:color="auto" w:fill="FFFFFF"/>
            <w:vAlign w:val="center"/>
          </w:tcPr>
          <w:p w14:paraId="7FF25616"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Style w:val="Bodytext2Bold2"/>
                <w:rFonts w:ascii="Sylfaen" w:hAnsi="Sylfaen" w:cs="Sylfaen"/>
                <w:sz w:val="24"/>
              </w:rPr>
              <w:t>От Республики Армения</w:t>
            </w:r>
          </w:p>
        </w:tc>
        <w:tc>
          <w:tcPr>
            <w:tcW w:w="2020" w:type="dxa"/>
            <w:shd w:val="clear" w:color="auto" w:fill="FFFFFF"/>
            <w:vAlign w:val="center"/>
          </w:tcPr>
          <w:p w14:paraId="0EDD9A02"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Style w:val="Bodytext2Bold2"/>
                <w:rFonts w:ascii="Sylfaen" w:hAnsi="Sylfaen" w:cs="Sylfaen"/>
                <w:sz w:val="24"/>
              </w:rPr>
              <w:t>От Республики Беларусь</w:t>
            </w:r>
          </w:p>
        </w:tc>
        <w:tc>
          <w:tcPr>
            <w:tcW w:w="1984" w:type="dxa"/>
            <w:shd w:val="clear" w:color="auto" w:fill="FFFFFF"/>
            <w:vAlign w:val="center"/>
          </w:tcPr>
          <w:p w14:paraId="6669F6B2"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Style w:val="Bodytext2Bold2"/>
                <w:rFonts w:ascii="Sylfaen" w:hAnsi="Sylfaen" w:cs="Sylfaen"/>
                <w:sz w:val="24"/>
              </w:rPr>
              <w:t>От Республики Казахстан</w:t>
            </w:r>
          </w:p>
        </w:tc>
        <w:tc>
          <w:tcPr>
            <w:tcW w:w="2059" w:type="dxa"/>
            <w:shd w:val="clear" w:color="auto" w:fill="FFFFFF"/>
            <w:vAlign w:val="center"/>
          </w:tcPr>
          <w:p w14:paraId="0A29FECE"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Style w:val="Bodytext2Bold2"/>
                <w:rFonts w:ascii="Sylfaen" w:hAnsi="Sylfaen" w:cs="Sylfaen"/>
                <w:sz w:val="24"/>
              </w:rPr>
              <w:t>От Кыргызской Республики</w:t>
            </w:r>
          </w:p>
        </w:tc>
        <w:tc>
          <w:tcPr>
            <w:tcW w:w="1922" w:type="dxa"/>
            <w:shd w:val="clear" w:color="auto" w:fill="FFFFFF"/>
            <w:vAlign w:val="center"/>
          </w:tcPr>
          <w:p w14:paraId="0820ED25" w14:textId="77777777" w:rsidR="008C226D" w:rsidRPr="004D449D" w:rsidRDefault="004D449D" w:rsidP="004D449D">
            <w:pPr>
              <w:pStyle w:val="Bodytext20"/>
              <w:shd w:val="clear" w:color="auto" w:fill="auto"/>
              <w:spacing w:before="0" w:after="120" w:line="240" w:lineRule="auto"/>
              <w:jc w:val="center"/>
              <w:rPr>
                <w:rFonts w:ascii="Sylfaen" w:hAnsi="Sylfaen" w:cs="Sylfaen"/>
                <w:sz w:val="24"/>
              </w:rPr>
            </w:pPr>
            <w:r w:rsidRPr="004D449D">
              <w:rPr>
                <w:rStyle w:val="Bodytext2Bold2"/>
                <w:rFonts w:ascii="Sylfaen" w:hAnsi="Sylfaen" w:cs="Sylfaen"/>
                <w:sz w:val="24"/>
              </w:rPr>
              <w:t>От Российской Федерации</w:t>
            </w:r>
          </w:p>
        </w:tc>
      </w:tr>
    </w:tbl>
    <w:p w14:paraId="2B78714B" w14:textId="77777777" w:rsidR="00220108" w:rsidRDefault="00220108" w:rsidP="004D449D">
      <w:pPr>
        <w:spacing w:after="120"/>
        <w:rPr>
          <w:rFonts w:ascii="Sylfaen" w:hAnsi="Sylfaen" w:cs="Sylfaen"/>
          <w:szCs w:val="2"/>
        </w:rPr>
      </w:pPr>
    </w:p>
    <w:p w14:paraId="469F0D9B" w14:textId="77777777" w:rsidR="00220108" w:rsidRDefault="00220108">
      <w:pPr>
        <w:rPr>
          <w:rFonts w:ascii="Sylfaen" w:hAnsi="Sylfaen" w:cs="Sylfaen"/>
          <w:szCs w:val="2"/>
        </w:rPr>
      </w:pPr>
      <w:r>
        <w:rPr>
          <w:rFonts w:ascii="Sylfaen" w:hAnsi="Sylfaen" w:cs="Sylfaen"/>
          <w:szCs w:val="2"/>
        </w:rPr>
        <w:br w:type="page"/>
      </w:r>
    </w:p>
    <w:p w14:paraId="5ED9D876" w14:textId="77777777" w:rsidR="008C226D" w:rsidRPr="004D449D" w:rsidRDefault="004D449D" w:rsidP="00220108">
      <w:pPr>
        <w:pStyle w:val="Bodytext20"/>
        <w:shd w:val="clear" w:color="auto" w:fill="auto"/>
        <w:spacing w:before="0" w:after="120" w:line="240" w:lineRule="auto"/>
        <w:ind w:left="5103"/>
        <w:jc w:val="center"/>
        <w:rPr>
          <w:rFonts w:ascii="Sylfaen" w:hAnsi="Sylfaen" w:cs="Sylfaen"/>
          <w:sz w:val="24"/>
        </w:rPr>
      </w:pPr>
      <w:r w:rsidRPr="004D449D">
        <w:rPr>
          <w:rFonts w:ascii="Sylfaen" w:hAnsi="Sylfaen" w:cs="Sylfaen"/>
          <w:sz w:val="24"/>
        </w:rPr>
        <w:lastRenderedPageBreak/>
        <w:t>УТВЕРЖДЕНЫ</w:t>
      </w:r>
    </w:p>
    <w:p w14:paraId="665208F2" w14:textId="77777777" w:rsidR="008C226D" w:rsidRPr="004D449D" w:rsidRDefault="004D449D" w:rsidP="00220108">
      <w:pPr>
        <w:pStyle w:val="Bodytext20"/>
        <w:shd w:val="clear" w:color="auto" w:fill="auto"/>
        <w:spacing w:before="0" w:after="120" w:line="240" w:lineRule="auto"/>
        <w:ind w:left="5103"/>
        <w:jc w:val="center"/>
        <w:rPr>
          <w:rFonts w:ascii="Sylfaen" w:hAnsi="Sylfaen" w:cs="Sylfaen"/>
          <w:sz w:val="24"/>
        </w:rPr>
      </w:pPr>
      <w:r w:rsidRPr="004D449D">
        <w:rPr>
          <w:rFonts w:ascii="Sylfaen" w:hAnsi="Sylfaen" w:cs="Sylfaen"/>
          <w:sz w:val="24"/>
        </w:rPr>
        <w:t>Решением Высшего Евразийского экономического совета</w:t>
      </w:r>
    </w:p>
    <w:p w14:paraId="742E2332" w14:textId="77777777" w:rsidR="008C226D" w:rsidRDefault="004D449D" w:rsidP="00220108">
      <w:pPr>
        <w:pStyle w:val="Bodytext20"/>
        <w:shd w:val="clear" w:color="auto" w:fill="auto"/>
        <w:spacing w:before="0" w:after="120" w:line="240" w:lineRule="auto"/>
        <w:ind w:left="5103"/>
        <w:jc w:val="center"/>
        <w:rPr>
          <w:rFonts w:ascii="Sylfaen" w:hAnsi="Sylfaen" w:cs="Sylfaen"/>
          <w:sz w:val="24"/>
          <w:lang w:val="en-US"/>
        </w:rPr>
      </w:pPr>
      <w:r w:rsidRPr="004D449D">
        <w:rPr>
          <w:rFonts w:ascii="Sylfaen" w:hAnsi="Sylfaen" w:cs="Sylfaen"/>
          <w:sz w:val="24"/>
        </w:rPr>
        <w:t>от</w:t>
      </w:r>
      <w:r>
        <w:rPr>
          <w:rFonts w:ascii="Sylfaen" w:hAnsi="Sylfaen" w:cs="Sylfaen"/>
          <w:sz w:val="24"/>
        </w:rPr>
        <w:t xml:space="preserve"> </w:t>
      </w:r>
      <w:r w:rsidR="00220108">
        <w:rPr>
          <w:rFonts w:ascii="Sylfaen" w:hAnsi="Sylfaen" w:cs="Sylfaen"/>
          <w:sz w:val="24"/>
          <w:lang w:val="en-US"/>
        </w:rPr>
        <w:t xml:space="preserve">                        </w:t>
      </w:r>
      <w:r w:rsidRPr="004D449D">
        <w:rPr>
          <w:rFonts w:ascii="Sylfaen" w:hAnsi="Sylfaen" w:cs="Sylfaen"/>
          <w:sz w:val="24"/>
        </w:rPr>
        <w:t xml:space="preserve">2018 </w:t>
      </w:r>
      <w:r w:rsidR="00220108">
        <w:rPr>
          <w:rFonts w:ascii="Sylfaen" w:hAnsi="Sylfaen" w:cs="Sylfaen"/>
          <w:sz w:val="24"/>
          <w:lang w:val="en-US"/>
        </w:rPr>
        <w:t xml:space="preserve">    </w:t>
      </w:r>
      <w:r w:rsidRPr="004D449D">
        <w:rPr>
          <w:rFonts w:ascii="Sylfaen" w:hAnsi="Sylfaen" w:cs="Sylfaen"/>
          <w:sz w:val="24"/>
        </w:rPr>
        <w:t>г. №</w:t>
      </w:r>
    </w:p>
    <w:p w14:paraId="29093BF6" w14:textId="77777777" w:rsidR="00220108" w:rsidRPr="00220108" w:rsidRDefault="00220108" w:rsidP="00220108">
      <w:pPr>
        <w:pStyle w:val="Bodytext20"/>
        <w:shd w:val="clear" w:color="auto" w:fill="auto"/>
        <w:spacing w:before="0" w:after="120" w:line="240" w:lineRule="auto"/>
        <w:ind w:left="5103"/>
        <w:jc w:val="center"/>
        <w:rPr>
          <w:rFonts w:ascii="Sylfaen" w:hAnsi="Sylfaen" w:cs="Sylfaen"/>
          <w:sz w:val="24"/>
          <w:lang w:val="en-US"/>
        </w:rPr>
      </w:pPr>
    </w:p>
    <w:p w14:paraId="624E1D83" w14:textId="77777777" w:rsidR="008C226D" w:rsidRPr="004D449D" w:rsidRDefault="004D449D" w:rsidP="00220108">
      <w:pPr>
        <w:pStyle w:val="Heading220"/>
        <w:shd w:val="clear" w:color="auto" w:fill="auto"/>
        <w:spacing w:after="120" w:line="240" w:lineRule="auto"/>
        <w:ind w:left="567" w:right="568"/>
        <w:jc w:val="center"/>
        <w:rPr>
          <w:rFonts w:ascii="Sylfaen" w:hAnsi="Sylfaen" w:cs="Sylfaen"/>
          <w:sz w:val="24"/>
        </w:rPr>
      </w:pPr>
      <w:r w:rsidRPr="004D449D">
        <w:rPr>
          <w:rStyle w:val="Heading22Spacing2pt"/>
          <w:rFonts w:ascii="Sylfaen" w:hAnsi="Sylfaen" w:cs="Sylfaen"/>
          <w:b/>
          <w:bCs/>
          <w:spacing w:val="0"/>
          <w:sz w:val="24"/>
        </w:rPr>
        <w:t>ОСНОВНЫЕ ОРИЕНТИРЫ</w:t>
      </w:r>
    </w:p>
    <w:p w14:paraId="69CF1FED" w14:textId="77777777" w:rsidR="008C226D" w:rsidRPr="004D449D" w:rsidRDefault="004D449D" w:rsidP="00220108">
      <w:pPr>
        <w:pStyle w:val="Bodytext30"/>
        <w:shd w:val="clear" w:color="auto" w:fill="auto"/>
        <w:spacing w:line="240" w:lineRule="auto"/>
        <w:ind w:left="567" w:right="568"/>
        <w:rPr>
          <w:rFonts w:ascii="Sylfaen" w:hAnsi="Sylfaen" w:cs="Sylfaen"/>
          <w:sz w:val="24"/>
        </w:rPr>
      </w:pPr>
      <w:r w:rsidRPr="004D449D">
        <w:rPr>
          <w:rFonts w:ascii="Sylfaen" w:hAnsi="Sylfaen" w:cs="Sylfaen"/>
          <w:sz w:val="24"/>
        </w:rPr>
        <w:t xml:space="preserve">макроэкономической политики государств </w:t>
      </w:r>
      <w:r w:rsidR="00220108">
        <w:rPr>
          <w:rFonts w:ascii="Sylfaen" w:hAnsi="Sylfaen" w:cs="Sylfaen"/>
          <w:sz w:val="24"/>
        </w:rPr>
        <w:t>–</w:t>
      </w:r>
      <w:r w:rsidRPr="004D449D">
        <w:rPr>
          <w:rFonts w:ascii="Sylfaen" w:hAnsi="Sylfaen" w:cs="Sylfaen"/>
          <w:sz w:val="24"/>
        </w:rPr>
        <w:t xml:space="preserve"> членов</w:t>
      </w:r>
      <w:r w:rsidR="00220108" w:rsidRPr="00220108">
        <w:rPr>
          <w:rFonts w:ascii="Sylfaen" w:hAnsi="Sylfaen" w:cs="Sylfaen"/>
          <w:sz w:val="24"/>
        </w:rPr>
        <w:t xml:space="preserve"> </w:t>
      </w:r>
      <w:r w:rsidRPr="004D449D">
        <w:rPr>
          <w:rFonts w:ascii="Sylfaen" w:hAnsi="Sylfaen" w:cs="Sylfaen"/>
          <w:sz w:val="24"/>
        </w:rPr>
        <w:t>Евразийского экономического союза на 2018 - 2019 годы</w:t>
      </w:r>
    </w:p>
    <w:p w14:paraId="4A08B22B"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Настоящий документ разработан в соответствии с Договором о Евразийском экономическом союзе от 29 мая 2014 года (далее</w:t>
      </w:r>
      <w:r>
        <w:rPr>
          <w:rFonts w:ascii="Sylfaen" w:hAnsi="Sylfaen" w:cs="Sylfaen"/>
          <w:sz w:val="24"/>
        </w:rPr>
        <w:t xml:space="preserve"> </w:t>
      </w:r>
      <w:r w:rsidRPr="004D449D">
        <w:rPr>
          <w:rFonts w:ascii="Sylfaen" w:hAnsi="Sylfaen" w:cs="Sylfaen"/>
          <w:sz w:val="24"/>
        </w:rPr>
        <w:t>-</w:t>
      </w:r>
      <w:r>
        <w:rPr>
          <w:rFonts w:ascii="Sylfaen" w:hAnsi="Sylfaen" w:cs="Sylfaen"/>
          <w:sz w:val="24"/>
        </w:rPr>
        <w:t xml:space="preserve"> </w:t>
      </w:r>
      <w:r w:rsidRPr="004D449D">
        <w:rPr>
          <w:rFonts w:ascii="Sylfaen" w:hAnsi="Sylfaen" w:cs="Sylfaen"/>
          <w:sz w:val="24"/>
        </w:rPr>
        <w:t>Договор) и направлен</w:t>
      </w:r>
      <w:r>
        <w:rPr>
          <w:rFonts w:ascii="Sylfaen" w:hAnsi="Sylfaen" w:cs="Sylfaen"/>
          <w:sz w:val="24"/>
        </w:rPr>
        <w:t xml:space="preserve"> </w:t>
      </w:r>
      <w:r w:rsidRPr="004D449D">
        <w:rPr>
          <w:rFonts w:ascii="Sylfaen" w:hAnsi="Sylfaen" w:cs="Sylfaen"/>
          <w:sz w:val="24"/>
        </w:rPr>
        <w:t>на</w:t>
      </w:r>
      <w:r>
        <w:rPr>
          <w:rFonts w:ascii="Sylfaen" w:hAnsi="Sylfaen" w:cs="Sylfaen"/>
          <w:sz w:val="24"/>
        </w:rPr>
        <w:t xml:space="preserve"> </w:t>
      </w:r>
      <w:r w:rsidRPr="004D449D">
        <w:rPr>
          <w:rFonts w:ascii="Sylfaen" w:hAnsi="Sylfaen" w:cs="Sylfaen"/>
          <w:sz w:val="24"/>
        </w:rPr>
        <w:t>достижение целей, установленных Основными направлениями экономического развития Евразийского экономического союза, утвержденными Решением Высшего Евразийского экономического совета от 16 октября 2015 г. № 28, а также на решение задач, определенных стратегическими и программными документами государств - членов Евразийского экономического союза (далее соответственно - государства-члены, Союз).</w:t>
      </w:r>
    </w:p>
    <w:p w14:paraId="4AA80B1D"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Утвержденные Решением Высшего Евразийского экономического совета</w:t>
      </w:r>
      <w:r>
        <w:rPr>
          <w:rFonts w:ascii="Sylfaen" w:hAnsi="Sylfaen" w:cs="Sylfaen"/>
          <w:sz w:val="24"/>
        </w:rPr>
        <w:t xml:space="preserve"> </w:t>
      </w:r>
      <w:r w:rsidRPr="004D449D">
        <w:rPr>
          <w:rFonts w:ascii="Sylfaen" w:hAnsi="Sylfaen" w:cs="Sylfaen"/>
          <w:sz w:val="24"/>
        </w:rPr>
        <w:t>от</w:t>
      </w:r>
      <w:r>
        <w:rPr>
          <w:rFonts w:ascii="Sylfaen" w:hAnsi="Sylfaen" w:cs="Sylfaen"/>
          <w:sz w:val="24"/>
        </w:rPr>
        <w:t xml:space="preserve"> </w:t>
      </w:r>
      <w:r w:rsidRPr="004D449D">
        <w:rPr>
          <w:rFonts w:ascii="Sylfaen" w:hAnsi="Sylfaen" w:cs="Sylfaen"/>
          <w:sz w:val="24"/>
        </w:rPr>
        <w:t>14 апреля</w:t>
      </w:r>
      <w:r>
        <w:rPr>
          <w:rFonts w:ascii="Sylfaen" w:hAnsi="Sylfaen" w:cs="Sylfaen"/>
          <w:sz w:val="24"/>
        </w:rPr>
        <w:t xml:space="preserve"> </w:t>
      </w:r>
      <w:r w:rsidRPr="004D449D">
        <w:rPr>
          <w:rFonts w:ascii="Sylfaen" w:hAnsi="Sylfaen" w:cs="Sylfaen"/>
          <w:sz w:val="24"/>
        </w:rPr>
        <w:t>2017 г. №</w:t>
      </w:r>
      <w:r>
        <w:rPr>
          <w:rFonts w:ascii="Sylfaen" w:hAnsi="Sylfaen" w:cs="Sylfaen"/>
          <w:sz w:val="24"/>
        </w:rPr>
        <w:t xml:space="preserve"> </w:t>
      </w:r>
      <w:r w:rsidRPr="004D449D">
        <w:rPr>
          <w:rFonts w:ascii="Sylfaen" w:hAnsi="Sylfaen" w:cs="Sylfaen"/>
          <w:sz w:val="24"/>
        </w:rPr>
        <w:t>7</w:t>
      </w:r>
      <w:r>
        <w:rPr>
          <w:rFonts w:ascii="Sylfaen" w:hAnsi="Sylfaen" w:cs="Sylfaen"/>
          <w:sz w:val="24"/>
        </w:rPr>
        <w:t xml:space="preserve"> </w:t>
      </w:r>
      <w:r w:rsidRPr="004D449D">
        <w:rPr>
          <w:rFonts w:ascii="Sylfaen" w:hAnsi="Sylfaen" w:cs="Sylfaen"/>
          <w:sz w:val="24"/>
        </w:rPr>
        <w:t>основные ориентиры макроэкономической политики государств - членов Евразийского экономического союза на 2017 - 2018 годы учитывались государствами- членами при проведении макроэкономической политики, что способствовало преодолению последствий влияния негативных внешних факторов предыдущих лет и улучшению ситуации в национальных экономиках.</w:t>
      </w:r>
    </w:p>
    <w:p w14:paraId="2BBF3C2A"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После снижения экономической активности в Союзе в 2015 - 2016 годах в 2017 году наблюдалось ее постепенное</w:t>
      </w:r>
      <w:r w:rsidR="00220108" w:rsidRPr="00220108">
        <w:rPr>
          <w:rFonts w:ascii="Sylfaen" w:hAnsi="Sylfaen" w:cs="Sylfaen"/>
          <w:sz w:val="24"/>
        </w:rPr>
        <w:t xml:space="preserve"> </w:t>
      </w:r>
      <w:r w:rsidRPr="004D449D">
        <w:rPr>
          <w:rFonts w:ascii="Sylfaen" w:hAnsi="Sylfaen" w:cs="Sylfaen"/>
          <w:sz w:val="24"/>
        </w:rPr>
        <w:t>восстановление. На фоне роста потребительского спроса и умеренного повышения цен на основные экспортные товары государств-членов в целом по Союзу наблюдались рост выпуска продукции в промышленном и агропромышленном производстве, увеличение объемов грузоперевозок и оборота розничной торговли.</w:t>
      </w:r>
    </w:p>
    <w:p w14:paraId="6273EEEC"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В результате проведения правительствами и национальными (центральными) банками государств-членов активной экономической политики на фоне некоторого улучшения внешних и внутренних условий все государства-члены достигли положительных темпов экономического роста. При этом темпы роста экономик Республики Армения, Республики Казахстан и Кыргызской Республики оказались выше среднемировых значений.</w:t>
      </w:r>
    </w:p>
    <w:p w14:paraId="14A1C182"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 xml:space="preserve">Поддержание гибкости обменных курсов национальных валют обеспечило государствам-членам внешнюю сбалансированность и способствовало повышению конкурентоспособности их экспорта. Существенно вырос объем внешней торговли товарами, при этом экспортная и импортная составляющие растут сопоставимыми темпами. Еще более значительным явилось увеличение объема взаимной торговли товарами в рамках Союза, где более высокими темпами рос экспорт продукции </w:t>
      </w:r>
      <w:r w:rsidRPr="004D449D">
        <w:rPr>
          <w:rFonts w:ascii="Sylfaen" w:hAnsi="Sylfaen" w:cs="Sylfaen"/>
          <w:sz w:val="24"/>
        </w:rPr>
        <w:lastRenderedPageBreak/>
        <w:t>средне- и высокотехнологичных производств.</w:t>
      </w:r>
    </w:p>
    <w:p w14:paraId="1C894FAD"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Формированию позитивных экономических результатов в значительной степени способствовало улучшение макроэкономической ситуации в Союзе.</w:t>
      </w:r>
      <w:r>
        <w:rPr>
          <w:rFonts w:ascii="Sylfaen" w:hAnsi="Sylfaen" w:cs="Sylfaen"/>
          <w:sz w:val="24"/>
        </w:rPr>
        <w:t xml:space="preserve"> </w:t>
      </w:r>
      <w:r w:rsidRPr="004D449D">
        <w:rPr>
          <w:rFonts w:ascii="Sylfaen" w:hAnsi="Sylfaen" w:cs="Sylfaen"/>
          <w:sz w:val="24"/>
        </w:rPr>
        <w:t>В</w:t>
      </w:r>
      <w:r>
        <w:rPr>
          <w:rFonts w:ascii="Sylfaen" w:hAnsi="Sylfaen" w:cs="Sylfaen"/>
          <w:sz w:val="24"/>
        </w:rPr>
        <w:t xml:space="preserve"> </w:t>
      </w:r>
      <w:r w:rsidRPr="004D449D">
        <w:rPr>
          <w:rFonts w:ascii="Sylfaen" w:hAnsi="Sylfaen" w:cs="Sylfaen"/>
          <w:sz w:val="24"/>
        </w:rPr>
        <w:t>результате</w:t>
      </w:r>
      <w:r>
        <w:rPr>
          <w:rFonts w:ascii="Sylfaen" w:hAnsi="Sylfaen" w:cs="Sylfaen"/>
          <w:sz w:val="24"/>
        </w:rPr>
        <w:t xml:space="preserve"> </w:t>
      </w:r>
      <w:r w:rsidRPr="004D449D">
        <w:rPr>
          <w:rFonts w:ascii="Sylfaen" w:hAnsi="Sylfaen" w:cs="Sylfaen"/>
          <w:sz w:val="24"/>
        </w:rPr>
        <w:t>реализации</w:t>
      </w:r>
      <w:r>
        <w:rPr>
          <w:rFonts w:ascii="Sylfaen" w:hAnsi="Sylfaen" w:cs="Sylfaen"/>
          <w:sz w:val="24"/>
        </w:rPr>
        <w:t xml:space="preserve"> </w:t>
      </w:r>
      <w:r w:rsidRPr="004D449D">
        <w:rPr>
          <w:rFonts w:ascii="Sylfaen" w:hAnsi="Sylfaen" w:cs="Sylfaen"/>
          <w:sz w:val="24"/>
        </w:rPr>
        <w:t>эффективных национальных антиинфляционных мер и учета рекомендаций Евразийской экономической комиссии (далее - Комиссия), направленных на снижение уровня инфляции в Республике Беларусь, Республике</w:t>
      </w:r>
      <w:r>
        <w:rPr>
          <w:rFonts w:ascii="Sylfaen" w:hAnsi="Sylfaen" w:cs="Sylfaen"/>
          <w:sz w:val="24"/>
        </w:rPr>
        <w:t xml:space="preserve"> </w:t>
      </w:r>
      <w:r w:rsidRPr="004D449D">
        <w:rPr>
          <w:rFonts w:ascii="Sylfaen" w:hAnsi="Sylfaen" w:cs="Sylfaen"/>
          <w:sz w:val="24"/>
        </w:rPr>
        <w:t>Казахстан</w:t>
      </w:r>
      <w:r>
        <w:rPr>
          <w:rFonts w:ascii="Sylfaen" w:hAnsi="Sylfaen" w:cs="Sylfaen"/>
          <w:sz w:val="24"/>
        </w:rPr>
        <w:t xml:space="preserve"> </w:t>
      </w:r>
      <w:r w:rsidRPr="004D449D">
        <w:rPr>
          <w:rFonts w:ascii="Sylfaen" w:hAnsi="Sylfaen" w:cs="Sylfaen"/>
          <w:sz w:val="24"/>
        </w:rPr>
        <w:t>и</w:t>
      </w:r>
      <w:r>
        <w:rPr>
          <w:rFonts w:ascii="Sylfaen" w:hAnsi="Sylfaen" w:cs="Sylfaen"/>
          <w:sz w:val="24"/>
        </w:rPr>
        <w:t xml:space="preserve"> </w:t>
      </w:r>
      <w:r w:rsidRPr="004D449D">
        <w:rPr>
          <w:rFonts w:ascii="Sylfaen" w:hAnsi="Sylfaen" w:cs="Sylfaen"/>
          <w:sz w:val="24"/>
        </w:rPr>
        <w:t>Российской</w:t>
      </w:r>
      <w:r>
        <w:rPr>
          <w:rFonts w:ascii="Sylfaen" w:hAnsi="Sylfaen" w:cs="Sylfaen"/>
          <w:sz w:val="24"/>
        </w:rPr>
        <w:t xml:space="preserve"> </w:t>
      </w:r>
      <w:r w:rsidRPr="004D449D">
        <w:rPr>
          <w:rFonts w:ascii="Sylfaen" w:hAnsi="Sylfaen" w:cs="Sylfaen"/>
          <w:sz w:val="24"/>
        </w:rPr>
        <w:t>Федерации,</w:t>
      </w:r>
      <w:r>
        <w:rPr>
          <w:rFonts w:ascii="Sylfaen" w:hAnsi="Sylfaen" w:cs="Sylfaen"/>
          <w:sz w:val="24"/>
        </w:rPr>
        <w:t xml:space="preserve"> </w:t>
      </w:r>
      <w:r w:rsidRPr="004D449D">
        <w:rPr>
          <w:rFonts w:ascii="Sylfaen" w:hAnsi="Sylfaen" w:cs="Sylfaen"/>
          <w:sz w:val="24"/>
        </w:rPr>
        <w:t>темпы роста потребительских цен в указанных странах были снижены. В то же время</w:t>
      </w:r>
      <w:r w:rsidR="00220108" w:rsidRPr="00220108">
        <w:rPr>
          <w:rFonts w:ascii="Sylfaen" w:hAnsi="Sylfaen" w:cs="Sylfaen"/>
          <w:sz w:val="24"/>
        </w:rPr>
        <w:t xml:space="preserve"> </w:t>
      </w:r>
      <w:r w:rsidRPr="004D449D">
        <w:rPr>
          <w:rFonts w:ascii="Sylfaen" w:hAnsi="Sylfaen" w:cs="Sylfaen"/>
          <w:sz w:val="24"/>
        </w:rPr>
        <w:t>Республика Армения и Кыргызская Республика преодолели дефляцию вследствие реализации стимулирующей денежно-кредитной политики и восстановления потребительского спроса. В результате реализации комплекса мер на национальном и интеграционном уровнях впервые за период существования Союза зафиксировано соблюдение всеми государствами-членами предельного расчетного количественного значения показателя инфляции (индекса потребительских цен), установленного Договором. В дальнейшем государства-члены продолжат направлять усилия на поддержание инфляции на стабильно низком уровне с целью создания благоприятных условий для экономического развития.</w:t>
      </w:r>
    </w:p>
    <w:p w14:paraId="5AC26335"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В бюджетной сфере в 2017 году наблюдалось улучшение показателей в большинстве государств-членов. В Республике Армения, Кыргызской Республике и Российской Федерации зафиксировано сокращение дефицита консолидированного бюджета сектора государственного</w:t>
      </w:r>
      <w:r>
        <w:rPr>
          <w:rFonts w:ascii="Sylfaen" w:hAnsi="Sylfaen" w:cs="Sylfaen"/>
          <w:sz w:val="24"/>
        </w:rPr>
        <w:t xml:space="preserve"> </w:t>
      </w:r>
      <w:r w:rsidRPr="004D449D">
        <w:rPr>
          <w:rFonts w:ascii="Sylfaen" w:hAnsi="Sylfaen" w:cs="Sylfaen"/>
          <w:sz w:val="24"/>
        </w:rPr>
        <w:t>управления,</w:t>
      </w:r>
      <w:r>
        <w:rPr>
          <w:rFonts w:ascii="Sylfaen" w:hAnsi="Sylfaen" w:cs="Sylfaen"/>
          <w:sz w:val="24"/>
        </w:rPr>
        <w:t xml:space="preserve"> </w:t>
      </w:r>
      <w:r w:rsidRPr="004D449D">
        <w:rPr>
          <w:rFonts w:ascii="Sylfaen" w:hAnsi="Sylfaen" w:cs="Sylfaen"/>
          <w:sz w:val="24"/>
        </w:rPr>
        <w:t>в</w:t>
      </w:r>
      <w:r>
        <w:rPr>
          <w:rFonts w:ascii="Sylfaen" w:hAnsi="Sylfaen" w:cs="Sylfaen"/>
          <w:sz w:val="24"/>
        </w:rPr>
        <w:t xml:space="preserve"> </w:t>
      </w:r>
      <w:r w:rsidRPr="004D449D">
        <w:rPr>
          <w:rFonts w:ascii="Sylfaen" w:hAnsi="Sylfaen" w:cs="Sylfaen"/>
          <w:sz w:val="24"/>
        </w:rPr>
        <w:t>Республике Беларусь консолидированный бюджет исполнен с профицитом. Вместе с тем, по оценке Комиссии, по итогам 2017 года существует риск превышения Республикой Армения, Республикой Казахстан и Кыргызской Республикой установленного Договором количественного значения дефицита консолидированного бюджета сектора государственного управления. Кроме того, Республика Армения и Кыргызская Республика могут превысить установленное Договором значение показателя долга сектора государственного управления, рост которого был обусловлен необходимостью финансирования дефицита консолидированного бюджета сектора государственного управления и инвестиционных проектов.</w:t>
      </w:r>
    </w:p>
    <w:p w14:paraId="6E64CD68"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Обеспечение государствами-членами текущей бюджетной сбалансированности и долгосрочной устойчивости государственных финансов является необходимым условием для проведения последовательной экономической политики, направленной на экономическое развитие.</w:t>
      </w:r>
    </w:p>
    <w:p w14:paraId="2C28F0DD"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 xml:space="preserve">Важнейшим фактором поддержания позитивной экономической динамики, позволяющим привлечь дополнительные ресурсы в экономику и увеличить доходную составляющую государственного бюджета, становится стимулирование инвестиционной активности. В 2017 году в государствах-членах наметился рост инвестирования в основной капитал, однако государственное финансирование инвестиционных проектов в реальном секторе оставалось на высоком уровне, что увеличивало нагрузку на государственные бюджеты. Необходимо проводить активную политику, направленную на стимулирование привлечения частных </w:t>
      </w:r>
      <w:r w:rsidRPr="004D449D">
        <w:rPr>
          <w:rFonts w:ascii="Sylfaen" w:hAnsi="Sylfaen" w:cs="Sylfaen"/>
          <w:sz w:val="24"/>
        </w:rPr>
        <w:lastRenderedPageBreak/>
        <w:t>инвестиций в экономики государств-членов в первую очередь за счет улучшения делового климата в Союзе.</w:t>
      </w:r>
    </w:p>
    <w:p w14:paraId="39AD1F49"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На фоне стабилизации макроэкономической ситуации в государствах-членах и улучшения условий торговли становится особенно важным использовать «окно возможностей» и предпринять усилия по модернизации экономики и повышению производительности в реальном секторе. Цифровая трансформация экономики, разработка и внедрение новых технологий, развитие человеческого капитала и инфраструктуры</w:t>
      </w:r>
      <w:r>
        <w:rPr>
          <w:rFonts w:ascii="Sylfaen" w:hAnsi="Sylfaen" w:cs="Sylfaen"/>
          <w:sz w:val="24"/>
        </w:rPr>
        <w:t xml:space="preserve"> </w:t>
      </w:r>
      <w:r w:rsidRPr="004D449D">
        <w:rPr>
          <w:rFonts w:ascii="Sylfaen" w:hAnsi="Sylfaen" w:cs="Sylfaen"/>
          <w:sz w:val="24"/>
        </w:rPr>
        <w:t>будут</w:t>
      </w:r>
      <w:r>
        <w:rPr>
          <w:rFonts w:ascii="Sylfaen" w:hAnsi="Sylfaen" w:cs="Sylfaen"/>
          <w:sz w:val="24"/>
        </w:rPr>
        <w:t xml:space="preserve"> </w:t>
      </w:r>
      <w:r w:rsidRPr="004D449D">
        <w:rPr>
          <w:rFonts w:ascii="Sylfaen" w:hAnsi="Sylfaen" w:cs="Sylfaen"/>
          <w:sz w:val="24"/>
        </w:rPr>
        <w:t>способствовать</w:t>
      </w:r>
      <w:r>
        <w:rPr>
          <w:rFonts w:ascii="Sylfaen" w:hAnsi="Sylfaen" w:cs="Sylfaen"/>
          <w:sz w:val="24"/>
        </w:rPr>
        <w:t xml:space="preserve"> </w:t>
      </w:r>
      <w:r w:rsidRPr="004D449D">
        <w:rPr>
          <w:rFonts w:ascii="Sylfaen" w:hAnsi="Sylfaen" w:cs="Sylfaen"/>
          <w:sz w:val="24"/>
        </w:rPr>
        <w:t>наращиванию производственного потенциала государств-членов, повышению прибыльности реального сектора и доходов государственного бюджета, росту благосостояния населения и конкурентоспособности государств- членов на международном уровне.</w:t>
      </w:r>
    </w:p>
    <w:p w14:paraId="4195F48F"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Развивая производственный потенциал и повышая эффективность производства необходимо учитывать, что возможности внутреннего спроса в каждом государстве-члене ограничены и увеличение производительности необходимо поддерживать посредством укрепления внешнеторговых связей и развития внутреннего рынка Союза, что позволит обеспечить новые возможности для развития несырьсвого экспорта и расширения экспортной специализации государств-членов.</w:t>
      </w:r>
    </w:p>
    <w:p w14:paraId="30D3DEE7"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Влияние внешних условий на развитие экономик государств- членов в 2018 - 2019 годах будет в основном обусловлено вероятным ускорением темпов роста мировой экономики и воздействием динамики цен на сырьевых рынках на экономическую ситуацию. В этот период Международный валютный фонд прогнозирует ежегодный рост мировой экономики на уровне 3,9 процента. В соответствии с прогнозными оценками Всемирного банка также предполагается, что мировая экономика будет расти более высокими темпами, чем в 2017 году. Риски дестабилизирующего влияния изменения сырьевых цен сохранятся в связи с сохранением структурных ограничений в экономиках государств-членов.</w:t>
      </w:r>
    </w:p>
    <w:p w14:paraId="4B1B0C4C"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Приоритетными целями экономической политики на среднесрочный период в этих условиях становятся активизация процесса восстановления экономического роста и создание базиса для устойчивого экономического развития государств-членов.</w:t>
      </w:r>
    </w:p>
    <w:p w14:paraId="67B3AB47"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В связи с этим основными ориентирами макроэкономической политики государств-членов на 2018 - 2019 годы будут стремление к достижению в среднесрочном периоде темпов экономического роста в Союзе не ниже 2 процентов и поддержание показателей инфляции вблизи либо в пределах национальных ориентиров.</w:t>
      </w:r>
    </w:p>
    <w:p w14:paraId="72BEC3AB"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Достижение намеченных макроэкономических ориентиров предусматривает реализацию национальных и интеграционных мер по следующим направлениям.</w:t>
      </w:r>
    </w:p>
    <w:p w14:paraId="1B656126"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Создание благоприятных макроэкономических условий, в том числе:</w:t>
      </w:r>
    </w:p>
    <w:p w14:paraId="1B4CA32F"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обеспечение ценовой стабильности;</w:t>
      </w:r>
    </w:p>
    <w:p w14:paraId="661CF446"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 xml:space="preserve">повышение доверия к политике национальных (центральных) банков </w:t>
      </w:r>
      <w:r w:rsidRPr="004D449D">
        <w:rPr>
          <w:rFonts w:ascii="Sylfaen" w:hAnsi="Sylfaen" w:cs="Sylfaen"/>
          <w:sz w:val="24"/>
        </w:rPr>
        <w:lastRenderedPageBreak/>
        <w:t>государств-членов с целью снижения инфляционных ожиданий;</w:t>
      </w:r>
    </w:p>
    <w:p w14:paraId="7FD41617"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подготовка Комиссией рекомендаций, направленных на снижение дефицита консолидированного бюджета и долга сектора государственного управления, в случае превышения государствами- членами количественных значений указанных макроэкономических показателей;</w:t>
      </w:r>
    </w:p>
    <w:p w14:paraId="06606972"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разработка подходов к снижению зависимости государственных финансов от циклических колебаний экономики и внешнеэкономической конъюнктуры, в том числе путем совершенствования бюджетных правил государств-членов;</w:t>
      </w:r>
    </w:p>
    <w:p w14:paraId="3BB9DBE8"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обеспечение в среднесрочной перспективе постепенной бюджетной консолидации;</w:t>
      </w:r>
    </w:p>
    <w:p w14:paraId="64363489"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принятие государствами-членами мер по обеспечению долговой устойчивости государственных финансов.</w:t>
      </w:r>
    </w:p>
    <w:p w14:paraId="0E8A6322"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Стимулирование инвестиционной активности и улучшение делового климата, в том числе:</w:t>
      </w:r>
    </w:p>
    <w:p w14:paraId="6E09D063"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поддержание в среднесрочном периоде налоговой нагрузки на хозяйствующие субъекты государств-членов на стабильном и экономически обоснованном уровне;</w:t>
      </w:r>
    </w:p>
    <w:p w14:paraId="098C5948"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создание системы эффективных налоговых льгот, вычетов и других механизмов, направленных на стимулирование инвестиционной активности;</w:t>
      </w:r>
    </w:p>
    <w:p w14:paraId="6849E79C"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совершенствование правового регулирования и внедрение в практику эффективных и взаимовыгодных механизмов привлечения частного капитала к реализации государственных проектов, в том числе на основе принципов государственно-частного партнерства;</w:t>
      </w:r>
    </w:p>
    <w:p w14:paraId="76473E4F"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развитие механизмов коллективного и венчурного инвестирования в целях улучшения финансовых возможностей малого и среднего бизнеса;</w:t>
      </w:r>
    </w:p>
    <w:p w14:paraId="262E5975"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расширение возможностей повышения доступности долгосрочных кредитных ресурсов, в том числе с привлечением инвестиций национальных и региональных институтов развития;</w:t>
      </w:r>
    </w:p>
    <w:p w14:paraId="5B2AA19D"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улучшение институциональной среды для ведения бизнеса.</w:t>
      </w:r>
    </w:p>
    <w:p w14:paraId="0D86E226"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Создание условий для повышения производительности в реальном секторе экономики, в том числе:</w:t>
      </w:r>
    </w:p>
    <w:p w14:paraId="0A9E84AE"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принятие и реализация государствами-членами стратегических и программных документов, направленных на повышение производительности;</w:t>
      </w:r>
    </w:p>
    <w:p w14:paraId="7E54B583"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стимулирование опережающего развития высокотехнологичных отраслей обрабатывающей промышленности;</w:t>
      </w:r>
    </w:p>
    <w:p w14:paraId="12C46C89"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продолжение реализации структурных преобразований в экономиках государств-членов;</w:t>
      </w:r>
    </w:p>
    <w:p w14:paraId="148486AF"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стимулирование процессов модернизации и внедрения инновационных продуктов и технологий в реальном секторе;</w:t>
      </w:r>
    </w:p>
    <w:p w14:paraId="3B2FA2EB"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lastRenderedPageBreak/>
        <w:t>развитие индустриальной инфраструктуры;</w:t>
      </w:r>
    </w:p>
    <w:p w14:paraId="2D89E5D1"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реализация цифровой повестки Союза и внедрение цифровых технологий в различные сферы экономик государств-членов;</w:t>
      </w:r>
    </w:p>
    <w:p w14:paraId="1E42519A"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реализация межгосударственных программ и проектов в промышленной сфере с участием государств-членов;</w:t>
      </w:r>
    </w:p>
    <w:p w14:paraId="71415024"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развитие возможностей профессионального обучения и переобучения, повышения квалификации трудящихся в целях улучшения качества трудовых ресурсов и роста эффективной занятости;</w:t>
      </w:r>
    </w:p>
    <w:p w14:paraId="71AC750E"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расширение возможностей в сфере трудовой и академической мобильности в рамках Союза.</w:t>
      </w:r>
    </w:p>
    <w:p w14:paraId="00137D38"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Укрепление внешнеторговых связей и развитие внутреннего рынка Союза, в том числе:</w:t>
      </w:r>
    </w:p>
    <w:p w14:paraId="06B78CD0"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продолжение работы по выявлению и поэтапному устранению барьеров, а также сокращению изъятий и ограничений на внутреннем рынке Союза;</w:t>
      </w:r>
    </w:p>
    <w:p w14:paraId="4AA1B545"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оптимизация операций, совершаемых на таможенной границе Союза в отношении товаров, перемещаемых участниками внешнеэкономической деятельности, путем обеспечения эффективного таможенного и иных видов контроля;</w:t>
      </w:r>
    </w:p>
    <w:p w14:paraId="38B3F7EB"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формирование в рамках Союза единых рынков услуг в секторах и в сроки, которые установлены решениями Высшего Евразийского экономического совета;</w:t>
      </w:r>
    </w:p>
    <w:p w14:paraId="6B3AD08E"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развитие транспортно-логистического потенциала Союза и использование его транзитных возможностей;</w:t>
      </w:r>
    </w:p>
    <w:p w14:paraId="4A5FBDCA"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 w:val="24"/>
        </w:rPr>
      </w:pPr>
      <w:r w:rsidRPr="004D449D">
        <w:rPr>
          <w:rFonts w:ascii="Sylfaen" w:hAnsi="Sylfaen" w:cs="Sylfaen"/>
          <w:sz w:val="24"/>
        </w:rPr>
        <w:t>продолжение работы по интенсификации торгово-экономического сотрудничества с третьими сторонами с целью расширения экспортных возможностей;</w:t>
      </w:r>
    </w:p>
    <w:p w14:paraId="5600BEEE" w14:textId="77777777" w:rsidR="008C226D" w:rsidRPr="004D449D" w:rsidRDefault="004D449D" w:rsidP="00220108">
      <w:pPr>
        <w:pStyle w:val="Bodytext20"/>
        <w:shd w:val="clear" w:color="auto" w:fill="auto"/>
        <w:spacing w:before="0" w:after="120" w:line="240" w:lineRule="auto"/>
        <w:ind w:right="1" w:firstLine="567"/>
        <w:rPr>
          <w:rFonts w:ascii="Sylfaen" w:hAnsi="Sylfaen" w:cs="Sylfaen"/>
          <w:szCs w:val="2"/>
        </w:rPr>
      </w:pPr>
      <w:r w:rsidRPr="004D449D">
        <w:rPr>
          <w:rFonts w:ascii="Sylfaen" w:hAnsi="Sylfaen" w:cs="Sylfaen"/>
          <w:sz w:val="24"/>
        </w:rPr>
        <w:t>углубление взаимодействия с международными организациями и другими интеграционными объединениями в экономической сфере.</w:t>
      </w:r>
    </w:p>
    <w:sectPr w:rsidR="008C226D" w:rsidRPr="004D449D" w:rsidSect="004D449D">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4FE1B" w14:textId="77777777" w:rsidR="0058389B" w:rsidRDefault="0058389B" w:rsidP="008C226D">
      <w:r>
        <w:separator/>
      </w:r>
    </w:p>
  </w:endnote>
  <w:endnote w:type="continuationSeparator" w:id="0">
    <w:p w14:paraId="669C14CC" w14:textId="77777777" w:rsidR="0058389B" w:rsidRDefault="0058389B" w:rsidP="008C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AE251" w14:textId="77777777" w:rsidR="0058389B" w:rsidRDefault="0058389B">
      <w:r>
        <w:separator/>
      </w:r>
    </w:p>
  </w:footnote>
  <w:footnote w:type="continuationSeparator" w:id="0">
    <w:p w14:paraId="78D47E89" w14:textId="77777777" w:rsidR="0058389B" w:rsidRDefault="0058389B">
      <w:r>
        <w:continuationSeparator/>
      </w:r>
    </w:p>
  </w:footnote>
  <w:footnote w:id="1">
    <w:p w14:paraId="59F93CF3"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http://www.government.bv/upload/docs/program ek2016-2020.pdf</w:t>
      </w:r>
    </w:p>
  </w:footnote>
  <w:footnote w:id="2">
    <w:p w14:paraId="49A40B52"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http://minfm.am/ru/page/gosudarstvennyi </w:t>
      </w:r>
      <w:proofErr w:type="spellStart"/>
      <w:r w:rsidR="005E26A4" w:rsidRPr="005E26A4">
        <w:rPr>
          <w:rFonts w:ascii="Sylfaen" w:eastAsia="Times New Roman" w:hAnsi="Sylfaen" w:cs="Times New Roman"/>
          <w:u w:val="single"/>
          <w:lang w:val="en-US"/>
        </w:rPr>
        <w:t>byudzhet</w:t>
      </w:r>
      <w:proofErr w:type="spellEnd"/>
      <w:r w:rsidR="005E26A4" w:rsidRPr="005E26A4">
        <w:rPr>
          <w:rFonts w:ascii="Sylfaen" w:eastAsia="Times New Roman" w:hAnsi="Sylfaen" w:cs="Times New Roman"/>
          <w:u w:val="single"/>
          <w:lang w:val="en-US"/>
        </w:rPr>
        <w:t xml:space="preserve"> 2017g/</w:t>
      </w:r>
    </w:p>
  </w:footnote>
  <w:footnote w:id="3">
    <w:p w14:paraId="355328D9"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http://www.government.by/upload/docs/program ek2016-2020.pdf</w:t>
      </w:r>
    </w:p>
  </w:footnote>
  <w:footnote w:id="4">
    <w:p w14:paraId="5252E16D"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http://www.nationalbank.kz/?docid=779&amp;switch=russian</w:t>
      </w:r>
    </w:p>
  </w:footnote>
  <w:footnote w:id="5">
    <w:p w14:paraId="509EEF35"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http://cbd.miniust.gov.kg/act/view/ru-ru/61526?cl=ru-ru</w:t>
      </w:r>
    </w:p>
  </w:footnote>
  <w:footnote w:id="6">
    <w:p w14:paraId="7C4BB192"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http://www.nbkr.kg/DOC/18062015/000000000036108.pdf</w:t>
      </w:r>
    </w:p>
  </w:footnote>
  <w:footnote w:id="7">
    <w:p w14:paraId="7EE82EC3"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http://www.cbr.ru/publ/ondkp/on 2017(2018-2019).pdf</w:t>
      </w:r>
    </w:p>
  </w:footnote>
  <w:footnote w:id="8">
    <w:p w14:paraId="2C56F171"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http://www.nbrb.bv/Legislation/documents/ondkp2018.pdf</w:t>
      </w:r>
    </w:p>
  </w:footnote>
  <w:footnote w:id="9">
    <w:p w14:paraId="1E79469B"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http://www,nationalbank.kz/?docid=</w:t>
      </w:r>
      <w:r w:rsidR="005E26A4" w:rsidRPr="005E26A4">
        <w:rPr>
          <w:rFonts w:ascii="Sylfaen" w:eastAsia="Times New Roman" w:hAnsi="Sylfaen" w:cs="Times New Roman"/>
          <w:u w:val="single"/>
          <w:vertAlign w:val="superscript"/>
          <w:lang w:val="en-US"/>
        </w:rPr>
        <w:t>:</w:t>
      </w:r>
      <w:r w:rsidR="005E26A4" w:rsidRPr="005E26A4">
        <w:rPr>
          <w:rFonts w:ascii="Sylfaen" w:eastAsia="Times New Roman" w:hAnsi="Sylfaen" w:cs="Times New Roman"/>
          <w:u w:val="single"/>
          <w:lang w:val="en-US"/>
        </w:rPr>
        <w:t>223&amp;switch=mssian</w:t>
      </w:r>
    </w:p>
  </w:footnote>
  <w:footnote w:id="10">
    <w:p w14:paraId="2D9677E2"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https://www.cba.am/RU/panalyticalmaterialsresearches/Razm 15 17 rus.pdf</w:t>
      </w:r>
    </w:p>
  </w:footnote>
  <w:footnote w:id="11">
    <w:p w14:paraId="0081EF33"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http://www.nationalbank.kz/?docid=223&amp;switch=russian</w:t>
      </w:r>
    </w:p>
  </w:footnote>
  <w:footnote w:id="12">
    <w:p w14:paraId="13C21FB1"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http://www.cbr.ru/publ/ondkp/on 2018(2019-2020).pdf</w:t>
      </w:r>
    </w:p>
  </w:footnote>
  <w:footnote w:id="13">
    <w:p w14:paraId="19468A91"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https://www.zakon.kz/49Q 1179-pravitelstvo-i-natsbank-rk-predstavili.html</w:t>
      </w:r>
    </w:p>
  </w:footnote>
  <w:footnote w:id="14">
    <w:p w14:paraId="423EA3AC"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http://www.eurasiancommission.org/ru/act/trade/SiteAssets/%D 1 %81 %D0%B 1 %D0%BE%D 1 %80%D0%BD%D0%B 8%D0%BA%20%D0%BF%D 1 %83%D0%B 1 %D0%BB%D0%B A%D0%B8%D0%B0%D 1 %86%D0%B8%D0%B9% 20%D0%BF%D0%BE%2Q%D0%B8%D 1 %82%D0%BE%D0%B3%D0%B0%D0%BC%20%D 1 %81 %D0%B5%D0 %BC%D0%B8%D0%BD%D0%B0%D1%80%D0%B0%20%D0%BF%D0%BE%20%D0%9E%D0%AD%D0%A1% D0%A0.pdf</w:t>
      </w:r>
    </w:p>
  </w:footnote>
  <w:footnote w:id="15">
    <w:p w14:paraId="7819C826" w14:textId="77777777" w:rsidR="009E392A" w:rsidRPr="009E392A" w:rsidRDefault="009E392A">
      <w:pPr>
        <w:pStyle w:val="FootnoteText"/>
        <w:rPr>
          <w:lang w:val="en-US"/>
        </w:rPr>
      </w:pPr>
      <w:r>
        <w:rPr>
          <w:rStyle w:val="FootnoteReference"/>
        </w:rPr>
        <w:footnoteRef/>
      </w:r>
      <w:r>
        <w:t xml:space="preserve"> </w:t>
      </w:r>
      <w:r w:rsidR="005E26A4" w:rsidRPr="00FB068B">
        <w:rPr>
          <w:rFonts w:ascii="Sylfaen" w:eastAsia="Times New Roman" w:hAnsi="Sylfaen" w:cs="Times New Roman"/>
          <w:u w:val="single"/>
        </w:rPr>
        <w:t>https://oecdcentre.hse.ru/seminareec2017</w:t>
      </w:r>
    </w:p>
  </w:footnote>
  <w:footnote w:id="16">
    <w:p w14:paraId="1020470E"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http://arka.am/ru/news/economv/vidv </w:t>
      </w:r>
      <w:proofErr w:type="spellStart"/>
      <w:r w:rsidR="005E26A4" w:rsidRPr="005E26A4">
        <w:rPr>
          <w:rFonts w:ascii="Sylfaen" w:eastAsia="Times New Roman" w:hAnsi="Sylfaen" w:cs="Times New Roman"/>
          <w:u w:val="single"/>
          <w:lang w:val="en-US"/>
        </w:rPr>
        <w:t>deyatelnosti</w:t>
      </w:r>
      <w:proofErr w:type="spellEnd"/>
      <w:r w:rsidR="005E26A4" w:rsidRPr="005E26A4">
        <w:rPr>
          <w:rFonts w:ascii="Sylfaen" w:eastAsia="Times New Roman" w:hAnsi="Sylfaen" w:cs="Times New Roman"/>
          <w:u w:val="single"/>
          <w:lang w:val="en-US"/>
        </w:rPr>
        <w:t xml:space="preserve"> </w:t>
      </w:r>
      <w:proofErr w:type="spellStart"/>
      <w:r w:rsidR="005E26A4" w:rsidRPr="005E26A4">
        <w:rPr>
          <w:rFonts w:ascii="Sylfaen" w:eastAsia="Times New Roman" w:hAnsi="Sylfaen" w:cs="Times New Roman"/>
          <w:u w:val="single"/>
          <w:lang w:val="en-US"/>
        </w:rPr>
        <w:t>osvobozhdennye</w:t>
      </w:r>
      <w:proofErr w:type="spellEnd"/>
      <w:r w:rsidR="005E26A4" w:rsidRPr="005E26A4">
        <w:rPr>
          <w:rFonts w:ascii="Sylfaen" w:eastAsia="Times New Roman" w:hAnsi="Sylfaen" w:cs="Times New Roman"/>
          <w:u w:val="single"/>
          <w:lang w:val="en-US"/>
        </w:rPr>
        <w:t xml:space="preserve"> </w:t>
      </w:r>
      <w:proofErr w:type="spellStart"/>
      <w:r w:rsidR="005E26A4" w:rsidRPr="005E26A4">
        <w:rPr>
          <w:rFonts w:ascii="Sylfaen" w:eastAsia="Times New Roman" w:hAnsi="Sylfaen" w:cs="Times New Roman"/>
          <w:u w:val="single"/>
          <w:lang w:val="en-US"/>
        </w:rPr>
        <w:t>ot</w:t>
      </w:r>
      <w:proofErr w:type="spellEnd"/>
      <w:r w:rsidR="005E26A4" w:rsidRPr="005E26A4">
        <w:rPr>
          <w:rFonts w:ascii="Sylfaen" w:eastAsia="Times New Roman" w:hAnsi="Sylfaen" w:cs="Times New Roman"/>
          <w:u w:val="single"/>
          <w:lang w:val="en-US"/>
        </w:rPr>
        <w:t xml:space="preserve"> </w:t>
      </w:r>
      <w:proofErr w:type="spellStart"/>
      <w:r w:rsidR="005E26A4" w:rsidRPr="005E26A4">
        <w:rPr>
          <w:rFonts w:ascii="Sylfaen" w:eastAsia="Times New Roman" w:hAnsi="Sylfaen" w:cs="Times New Roman"/>
          <w:u w:val="single"/>
          <w:lang w:val="en-US"/>
        </w:rPr>
        <w:t>nalogov</w:t>
      </w:r>
      <w:proofErr w:type="spellEnd"/>
      <w:r w:rsidR="005E26A4" w:rsidRPr="005E26A4">
        <w:rPr>
          <w:rFonts w:ascii="Sylfaen" w:eastAsia="Times New Roman" w:hAnsi="Sylfaen" w:cs="Times New Roman"/>
          <w:u w:val="single"/>
          <w:lang w:val="en-US"/>
        </w:rPr>
        <w:t xml:space="preserve"> v </w:t>
      </w:r>
      <w:proofErr w:type="spellStart"/>
      <w:r w:rsidR="005E26A4" w:rsidRPr="005E26A4">
        <w:rPr>
          <w:rFonts w:ascii="Sylfaen" w:eastAsia="Times New Roman" w:hAnsi="Sylfaen" w:cs="Times New Roman"/>
          <w:u w:val="single"/>
          <w:lang w:val="en-US"/>
        </w:rPr>
        <w:t>armenii</w:t>
      </w:r>
      <w:proofErr w:type="spellEnd"/>
      <w:r w:rsidR="005E26A4" w:rsidRPr="005E26A4">
        <w:rPr>
          <w:rFonts w:ascii="Sylfaen" w:eastAsia="Times New Roman" w:hAnsi="Sylfaen" w:cs="Times New Roman"/>
          <w:u w:val="single"/>
          <w:lang w:val="en-US"/>
        </w:rPr>
        <w:t>/</w:t>
      </w:r>
    </w:p>
  </w:footnote>
  <w:footnote w:id="17">
    <w:p w14:paraId="41529145"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http://president.gov.bv/ru/official documents </w:t>
      </w:r>
      <w:proofErr w:type="spellStart"/>
      <w:r w:rsidR="005E26A4" w:rsidRPr="005E26A4">
        <w:rPr>
          <w:rFonts w:ascii="Sylfaen" w:eastAsia="Times New Roman" w:hAnsi="Sylfaen" w:cs="Times New Roman"/>
          <w:u w:val="single"/>
          <w:lang w:val="en-US"/>
        </w:rPr>
        <w:t>ru</w:t>
      </w:r>
      <w:proofErr w:type="spellEnd"/>
      <w:r w:rsidR="005E26A4" w:rsidRPr="005E26A4">
        <w:rPr>
          <w:rFonts w:ascii="Sylfaen" w:eastAsia="Times New Roman" w:hAnsi="Sylfaen" w:cs="Times New Roman"/>
          <w:u w:val="single"/>
          <w:lang w:val="en-US"/>
        </w:rPr>
        <w:t>/view/dekret-7-ot-23-noiabria-2017-g-17533/</w:t>
      </w:r>
    </w:p>
  </w:footnote>
  <w:footnote w:id="18">
    <w:p w14:paraId="179BCBDA"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http://president.gov.bv/ru/official documents </w:t>
      </w:r>
      <w:proofErr w:type="spellStart"/>
      <w:r w:rsidR="005E26A4" w:rsidRPr="005E26A4">
        <w:rPr>
          <w:rFonts w:ascii="Sylfaen" w:eastAsia="Times New Roman" w:hAnsi="Sylfaen" w:cs="Times New Roman"/>
          <w:u w:val="single"/>
          <w:lang w:val="en-US"/>
        </w:rPr>
        <w:t>ru</w:t>
      </w:r>
      <w:proofErr w:type="spellEnd"/>
      <w:r w:rsidR="005E26A4" w:rsidRPr="005E26A4">
        <w:rPr>
          <w:rFonts w:ascii="Sylfaen" w:eastAsia="Times New Roman" w:hAnsi="Sylfaen" w:cs="Times New Roman"/>
          <w:u w:val="single"/>
          <w:lang w:val="en-US"/>
        </w:rPr>
        <w:t>/view/kommentarii-k-ukazu-338-o-nalogovom-konsultirovanii- 17140/</w:t>
      </w:r>
    </w:p>
  </w:footnote>
  <w:footnote w:id="19">
    <w:p w14:paraId="4EE81E1F" w14:textId="77777777" w:rsidR="009E392A" w:rsidRPr="005E26A4" w:rsidRDefault="009E392A">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http://www.belta.bv/economics/view/paket-dokumentov-ob-iiproschenii-uslovii-vedeniia-biznesa-v-belarusi-vynesen- na-obschestvennoe-242373-2017/</w:t>
      </w:r>
    </w:p>
  </w:footnote>
  <w:footnote w:id="20">
    <w:p w14:paraId="39D86062"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hAnsi="Sylfaen"/>
          <w:u w:val="single"/>
          <w:lang w:val="en-US"/>
        </w:rPr>
        <w:t>http://economv.gov.k</w:t>
      </w:r>
      <w:r w:rsidR="005E26A4" w:rsidRPr="005E26A4">
        <w:rPr>
          <w:rFonts w:ascii="Sylfaen" w:hAnsi="Sylfaen" w:cs="Georgia"/>
          <w:u w:val="single"/>
          <w:lang w:val="en-US"/>
        </w:rPr>
        <w:t>2</w:t>
      </w:r>
      <w:r w:rsidR="005E26A4" w:rsidRPr="005E26A4">
        <w:rPr>
          <w:rFonts w:ascii="Sylfaen" w:hAnsi="Sylfaen"/>
          <w:u w:val="single"/>
          <w:lang w:val="en-US"/>
        </w:rPr>
        <w:t>/ru/kategorii/novyy-nalogovw-kodeks</w:t>
      </w:r>
    </w:p>
  </w:footnote>
  <w:footnote w:id="21">
    <w:p w14:paraId="3CF65044"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http;//www.sti.gov.kg/STSDocuments/Vestnik6.pdf</w:t>
      </w:r>
    </w:p>
  </w:footnote>
  <w:footnote w:id="22">
    <w:p w14:paraId="5072112D"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http://www.sti.gov.kg/STSDocuments/Vestnik5.pdf</w:t>
      </w:r>
    </w:p>
  </w:footnote>
  <w:footnote w:id="23">
    <w:p w14:paraId="4309C855"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http://publication.pravo.gov.ru/Document/View/0001201711270050?index=0&amp;rangeSize=l</w:t>
      </w:r>
    </w:p>
  </w:footnote>
  <w:footnote w:id="24">
    <w:p w14:paraId="69574EAD" w14:textId="77777777" w:rsidR="005E26A4" w:rsidRPr="005E26A4" w:rsidRDefault="00A51C4B" w:rsidP="005E26A4">
      <w:pPr>
        <w:ind w:left="709" w:hanging="709"/>
        <w:rPr>
          <w:rFonts w:ascii="Sylfaen" w:eastAsia="Times New Roman" w:hAnsi="Sylfaen" w:cs="Times New Roman"/>
          <w:sz w:val="20"/>
          <w:szCs w:val="20"/>
          <w:lang w:val="en-US"/>
        </w:rPr>
      </w:pPr>
      <w:r w:rsidRPr="005E26A4">
        <w:rPr>
          <w:rStyle w:val="FootnoteReference"/>
          <w:sz w:val="20"/>
          <w:szCs w:val="20"/>
        </w:rPr>
        <w:footnoteRef/>
      </w:r>
      <w:r w:rsidRPr="005E26A4">
        <w:rPr>
          <w:sz w:val="20"/>
          <w:szCs w:val="20"/>
          <w:lang w:val="en-US"/>
        </w:rPr>
        <w:t xml:space="preserve"> </w:t>
      </w:r>
      <w:r w:rsidR="005E26A4" w:rsidRPr="005E26A4">
        <w:rPr>
          <w:rFonts w:ascii="Sylfaen" w:eastAsia="Times New Roman" w:hAnsi="Sylfaen" w:cs="Times New Roman"/>
          <w:sz w:val="20"/>
          <w:szCs w:val="20"/>
          <w:u w:val="single"/>
          <w:lang w:val="en-US"/>
        </w:rPr>
        <w:t>https://people.onliner.bv/2017/1 l/23/</w:t>
      </w:r>
      <w:proofErr w:type="spellStart"/>
      <w:r w:rsidR="005E26A4" w:rsidRPr="005E26A4">
        <w:rPr>
          <w:rFonts w:ascii="Sylfaen" w:eastAsia="Times New Roman" w:hAnsi="Sylfaen" w:cs="Times New Roman"/>
          <w:sz w:val="20"/>
          <w:szCs w:val="20"/>
          <w:u w:val="single"/>
          <w:lang w:val="en-US"/>
        </w:rPr>
        <w:t>dekret</w:t>
      </w:r>
      <w:proofErr w:type="spellEnd"/>
      <w:r w:rsidR="005E26A4" w:rsidRPr="005E26A4">
        <w:rPr>
          <w:rFonts w:ascii="Sylfaen" w:eastAsia="Times New Roman" w:hAnsi="Sylfaen" w:cs="Times New Roman"/>
          <w:sz w:val="20"/>
          <w:szCs w:val="20"/>
          <w:u w:val="single"/>
          <w:lang w:val="en-US"/>
        </w:rPr>
        <w:t>-o-</w:t>
      </w:r>
      <w:proofErr w:type="spellStart"/>
      <w:r w:rsidR="005E26A4" w:rsidRPr="005E26A4">
        <w:rPr>
          <w:rFonts w:ascii="Sylfaen" w:eastAsia="Times New Roman" w:hAnsi="Sylfaen" w:cs="Times New Roman"/>
          <w:sz w:val="20"/>
          <w:szCs w:val="20"/>
          <w:u w:val="single"/>
          <w:lang w:val="en-US"/>
        </w:rPr>
        <w:t>predprinimatelstve</w:t>
      </w:r>
      <w:proofErr w:type="spellEnd"/>
    </w:p>
    <w:p w14:paraId="55722EF8" w14:textId="77777777" w:rsidR="00A51C4B" w:rsidRPr="005E26A4" w:rsidRDefault="005E26A4" w:rsidP="005E26A4">
      <w:pPr>
        <w:pStyle w:val="FootnoteText"/>
        <w:rPr>
          <w:lang w:val="en-US"/>
        </w:rPr>
      </w:pPr>
      <w:r w:rsidRPr="005E26A4">
        <w:rPr>
          <w:rFonts w:ascii="Sylfaen" w:eastAsia="Times New Roman" w:hAnsi="Sylfaen" w:cs="Times New Roman"/>
          <w:u w:val="single"/>
          <w:lang w:val="en-US"/>
        </w:rPr>
        <w:t xml:space="preserve">http://president.gov.bv/ru/official documents </w:t>
      </w:r>
      <w:proofErr w:type="spellStart"/>
      <w:r w:rsidRPr="005E26A4">
        <w:rPr>
          <w:rFonts w:ascii="Sylfaen" w:eastAsia="Times New Roman" w:hAnsi="Sylfaen" w:cs="Times New Roman"/>
          <w:u w:val="single"/>
          <w:lang w:val="en-US"/>
        </w:rPr>
        <w:t>ru</w:t>
      </w:r>
      <w:proofErr w:type="spellEnd"/>
      <w:r w:rsidRPr="005E26A4">
        <w:rPr>
          <w:rFonts w:ascii="Sylfaen" w:eastAsia="Times New Roman" w:hAnsi="Sylfaen" w:cs="Times New Roman"/>
          <w:u w:val="single"/>
          <w:lang w:val="en-US"/>
        </w:rPr>
        <w:t>/view/dekret-7-ot-23-noiabiia-2017-g-17533/</w:t>
      </w:r>
    </w:p>
  </w:footnote>
  <w:footnote w:id="25">
    <w:p w14:paraId="1880BE0E"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http://president.gov.bv/ru/official documents </w:t>
      </w:r>
      <w:proofErr w:type="spellStart"/>
      <w:r w:rsidR="005E26A4" w:rsidRPr="005E26A4">
        <w:rPr>
          <w:rFonts w:ascii="Sylfaen" w:eastAsia="Times New Roman" w:hAnsi="Sylfaen" w:cs="Times New Roman"/>
          <w:u w:val="single"/>
          <w:lang w:val="en-US"/>
        </w:rPr>
        <w:t>ru</w:t>
      </w:r>
      <w:proofErr w:type="spellEnd"/>
      <w:r w:rsidR="005E26A4" w:rsidRPr="005E26A4">
        <w:rPr>
          <w:rFonts w:ascii="Sylfaen" w:eastAsia="Times New Roman" w:hAnsi="Sylfaen" w:cs="Times New Roman"/>
          <w:u w:val="single"/>
          <w:lang w:val="en-US"/>
        </w:rPr>
        <w:t>/view/ukaz-376-ot-16-oktiabria-2017-g-17324/</w:t>
      </w:r>
    </w:p>
  </w:footnote>
  <w:footnote w:id="26">
    <w:p w14:paraId="1E07F063"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http://invest.gov.kz/storage/21/214ef703f4ad8ab5076a67a8eb5ed67d.pdf</w:t>
      </w:r>
    </w:p>
  </w:footnote>
  <w:footnote w:id="27">
    <w:p w14:paraId="319DBC84"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https://asi.ru/investclimate/models/docs/%D0%A0%D0%B0%D1%81%D0%BF%D0%BE%D1%80%D1</w:t>
      </w:r>
      <w:r w:rsidR="005E26A4">
        <w:rPr>
          <w:rFonts w:ascii="Sylfaen" w:eastAsia="Times New Roman" w:hAnsi="Sylfaen" w:cs="Times New Roman"/>
          <w:u w:val="single"/>
          <w:lang w:val="en-US"/>
        </w:rPr>
        <w:t xml:space="preserve"> </w:t>
      </w:r>
      <w:r w:rsidR="005E26A4" w:rsidRPr="005E26A4">
        <w:rPr>
          <w:rFonts w:ascii="Sylfaen" w:eastAsia="Times New Roman" w:hAnsi="Sylfaen" w:cs="Times New Roman"/>
          <w:u w:val="single"/>
          <w:lang w:val="en-US"/>
        </w:rPr>
        <w:t>%8F%D0%B6%D0%B5%D0%BD%D0%B8%D0%B5%20%D0%9F%D1%80%D0%B0%D0%B2%D0%B8%D1%82%D0%B5%D0%BB%D1%8C%D1%81%D1%82%D0%B2%D0%B0%20%D0%A0%D0%A4%20%E2%84%96147-%D1%80%20%D0%BE%D1%82%2031.01.17.pdf</w:t>
      </w:r>
    </w:p>
  </w:footnote>
  <w:footnote w:id="28">
    <w:p w14:paraId="0B55D06C"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https://asi.ru/investclimate/models/</w:t>
      </w:r>
    </w:p>
  </w:footnote>
  <w:footnote w:id="29">
    <w:p w14:paraId="7629891C"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hAnsi="Sylfaen"/>
          <w:u w:val="single"/>
          <w:lang w:val="en-US"/>
        </w:rPr>
        <w:t>http://mart.gov.by/sites/marrhome/activities/antimonopoly/actual-info/page-12411 .html</w:t>
      </w:r>
    </w:p>
  </w:footnote>
  <w:footnote w:id="30">
    <w:p w14:paraId="327DFB1F"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lang w:val="en-US"/>
        </w:rPr>
        <w:t>htt</w:t>
      </w:r>
      <w:r w:rsidR="005E26A4" w:rsidRPr="005E26A4">
        <w:rPr>
          <w:rFonts w:ascii="Sylfaen" w:eastAsia="Times New Roman" w:hAnsi="Sylfaen" w:cs="Times New Roman"/>
          <w:u w:val="single"/>
          <w:lang w:val="en-US"/>
        </w:rPr>
        <w:t>ps://online.zakon.kz/Document/7doc id=32607741</w:t>
      </w:r>
    </w:p>
  </w:footnote>
  <w:footnote w:id="31">
    <w:p w14:paraId="2617A928"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http://www.akorda.kz/ru/addresses/addresses_of president/</w:t>
      </w:r>
      <w:proofErr w:type="spellStart"/>
      <w:r w:rsidR="005E26A4" w:rsidRPr="005E26A4">
        <w:rPr>
          <w:rFonts w:ascii="Sylfaen" w:eastAsia="Times New Roman" w:hAnsi="Sylfaen" w:cs="Times New Roman"/>
          <w:u w:val="single"/>
          <w:lang w:val="en-US"/>
        </w:rPr>
        <w:t>poslanie-prezidenta-respubliki-kazahstan-nnazarbaeva</w:t>
      </w:r>
      <w:proofErr w:type="spellEnd"/>
      <w:r w:rsidR="005E26A4" w:rsidRPr="005E26A4">
        <w:rPr>
          <w:rFonts w:ascii="Sylfaen" w:eastAsia="Times New Roman" w:hAnsi="Sylfaen" w:cs="Times New Roman"/>
          <w:u w:val="single"/>
          <w:lang w:val="en-US"/>
        </w:rPr>
        <w:t>- narodu-kazahstana-31 -yanvarya-2017-g</w:t>
      </w:r>
    </w:p>
  </w:footnote>
  <w:footnote w:id="32">
    <w:p w14:paraId="74C135A6"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https://www.garant.ru/hotlaw/federal/1156441/</w:t>
      </w:r>
    </w:p>
  </w:footnote>
  <w:footnote w:id="33">
    <w:p w14:paraId="33342481"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http://karelia.fas.gov.ru/analytic/10433</w:t>
      </w:r>
    </w:p>
  </w:footnote>
  <w:footnote w:id="34">
    <w:p w14:paraId="726944CC" w14:textId="77777777" w:rsidR="00A51C4B" w:rsidRPr="00A51C4B"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http://govemment.ru/docs/31081/</w:t>
      </w:r>
    </w:p>
  </w:footnote>
  <w:footnote w:id="35">
    <w:p w14:paraId="4B814171"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hAnsi="Sylfaen"/>
          <w:u w:val="single"/>
          <w:lang w:val="en-US"/>
        </w:rPr>
        <w:t>https://www.panorama.am/ru/nevvs/2017/1 l/09/%D0%9F%Dl%80%D0%B0%D0%B2%D0%B8%Dl%82%D0%B5% D0%BB%D 1 %8C%D 1 %81 %D 1 %82%D0%B2%D0%BE- %D0%90%D 1 %80%D0%BC%D0%B5%D0%BD%D0%B 8%D0%B 8- %D0%B3%D0%BE%D 1 %81 %D 1 %83%D0%B4%DQ%B0%D 1 %80%D 1 %81 %D 1 %82%D0%B2%D0%B5%D0%B D%D0%BD%DQ%BE-%D1%87%D0%B0%D 1 %81 %D 1 %82%D0%BD%D0%BE%D0%B5- %D0%BF%D0%B0%D 1 %80%D 1 %82%D0%BD%D0%B5%D 1 %80%D 1 %81 %D 1 %82%D0%B2%D0%BE/1862998</w:t>
      </w:r>
    </w:p>
  </w:footnote>
  <w:footnote w:id="36">
    <w:p w14:paraId="38B8654B"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http://pppbelarus.by/files/images/docs/NIS_16.10.2017compressed.pdf</w:t>
      </w:r>
    </w:p>
  </w:footnote>
  <w:footnote w:id="37">
    <w:p w14:paraId="1512AE8A"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https://www.zakon.kz/4888652-doklad-ministra-natsionalnoy-ekonomiki.html</w:t>
      </w:r>
    </w:p>
  </w:footnote>
  <w:footnote w:id="38">
    <w:p w14:paraId="08BE91C5"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http://economy.gov.kz/ru/pages/popravki-v-zakonodatelstvo-po-voprosam-gchp</w:t>
      </w:r>
    </w:p>
  </w:footnote>
  <w:footnote w:id="39">
    <w:p w14:paraId="11EAD76F"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http://cbd.miniust.gov.kg/act/view/ru-ru/98559</w:t>
      </w:r>
    </w:p>
  </w:footnote>
  <w:footnote w:id="40">
    <w:p w14:paraId="79577EE2"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http://www. gov.kg/?p=92452&amp;lang=</w:t>
      </w:r>
      <w:proofErr w:type="spellStart"/>
      <w:r w:rsidR="005E26A4" w:rsidRPr="005E26A4">
        <w:rPr>
          <w:rFonts w:ascii="Sylfaen" w:eastAsia="Times New Roman" w:hAnsi="Sylfaen" w:cs="Times New Roman"/>
          <w:u w:val="single"/>
          <w:lang w:val="en-US"/>
        </w:rPr>
        <w:t>ru</w:t>
      </w:r>
      <w:proofErr w:type="spellEnd"/>
    </w:p>
  </w:footnote>
  <w:footnote w:id="41">
    <w:p w14:paraId="2CABA1D5" w14:textId="77777777" w:rsidR="00A51C4B" w:rsidRPr="00A51C4B"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http://p3week.ru/images/2017/1 .pdf</w:t>
      </w:r>
    </w:p>
  </w:footnote>
  <w:footnote w:id="42">
    <w:p w14:paraId="4F6C3A6D"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http://p3week.rU/images/2017/2.pdf</w:t>
      </w:r>
    </w:p>
  </w:footnote>
  <w:footnote w:id="43">
    <w:p w14:paraId="060A3D78"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http://pppcenter.ru/proektvi-czentra/ezhegodnvii-doklad-o-razvitii-sferyi-gchp.html</w:t>
      </w:r>
    </w:p>
  </w:footnote>
  <w:footnote w:id="44">
    <w:p w14:paraId="51E4DE36"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http://pppcenter.ru/assets/files/reliz_21092017.pdf</w:t>
      </w:r>
    </w:p>
  </w:footnote>
  <w:footnote w:id="45">
    <w:p w14:paraId="542DB19B" w14:textId="77777777" w:rsidR="00A51C4B" w:rsidRPr="005E26A4" w:rsidRDefault="00A51C4B">
      <w:pPr>
        <w:pStyle w:val="FootnoteText"/>
      </w:pPr>
      <w:r>
        <w:rPr>
          <w:rStyle w:val="FootnoteReference"/>
        </w:rPr>
        <w:footnoteRef/>
      </w:r>
      <w:r>
        <w:t xml:space="preserve"> </w:t>
      </w:r>
      <w:r w:rsidR="005E26A4" w:rsidRPr="00ED1782">
        <w:rPr>
          <w:rFonts w:ascii="Sylfaen" w:eastAsia="Times New Roman" w:hAnsi="Sylfaen" w:cs="Times New Roman"/>
          <w:u w:val="single"/>
        </w:rPr>
        <w:t xml:space="preserve">http://www.eurasiancommission.org/ru/actyTinpol/dobd/ppp/Documents/Evrazes_Book-2017 </w:t>
      </w:r>
      <w:r w:rsidR="005E26A4" w:rsidRPr="00ED1782">
        <w:rPr>
          <w:rFonts w:ascii="Sylfaen" w:eastAsia="Times New Roman" w:hAnsi="Sylfaen" w:cs="Times New Roman"/>
          <w:u w:val="single"/>
        </w:rPr>
        <w:t>А4 Web.pdf</w:t>
      </w:r>
    </w:p>
  </w:footnote>
  <w:footnote w:id="46">
    <w:p w14:paraId="7803680A" w14:textId="77777777" w:rsidR="00A51C4B" w:rsidRPr="005E26A4" w:rsidRDefault="00A51C4B">
      <w:pPr>
        <w:pStyle w:val="FootnoteText"/>
      </w:pPr>
      <w:r>
        <w:rPr>
          <w:rStyle w:val="FootnoteReference"/>
        </w:rPr>
        <w:footnoteRef/>
      </w:r>
      <w:r>
        <w:t xml:space="preserve"> </w:t>
      </w:r>
      <w:r w:rsidR="005E26A4" w:rsidRPr="00ED1782">
        <w:rPr>
          <w:rFonts w:ascii="Sylfaen" w:eastAsia="Times New Roman" w:hAnsi="Sylfaen" w:cs="Times New Roman"/>
          <w:u w:val="single"/>
        </w:rPr>
        <w:t>http://www.economy.gov.by/uploads/files/gos-progr-2016-2020/Programma.pdf</w:t>
      </w:r>
    </w:p>
  </w:footnote>
  <w:footnote w:id="47">
    <w:p w14:paraId="35BB3494" w14:textId="77777777" w:rsidR="00A51C4B" w:rsidRPr="005E26A4" w:rsidRDefault="00A51C4B">
      <w:pPr>
        <w:pStyle w:val="FootnoteText"/>
      </w:pPr>
      <w:r>
        <w:rPr>
          <w:rStyle w:val="FootnoteReference"/>
        </w:rPr>
        <w:footnoteRef/>
      </w:r>
      <w:r>
        <w:t xml:space="preserve"> </w:t>
      </w:r>
      <w:r w:rsidR="005E26A4" w:rsidRPr="00ED1782">
        <w:rPr>
          <w:rFonts w:ascii="Sylfaen" w:eastAsia="Times New Roman" w:hAnsi="Sylfaen" w:cs="Times New Roman"/>
          <w:u w:val="single"/>
        </w:rPr>
        <w:t>http://www.pravo.by/document/?guid=3871 &amp;р0=р30900255</w:t>
      </w:r>
    </w:p>
  </w:footnote>
  <w:footnote w:id="48">
    <w:p w14:paraId="69DCEFCC" w14:textId="77777777" w:rsidR="00A51C4B" w:rsidRPr="005E26A4" w:rsidRDefault="00A51C4B">
      <w:pPr>
        <w:pStyle w:val="FootnoteText"/>
      </w:pPr>
      <w:r>
        <w:rPr>
          <w:rStyle w:val="FootnoteReference"/>
        </w:rPr>
        <w:footnoteRef/>
      </w:r>
      <w:r>
        <w:t xml:space="preserve"> </w:t>
      </w:r>
      <w:r w:rsidR="005E26A4" w:rsidRPr="00ED1782">
        <w:rPr>
          <w:rFonts w:ascii="Sylfaen" w:eastAsia="Times New Roman" w:hAnsi="Sylfaen" w:cs="Times New Roman"/>
          <w:u w:val="single"/>
        </w:rPr>
        <w:t>http://belarp.by/ru/state-help/garanty</w:t>
      </w:r>
    </w:p>
  </w:footnote>
  <w:footnote w:id="49">
    <w:p w14:paraId="5BE863BD"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http://economv.gov.kz/ru/pages/standart-gosudarstyennoy-uslugi-predostaylenie-garantiy-po-kreditam-subektov- </w:t>
      </w:r>
      <w:proofErr w:type="spellStart"/>
      <w:r w:rsidR="005E26A4" w:rsidRPr="005E26A4">
        <w:rPr>
          <w:rFonts w:ascii="Sylfaen" w:eastAsia="Times New Roman" w:hAnsi="Sylfaen" w:cs="Times New Roman"/>
          <w:u w:val="single"/>
          <w:lang w:val="en-US"/>
        </w:rPr>
        <w:t>chastnogo</w:t>
      </w:r>
      <w:proofErr w:type="spellEnd"/>
    </w:p>
  </w:footnote>
  <w:footnote w:id="50">
    <w:p w14:paraId="7D472272"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lang w:val="en-US"/>
        </w:rPr>
        <w:t>htt</w:t>
      </w:r>
      <w:r w:rsidR="005E26A4" w:rsidRPr="005E26A4">
        <w:rPr>
          <w:rFonts w:ascii="Sylfaen" w:eastAsia="Times New Roman" w:hAnsi="Sylfaen" w:cs="Times New Roman"/>
          <w:u w:val="single"/>
          <w:lang w:val="en-US"/>
        </w:rPr>
        <w:t>ps://www.damu.kz/content/files/EzhenedelnivOtchetPoSostoyaniyuNa26122016g.pdf</w:t>
      </w:r>
    </w:p>
  </w:footnote>
  <w:footnote w:id="51">
    <w:p w14:paraId="2D0178FC" w14:textId="77777777" w:rsidR="00A51C4B" w:rsidRPr="00A51C4B"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https://www.damu.kz/2371</w:t>
      </w:r>
    </w:p>
  </w:footnote>
  <w:footnote w:id="52">
    <w:p w14:paraId="2C8B21E8"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https://damu.kz/dorozhnava-karta-biznesa-2020/ezhenedelnye-dannve-o-khode-realizatsii-programmv-dorozlmava- karta-biznesa-2020/</w:t>
      </w:r>
    </w:p>
  </w:footnote>
  <w:footnote w:id="53">
    <w:p w14:paraId="70A08A42"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https://prz.enbek.gov.kz/ru/node/5865</w:t>
      </w:r>
    </w:p>
  </w:footnote>
  <w:footnote w:id="54">
    <w:p w14:paraId="59E50308" w14:textId="77777777" w:rsidR="00A51C4B" w:rsidRPr="00A51C4B"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https://www.damu.kz/25648</w:t>
      </w:r>
    </w:p>
  </w:footnote>
  <w:footnote w:id="55">
    <w:p w14:paraId="41B229E4"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http://gf.kg/about/tseli/</w:t>
      </w:r>
    </w:p>
  </w:footnote>
  <w:footnote w:id="56">
    <w:p w14:paraId="6AFDDD74" w14:textId="77777777" w:rsidR="00A51C4B" w:rsidRPr="005E26A4" w:rsidRDefault="00A51C4B">
      <w:pPr>
        <w:pStyle w:val="FootnoteText"/>
        <w:rPr>
          <w:lang w:val="en-US"/>
        </w:rPr>
      </w:pPr>
      <w:r>
        <w:rPr>
          <w:rStyle w:val="FootnoteReference"/>
        </w:rPr>
        <w:footnoteRef/>
      </w:r>
      <w:r w:rsidRPr="005E26A4">
        <w:rPr>
          <w:lang w:val="en-US"/>
        </w:rPr>
        <w:t xml:space="preserve"> </w:t>
      </w:r>
      <w:r w:rsidR="005E26A4" w:rsidRPr="005E26A4">
        <w:rPr>
          <w:rFonts w:ascii="Sylfaen" w:eastAsia="Times New Roman" w:hAnsi="Sylfaen" w:cs="Times New Roman"/>
          <w:u w:val="single"/>
          <w:lang w:val="en-US"/>
        </w:rPr>
        <w:t xml:space="preserve">http://mineconom.gov.kg/index.php?option=com </w:t>
      </w:r>
      <w:proofErr w:type="spellStart"/>
      <w:r w:rsidR="005E26A4" w:rsidRPr="005E26A4">
        <w:rPr>
          <w:rFonts w:ascii="Sylfaen" w:eastAsia="Times New Roman" w:hAnsi="Sylfaen" w:cs="Times New Roman"/>
          <w:u w:val="single"/>
          <w:lang w:val="en-US"/>
        </w:rPr>
        <w:t>content&amp;view</w:t>
      </w:r>
      <w:proofErr w:type="spellEnd"/>
      <w:r w:rsidR="005E26A4" w:rsidRPr="005E26A4">
        <w:rPr>
          <w:rFonts w:ascii="Sylfaen" w:eastAsia="Times New Roman" w:hAnsi="Sylfaen" w:cs="Times New Roman"/>
          <w:u w:val="single"/>
          <w:lang w:val="en-US"/>
        </w:rPr>
        <w:t>=</w:t>
      </w:r>
      <w:proofErr w:type="spellStart"/>
      <w:r w:rsidR="005E26A4" w:rsidRPr="005E26A4">
        <w:rPr>
          <w:rFonts w:ascii="Sylfaen" w:eastAsia="Times New Roman" w:hAnsi="Sylfaen" w:cs="Times New Roman"/>
          <w:u w:val="single"/>
          <w:lang w:val="en-US"/>
        </w:rPr>
        <w:t>category&amp;layout</w:t>
      </w:r>
      <w:proofErr w:type="spellEnd"/>
      <w:r w:rsidR="005E26A4" w:rsidRPr="005E26A4">
        <w:rPr>
          <w:rFonts w:ascii="Sylfaen" w:eastAsia="Times New Roman" w:hAnsi="Sylfaen" w:cs="Times New Roman"/>
          <w:u w:val="single"/>
          <w:lang w:val="en-US"/>
        </w:rPr>
        <w:t>=</w:t>
      </w:r>
      <w:proofErr w:type="spellStart"/>
      <w:r w:rsidR="005E26A4" w:rsidRPr="005E26A4">
        <w:rPr>
          <w:rFonts w:ascii="Sylfaen" w:eastAsia="Times New Roman" w:hAnsi="Sylfaen" w:cs="Times New Roman"/>
          <w:u w:val="single"/>
          <w:lang w:val="en-US"/>
        </w:rPr>
        <w:t>blog&amp;id</w:t>
      </w:r>
      <w:proofErr w:type="spellEnd"/>
      <w:r w:rsidR="005E26A4" w:rsidRPr="005E26A4">
        <w:rPr>
          <w:rFonts w:ascii="Sylfaen" w:eastAsia="Times New Roman" w:hAnsi="Sylfaen" w:cs="Times New Roman"/>
          <w:u w:val="single"/>
          <w:lang w:val="en-US"/>
        </w:rPr>
        <w:t>=2&amp;Itemid=149&amp;lang=</w:t>
      </w:r>
      <w:proofErr w:type="spellStart"/>
      <w:r w:rsidR="005E26A4" w:rsidRPr="005E26A4">
        <w:rPr>
          <w:rFonts w:ascii="Sylfaen" w:eastAsia="Times New Roman" w:hAnsi="Sylfaen" w:cs="Times New Roman"/>
          <w:u w:val="single"/>
          <w:lang w:val="en-US"/>
        </w:rPr>
        <w:t>ru</w:t>
      </w:r>
      <w:proofErr w:type="spellEnd"/>
      <w:r w:rsidR="005E26A4" w:rsidRPr="005E26A4">
        <w:rPr>
          <w:rFonts w:ascii="Sylfaen" w:eastAsia="Times New Roman" w:hAnsi="Sylfaen" w:cs="Times New Roman"/>
          <w:u w:val="single"/>
          <w:lang w:val="en-US"/>
        </w:rPr>
        <w:t xml:space="preserve">&amp; </w:t>
      </w:r>
      <w:proofErr w:type="spellStart"/>
      <w:r w:rsidR="005E26A4" w:rsidRPr="005E26A4">
        <w:rPr>
          <w:rFonts w:ascii="Sylfaen" w:eastAsia="Times New Roman" w:hAnsi="Sylfaen" w:cs="Times New Roman"/>
          <w:u w:val="single"/>
          <w:lang w:val="en-US"/>
        </w:rPr>
        <w:t>limitstart</w:t>
      </w:r>
      <w:proofErr w:type="spellEnd"/>
      <w:r w:rsidR="005E26A4" w:rsidRPr="005E26A4">
        <w:rPr>
          <w:rFonts w:ascii="Sylfaen" w:eastAsia="Times New Roman" w:hAnsi="Sylfaen" w:cs="Times New Roman"/>
          <w:u w:val="single"/>
          <w:lang w:val="en-US"/>
        </w:rPr>
        <w:t>^</w:t>
      </w:r>
    </w:p>
  </w:footnote>
  <w:footnote w:id="57">
    <w:p w14:paraId="28258BE0"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http://gf.kg/about/infonnatsiya-po-yvdannym-gara/</w:t>
      </w:r>
    </w:p>
  </w:footnote>
  <w:footnote w:id="58">
    <w:p w14:paraId="4373D708" w14:textId="77777777" w:rsidR="00A51C4B" w:rsidRPr="00A51C4B"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http://tass.ru/ekonomika/4844390</w:t>
      </w:r>
    </w:p>
  </w:footnote>
  <w:footnote w:id="59">
    <w:p w14:paraId="4E0D32C2"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 xml:space="preserve">http://newsarmenia.am/news/koshelek/ami-novosti-anneniya-i-tsentrobank-initsiirovali-sovmestnvY-proekt-po- </w:t>
      </w:r>
      <w:proofErr w:type="spellStart"/>
      <w:r w:rsidR="007E0459" w:rsidRPr="007E0459">
        <w:rPr>
          <w:rFonts w:ascii="Sylfaen" w:eastAsia="Times New Roman" w:hAnsi="Sylfaen" w:cs="Times New Roman"/>
          <w:u w:val="single"/>
          <w:lang w:val="en-US"/>
        </w:rPr>
        <w:t>finansovov-gramotnosti</w:t>
      </w:r>
      <w:proofErr w:type="spellEnd"/>
      <w:r w:rsidR="007E0459" w:rsidRPr="007E0459">
        <w:rPr>
          <w:rFonts w:ascii="Sylfaen" w:eastAsia="Times New Roman" w:hAnsi="Sylfaen" w:cs="Times New Roman"/>
          <w:u w:val="single"/>
          <w:lang w:val="en-US"/>
        </w:rPr>
        <w:t>/</w:t>
      </w:r>
    </w:p>
  </w:footnote>
  <w:footnote w:id="60">
    <w:p w14:paraId="6B61290C"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http://www.gov.kg/7p-77010&amp;lang=ru</w:t>
      </w:r>
    </w:p>
  </w:footnote>
  <w:footnote w:id="61">
    <w:p w14:paraId="097092C5"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http://www.fsa.kg/wp-content/uploads/2016/02/%D0%9A%D0%BE%D0%BD%D1%86%D0%B5%D0%BF%D1 %86% D0%B8%D1%8F-%D1%80%D0%B0%D0%B7%D0%B2%D0%B8%D1%82%D0%B8%D1%8F- %D1%86%D0%B5%D0%BD%D0%BD%D1%8B%D1%85-%D0%B1%D1%83%D0%BC%D0%B0%D0%B3- %D0%B2-%D0%9A%D0%A0-%D0%BD%D0%B0-%D0%BF%D0%B5%D1%80%D0%B8%D0%BE%D0%B4- %D0%B4%D0%BE-2018-%D0%B3%DQ%BE%D0%B4%D0%B0.pdf</w:t>
      </w:r>
    </w:p>
  </w:footnote>
  <w:footnote w:id="62">
    <w:p w14:paraId="3EBB4823"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https://www.cbr.ru/rinmarket/proiects/proiects_ka/</w:t>
      </w:r>
    </w:p>
  </w:footnote>
  <w:footnote w:id="63">
    <w:p w14:paraId="31CB45E0"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https://www.cbr.ru/flmnarket/develop/</w:t>
      </w:r>
    </w:p>
  </w:footnote>
  <w:footnote w:id="64">
    <w:p w14:paraId="5E447013"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https://eabr.org/proiects/eabr/</w:t>
      </w:r>
    </w:p>
  </w:footnote>
  <w:footnote w:id="65">
    <w:p w14:paraId="028C709B"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hAnsi="Sylfaen"/>
          <w:u w:val="single"/>
          <w:lang w:val="en-US"/>
        </w:rPr>
        <w:t>http://www.eurasiancommission.org/ru/nae/news/Pages/8-12-2017-2.aspx</w:t>
      </w:r>
    </w:p>
  </w:footnote>
  <w:footnote w:id="66">
    <w:p w14:paraId="60C8ACC5"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http://apec-center.ru/wp-content/uploads/2017/12/%D0%9C%D0%A111 monitoring RASC-RFTA.pdf</w:t>
      </w:r>
    </w:p>
  </w:footnote>
  <w:footnote w:id="67">
    <w:p w14:paraId="0D98DFD5"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https://teleuraf.bv/2017/12/12/376015-belams-stala-bliie-k-vstupleniyu-v-vto</w:t>
      </w:r>
    </w:p>
  </w:footnote>
  <w:footnote w:id="68">
    <w:p w14:paraId="3CCFA5D4"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http://www.eximgarant.by/press/news/306.html</w:t>
      </w:r>
    </w:p>
  </w:footnote>
  <w:footnote w:id="69">
    <w:p w14:paraId="05197961"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 xml:space="preserve">http://economy.gov.kz/sites/default/files/pages/nes </w:t>
      </w:r>
      <w:proofErr w:type="spellStart"/>
      <w:r w:rsidR="007E0459" w:rsidRPr="007E0459">
        <w:rPr>
          <w:rFonts w:ascii="Sylfaen" w:eastAsia="Times New Roman" w:hAnsi="Sylfaen" w:cs="Times New Roman"/>
          <w:u w:val="single"/>
          <w:lang w:val="en-US"/>
        </w:rPr>
        <w:t>rk</w:t>
      </w:r>
      <w:proofErr w:type="spellEnd"/>
      <w:r w:rsidR="007E0459" w:rsidRPr="007E0459">
        <w:rPr>
          <w:rFonts w:ascii="Sylfaen" w:eastAsia="Times New Roman" w:hAnsi="Sylfaen" w:cs="Times New Roman"/>
          <w:u w:val="single"/>
          <w:lang w:val="en-US"/>
        </w:rPr>
        <w:t xml:space="preserve"> </w:t>
      </w:r>
      <w:r w:rsidR="007E0459" w:rsidRPr="00ED1782">
        <w:rPr>
          <w:rFonts w:ascii="Sylfaen" w:eastAsia="Times New Roman" w:hAnsi="Sylfaen" w:cs="Times New Roman"/>
          <w:u w:val="single"/>
        </w:rPr>
        <w:t>па</w:t>
      </w:r>
      <w:r w:rsidR="007E0459" w:rsidRPr="007E0459">
        <w:rPr>
          <w:rFonts w:ascii="Sylfaen" w:eastAsia="Times New Roman" w:hAnsi="Sylfaen" w:cs="Times New Roman"/>
          <w:u w:val="single"/>
          <w:lang w:val="en-US"/>
        </w:rPr>
        <w:t>_2018-2022 rus.docx</w:t>
      </w:r>
    </w:p>
  </w:footnote>
  <w:footnote w:id="70">
    <w:p w14:paraId="3D523D07"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http://cci.kg/news/l/2193.html</w:t>
      </w:r>
    </w:p>
  </w:footnote>
  <w:footnote w:id="71">
    <w:p w14:paraId="16FC17A0"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http://govemment.ru/proiects/selection/651/</w:t>
      </w:r>
    </w:p>
  </w:footnote>
  <w:footnote w:id="72">
    <w:p w14:paraId="6023260C"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http://static.govemment.ru/media/riles/Gm80bGAY20PilszROuP3rQVF82r3eJVc.pdf</w:t>
      </w:r>
    </w:p>
  </w:footnote>
  <w:footnote w:id="73">
    <w:p w14:paraId="3F777ACB" w14:textId="77777777" w:rsidR="00A51C4B" w:rsidRPr="00A51C4B"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http://eurasiancenter.ru/news/20171</w:t>
      </w:r>
      <w:r w:rsidR="007E0459" w:rsidRPr="00994197">
        <w:rPr>
          <w:rFonts w:ascii="Sylfaen" w:eastAsia="Times New Roman" w:hAnsi="Sylfaen" w:cs="Times New Roman"/>
          <w:u w:val="single"/>
          <w:lang w:val="en-US"/>
        </w:rPr>
        <w:t>116/1</w:t>
      </w:r>
      <w:r w:rsidR="007E0459" w:rsidRPr="007E0459">
        <w:rPr>
          <w:rFonts w:ascii="Sylfaen" w:eastAsia="Times New Roman" w:hAnsi="Sylfaen" w:cs="Times New Roman"/>
          <w:u w:val="single"/>
          <w:lang w:val="en-US"/>
        </w:rPr>
        <w:t>004456967.html</w:t>
      </w:r>
    </w:p>
  </w:footnote>
  <w:footnote w:id="74">
    <w:p w14:paraId="65AE8ED1"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hAnsi="Sylfaen"/>
          <w:u w:val="single"/>
          <w:lang w:val="en-US"/>
        </w:rPr>
        <w:t xml:space="preserve">http://www.eurasiancommission.ora/ru/act/tam_sotr/dep </w:t>
      </w:r>
      <w:proofErr w:type="spellStart"/>
      <w:r w:rsidR="007E0459" w:rsidRPr="007E0459">
        <w:rPr>
          <w:rFonts w:ascii="Sylfaen" w:hAnsi="Sylfaen"/>
          <w:u w:val="single"/>
          <w:lang w:val="en-US"/>
        </w:rPr>
        <w:t>tamoi_zak</w:t>
      </w:r>
      <w:proofErr w:type="spellEnd"/>
      <w:r w:rsidR="007E0459" w:rsidRPr="007E0459">
        <w:rPr>
          <w:rFonts w:ascii="Sylfaen" w:hAnsi="Sylfaen"/>
          <w:u w:val="single"/>
          <w:lang w:val="en-US"/>
        </w:rPr>
        <w:t>/</w:t>
      </w:r>
      <w:proofErr w:type="spellStart"/>
      <w:proofErr w:type="gramStart"/>
      <w:r w:rsidR="007E0459" w:rsidRPr="007E0459">
        <w:rPr>
          <w:rFonts w:ascii="Sylfaen" w:hAnsi="Sylfaen"/>
          <w:u w:val="single"/>
          <w:lang w:val="en-US"/>
        </w:rPr>
        <w:t>Paa;es</w:t>
      </w:r>
      <w:proofErr w:type="spellEnd"/>
      <w:r w:rsidR="007E0459" w:rsidRPr="007E0459">
        <w:rPr>
          <w:rFonts w:ascii="Sylfaen" w:hAnsi="Sylfaen"/>
          <w:u w:val="single"/>
          <w:lang w:val="en-US"/>
        </w:rPr>
        <w:t>/hot.aspx</w:t>
      </w:r>
      <w:proofErr w:type="gramEnd"/>
    </w:p>
  </w:footnote>
  <w:footnote w:id="75">
    <w:p w14:paraId="74A9D64B"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http://www.petekamutner.am/mdNews.aspx?ntname=mdOfricialNews&amp;nid~4475</w:t>
      </w:r>
    </w:p>
  </w:footnote>
  <w:footnote w:id="76">
    <w:p w14:paraId="328EEA71"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http://www.minfm.gov.kz/iri/go/km/docs/documents/%D0%9C%D0%B8%D0%BD%Dl%84%D0%B8%</w:t>
      </w:r>
      <w:r w:rsidR="007E0459">
        <w:rPr>
          <w:rFonts w:ascii="Sylfaen" w:eastAsia="Times New Roman" w:hAnsi="Sylfaen" w:cs="Times New Roman"/>
          <w:u w:val="single"/>
          <w:lang w:val="en-US"/>
        </w:rPr>
        <w:t xml:space="preserve"> </w:t>
      </w:r>
      <w:r w:rsidR="007E0459" w:rsidRPr="007E0459">
        <w:rPr>
          <w:rFonts w:ascii="Sylfaen" w:eastAsia="Times New Roman" w:hAnsi="Sylfaen" w:cs="Times New Roman"/>
          <w:u w:val="single"/>
          <w:lang w:val="en-US"/>
        </w:rPr>
        <w:t xml:space="preserve">D0%BD ne w/%D0% </w:t>
      </w:r>
      <w:r w:rsidR="007E0459" w:rsidRPr="00ED1782">
        <w:rPr>
          <w:rFonts w:ascii="Sylfaen" w:eastAsia="Times New Roman" w:hAnsi="Sylfaen" w:cs="Times New Roman"/>
          <w:u w:val="single"/>
        </w:rPr>
        <w:t>А</w:t>
      </w:r>
      <w:r w:rsidR="007E0459" w:rsidRPr="007E0459">
        <w:rPr>
          <w:rFonts w:ascii="Sylfaen" w:eastAsia="Times New Roman" w:hAnsi="Sylfaen" w:cs="Times New Roman"/>
          <w:u w:val="single"/>
          <w:lang w:val="en-US"/>
        </w:rPr>
        <w:t>1 %D0%BE%D0%B 1 %D 1 %8B%D 1 %82%D0%B 8%D 1 %8F/%D0%9D%D0%BE%D0%B2%D0%BE%D 1 %81%Dl%82%D0%B8/</w:t>
      </w:r>
      <w:proofErr w:type="spellStart"/>
      <w:r w:rsidR="007E0459" w:rsidRPr="007E0459">
        <w:rPr>
          <w:rFonts w:ascii="Sylfaen" w:eastAsia="Times New Roman" w:hAnsi="Sylfaen" w:cs="Times New Roman"/>
          <w:u w:val="single"/>
          <w:lang w:val="en-US"/>
        </w:rPr>
        <w:t>ru</w:t>
      </w:r>
      <w:proofErr w:type="spellEnd"/>
      <w:r w:rsidR="007E0459" w:rsidRPr="007E0459">
        <w:rPr>
          <w:rFonts w:ascii="Sylfaen" w:eastAsia="Times New Roman" w:hAnsi="Sylfaen" w:cs="Times New Roman"/>
          <w:u w:val="single"/>
          <w:lang w:val="en-US"/>
        </w:rPr>
        <w:t>/2093f64f-9a59-3510-5cb6-f78c906ed447.xml</w:t>
      </w:r>
    </w:p>
  </w:footnote>
  <w:footnote w:id="77">
    <w:p w14:paraId="2FC4B9CF"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 xml:space="preserve">http://www.customs.ru/index.php?option=com </w:t>
      </w:r>
      <w:proofErr w:type="spellStart"/>
      <w:r w:rsidR="007E0459" w:rsidRPr="007E0459">
        <w:rPr>
          <w:rFonts w:ascii="Sylfaen" w:eastAsia="Times New Roman" w:hAnsi="Sylfaen" w:cs="Times New Roman"/>
          <w:u w:val="single"/>
          <w:lang w:val="en-US"/>
        </w:rPr>
        <w:t>content&amp;view</w:t>
      </w:r>
      <w:proofErr w:type="spellEnd"/>
      <w:r w:rsidR="007E0459" w:rsidRPr="007E0459">
        <w:rPr>
          <w:rFonts w:ascii="Sylfaen" w:eastAsia="Times New Roman" w:hAnsi="Sylfaen" w:cs="Times New Roman"/>
          <w:u w:val="single"/>
          <w:lang w:val="en-US"/>
        </w:rPr>
        <w:t>=</w:t>
      </w:r>
      <w:proofErr w:type="spellStart"/>
      <w:r w:rsidR="007E0459" w:rsidRPr="007E0459">
        <w:rPr>
          <w:rFonts w:ascii="Sylfaen" w:eastAsia="Times New Roman" w:hAnsi="Sylfaen" w:cs="Times New Roman"/>
          <w:u w:val="single"/>
          <w:lang w:val="en-US"/>
        </w:rPr>
        <w:t>article&amp;id</w:t>
      </w:r>
      <w:proofErr w:type="spellEnd"/>
      <w:r w:rsidR="007E0459" w:rsidRPr="007E0459">
        <w:rPr>
          <w:rFonts w:ascii="Sylfaen" w:eastAsia="Times New Roman" w:hAnsi="Sylfaen" w:cs="Times New Roman"/>
          <w:u w:val="single"/>
          <w:lang w:val="en-US"/>
        </w:rPr>
        <w:t>=25512&amp;Itemid=2727</w:t>
      </w:r>
    </w:p>
  </w:footnote>
  <w:footnote w:id="78">
    <w:p w14:paraId="2918FBFD" w14:textId="77777777" w:rsidR="00A51C4B" w:rsidRPr="007E0459" w:rsidRDefault="00A51C4B">
      <w:pPr>
        <w:pStyle w:val="FootnoteText"/>
        <w:rPr>
          <w:lang w:val="en-US"/>
        </w:rPr>
      </w:pPr>
      <w:r>
        <w:rPr>
          <w:rStyle w:val="FootnoteReference"/>
        </w:rPr>
        <w:footnoteRef/>
      </w:r>
      <w:r w:rsidRPr="007E0459">
        <w:rPr>
          <w:lang w:val="en-US"/>
        </w:rPr>
        <w:t xml:space="preserve"> </w:t>
      </w:r>
      <w:r w:rsidR="007E0459" w:rsidRPr="007E0459">
        <w:rPr>
          <w:rFonts w:ascii="Sylfaen" w:eastAsia="Times New Roman" w:hAnsi="Sylfaen" w:cs="Times New Roman"/>
          <w:u w:val="single"/>
          <w:lang w:val="en-US"/>
        </w:rPr>
        <w:t>http://docs.eaeunion.om/docs/ru-ru/01414891/cncd 25092017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F64CE"/>
    <w:multiLevelType w:val="multilevel"/>
    <w:tmpl w:val="164A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7953D2"/>
    <w:multiLevelType w:val="multilevel"/>
    <w:tmpl w:val="C670311A"/>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3564BA"/>
    <w:multiLevelType w:val="multilevel"/>
    <w:tmpl w:val="1BB40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C226D"/>
    <w:rsid w:val="00094F25"/>
    <w:rsid w:val="00220108"/>
    <w:rsid w:val="002B18C3"/>
    <w:rsid w:val="004D449D"/>
    <w:rsid w:val="0058389B"/>
    <w:rsid w:val="005E26A4"/>
    <w:rsid w:val="007E0459"/>
    <w:rsid w:val="008C226D"/>
    <w:rsid w:val="009E392A"/>
    <w:rsid w:val="00A5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DEB6"/>
  <w15:docId w15:val="{EF9FBA26-3E87-4879-A0DF-50FFFF6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26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26D"/>
    <w:rPr>
      <w:color w:val="0066CC"/>
      <w:u w:val="single"/>
    </w:rPr>
  </w:style>
  <w:style w:type="character" w:customStyle="1" w:styleId="Bodytext3">
    <w:name w:val="Body text (3)_"/>
    <w:basedOn w:val="DefaultParagraphFont"/>
    <w:link w:val="Bodytext30"/>
    <w:rsid w:val="008C226D"/>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8C226D"/>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8C226D"/>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8C226D"/>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sid w:val="008C226D"/>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8C226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Bold">
    <w:name w:val="Body text (2) + Bold"/>
    <w:aliases w:val="Spacing 4 pt"/>
    <w:basedOn w:val="Bodytext2"/>
    <w:rsid w:val="008C226D"/>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Heading2">
    <w:name w:val="Heading #2_"/>
    <w:basedOn w:val="DefaultParagraphFont"/>
    <w:link w:val="Heading20"/>
    <w:rsid w:val="008C226D"/>
    <w:rPr>
      <w:rFonts w:ascii="Times New Roman" w:eastAsia="Times New Roman" w:hAnsi="Times New Roman" w:cs="Times New Roman"/>
      <w:b/>
      <w:bCs/>
      <w:i w:val="0"/>
      <w:iCs w:val="0"/>
      <w:smallCaps w:val="0"/>
      <w:strike w:val="0"/>
      <w:sz w:val="28"/>
      <w:szCs w:val="28"/>
      <w:u w:val="none"/>
    </w:rPr>
  </w:style>
  <w:style w:type="character" w:customStyle="1" w:styleId="Heading2Spacing4pt">
    <w:name w:val="Heading #2 + Spacing 4 pt"/>
    <w:basedOn w:val="Heading2"/>
    <w:rsid w:val="008C226D"/>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Bold0">
    <w:name w:val="Body text (2) + Bold"/>
    <w:aliases w:val="Spacing 2 pt"/>
    <w:basedOn w:val="Bodytext2"/>
    <w:rsid w:val="008C226D"/>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1">
    <w:name w:val="Body text (2) + Bold"/>
    <w:basedOn w:val="Bodytext2"/>
    <w:rsid w:val="008C226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4">
    <w:name w:val="Body text (4)_"/>
    <w:basedOn w:val="DefaultParagraphFont"/>
    <w:link w:val="Bodytext40"/>
    <w:rsid w:val="008C226D"/>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sid w:val="008C226D"/>
    <w:rPr>
      <w:rFonts w:ascii="Times New Roman" w:eastAsia="Times New Roman" w:hAnsi="Times New Roman" w:cs="Times New Roman"/>
      <w:b/>
      <w:bCs/>
      <w:i/>
      <w:iCs/>
      <w:smallCaps w:val="0"/>
      <w:strike w:val="0"/>
      <w:sz w:val="28"/>
      <w:szCs w:val="28"/>
      <w:u w:val="none"/>
    </w:rPr>
  </w:style>
  <w:style w:type="character" w:customStyle="1" w:styleId="Bodytext6">
    <w:name w:val="Body text (6)_"/>
    <w:basedOn w:val="DefaultParagraphFont"/>
    <w:link w:val="Bodytext60"/>
    <w:rsid w:val="008C226D"/>
    <w:rPr>
      <w:rFonts w:ascii="Times New Roman" w:eastAsia="Times New Roman" w:hAnsi="Times New Roman" w:cs="Times New Roman"/>
      <w:b w:val="0"/>
      <w:bCs w:val="0"/>
      <w:i/>
      <w:iCs/>
      <w:smallCaps w:val="0"/>
      <w:strike w:val="0"/>
      <w:sz w:val="28"/>
      <w:szCs w:val="28"/>
      <w:u w:val="none"/>
    </w:rPr>
  </w:style>
  <w:style w:type="character" w:customStyle="1" w:styleId="Footnote">
    <w:name w:val="Footnote_"/>
    <w:basedOn w:val="DefaultParagraphFont"/>
    <w:link w:val="Footnote0"/>
    <w:rsid w:val="008C226D"/>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Footnote1">
    <w:name w:val="Footnote"/>
    <w:basedOn w:val="Footnote"/>
    <w:rsid w:val="008C226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Bodytext7">
    <w:name w:val="Body text (7)_"/>
    <w:basedOn w:val="DefaultParagraphFont"/>
    <w:link w:val="Bodytext70"/>
    <w:rsid w:val="008C226D"/>
    <w:rPr>
      <w:rFonts w:ascii="Times New Roman" w:eastAsia="Times New Roman" w:hAnsi="Times New Roman" w:cs="Times New Roman"/>
      <w:b w:val="0"/>
      <w:bCs w:val="0"/>
      <w:i w:val="0"/>
      <w:iCs w:val="0"/>
      <w:smallCaps w:val="0"/>
      <w:strike w:val="0"/>
      <w:sz w:val="19"/>
      <w:szCs w:val="19"/>
      <w:u w:val="none"/>
    </w:rPr>
  </w:style>
  <w:style w:type="character" w:customStyle="1" w:styleId="Bodytext5Tahoma">
    <w:name w:val="Body text (5) + Tahoma"/>
    <w:aliases w:val="Not Bold,Not Italic"/>
    <w:basedOn w:val="Bodytext5"/>
    <w:rsid w:val="008C226D"/>
    <w:rPr>
      <w:rFonts w:ascii="Tahoma" w:eastAsia="Tahoma" w:hAnsi="Tahoma" w:cs="Tahoma"/>
      <w:b/>
      <w:bCs/>
      <w:i/>
      <w:iCs/>
      <w:smallCaps w:val="0"/>
      <w:strike w:val="0"/>
      <w:color w:val="000000"/>
      <w:spacing w:val="0"/>
      <w:w w:val="100"/>
      <w:position w:val="0"/>
      <w:sz w:val="28"/>
      <w:szCs w:val="28"/>
      <w:u w:val="none"/>
      <w:lang w:val="ru-RU" w:eastAsia="ru-RU" w:bidi="ru-RU"/>
    </w:rPr>
  </w:style>
  <w:style w:type="character" w:customStyle="1" w:styleId="Footnote2">
    <w:name w:val="Footnote (2)_"/>
    <w:basedOn w:val="DefaultParagraphFont"/>
    <w:link w:val="Footnote20"/>
    <w:rsid w:val="008C226D"/>
    <w:rPr>
      <w:rFonts w:ascii="Tahoma" w:eastAsia="Tahoma" w:hAnsi="Tahoma" w:cs="Tahoma"/>
      <w:b w:val="0"/>
      <w:bCs w:val="0"/>
      <w:i w:val="0"/>
      <w:iCs w:val="0"/>
      <w:smallCaps w:val="0"/>
      <w:strike w:val="0"/>
      <w:sz w:val="11"/>
      <w:szCs w:val="11"/>
      <w:u w:val="none"/>
      <w:lang w:val="en-US" w:eastAsia="en-US" w:bidi="en-US"/>
    </w:rPr>
  </w:style>
  <w:style w:type="character" w:customStyle="1" w:styleId="Footnote3">
    <w:name w:val="Footnote (3)_"/>
    <w:basedOn w:val="DefaultParagraphFont"/>
    <w:link w:val="Footnote30"/>
    <w:rsid w:val="008C226D"/>
    <w:rPr>
      <w:rFonts w:ascii="Times New Roman" w:eastAsia="Times New Roman" w:hAnsi="Times New Roman" w:cs="Times New Roman"/>
      <w:b w:val="0"/>
      <w:bCs w:val="0"/>
      <w:i w:val="0"/>
      <w:iCs w:val="0"/>
      <w:smallCaps w:val="0"/>
      <w:strike w:val="0"/>
      <w:sz w:val="28"/>
      <w:szCs w:val="28"/>
      <w:u w:val="none"/>
    </w:rPr>
  </w:style>
  <w:style w:type="character" w:customStyle="1" w:styleId="Footnote37pt">
    <w:name w:val="Footnote (3) + 7 pt"/>
    <w:basedOn w:val="Footnote3"/>
    <w:rsid w:val="008C226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FootnoteGeorgia">
    <w:name w:val="Footnote + Georgia"/>
    <w:aliases w:val="8.5 pt"/>
    <w:basedOn w:val="Footnote"/>
    <w:rsid w:val="008C226D"/>
    <w:rPr>
      <w:rFonts w:ascii="Georgia" w:eastAsia="Georgia" w:hAnsi="Georgia" w:cs="Georgia"/>
      <w:b w:val="0"/>
      <w:bCs w:val="0"/>
      <w:i w:val="0"/>
      <w:iCs w:val="0"/>
      <w:smallCaps w:val="0"/>
      <w:strike w:val="0"/>
      <w:color w:val="000000"/>
      <w:spacing w:val="0"/>
      <w:w w:val="100"/>
      <w:position w:val="0"/>
      <w:sz w:val="17"/>
      <w:szCs w:val="17"/>
      <w:u w:val="single"/>
      <w:lang w:val="en-US" w:eastAsia="en-US" w:bidi="en-US"/>
    </w:rPr>
  </w:style>
  <w:style w:type="character" w:customStyle="1" w:styleId="Footnote4">
    <w:name w:val="Footnote (4)_"/>
    <w:basedOn w:val="DefaultParagraphFont"/>
    <w:link w:val="Footnote40"/>
    <w:rsid w:val="008C226D"/>
    <w:rPr>
      <w:rFonts w:ascii="Times New Roman" w:eastAsia="Times New Roman" w:hAnsi="Times New Roman" w:cs="Times New Roman"/>
      <w:b w:val="0"/>
      <w:bCs w:val="0"/>
      <w:i w:val="0"/>
      <w:iCs w:val="0"/>
      <w:smallCaps w:val="0"/>
      <w:strike w:val="0"/>
      <w:sz w:val="11"/>
      <w:szCs w:val="11"/>
      <w:u w:val="none"/>
    </w:rPr>
  </w:style>
  <w:style w:type="character" w:customStyle="1" w:styleId="Footnote5">
    <w:name w:val="Footnote"/>
    <w:basedOn w:val="Footnote"/>
    <w:rsid w:val="008C226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9">
    <w:name w:val="Body text (9)_"/>
    <w:basedOn w:val="DefaultParagraphFont"/>
    <w:link w:val="Bodytext90"/>
    <w:rsid w:val="008C226D"/>
    <w:rPr>
      <w:rFonts w:ascii="Courier New" w:eastAsia="Courier New" w:hAnsi="Courier New" w:cs="Courier New"/>
      <w:b w:val="0"/>
      <w:bCs w:val="0"/>
      <w:i w:val="0"/>
      <w:iCs w:val="0"/>
      <w:smallCaps w:val="0"/>
      <w:strike w:val="0"/>
      <w:sz w:val="12"/>
      <w:szCs w:val="12"/>
      <w:u w:val="none"/>
    </w:rPr>
  </w:style>
  <w:style w:type="character" w:customStyle="1" w:styleId="Footnote50">
    <w:name w:val="Footnote (5)_"/>
    <w:basedOn w:val="DefaultParagraphFont"/>
    <w:link w:val="Footnote51"/>
    <w:rsid w:val="008C226D"/>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Footnote52">
    <w:name w:val="Footnote (5)"/>
    <w:basedOn w:val="Footnote50"/>
    <w:rsid w:val="008C226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Bodytext10">
    <w:name w:val="Body text (10)_"/>
    <w:basedOn w:val="DefaultParagraphFont"/>
    <w:link w:val="Bodytext100"/>
    <w:rsid w:val="008C226D"/>
    <w:rPr>
      <w:rFonts w:ascii="Candara" w:eastAsia="Candara" w:hAnsi="Candara" w:cs="Candara"/>
      <w:b w:val="0"/>
      <w:bCs w:val="0"/>
      <w:i w:val="0"/>
      <w:iCs w:val="0"/>
      <w:smallCaps w:val="0"/>
      <w:strike w:val="0"/>
      <w:spacing w:val="30"/>
      <w:sz w:val="9"/>
      <w:szCs w:val="9"/>
      <w:u w:val="none"/>
    </w:rPr>
  </w:style>
  <w:style w:type="character" w:customStyle="1" w:styleId="Bodytext11">
    <w:name w:val="Body text (11)_"/>
    <w:basedOn w:val="DefaultParagraphFont"/>
    <w:link w:val="Bodytext110"/>
    <w:rsid w:val="008C226D"/>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Bodytext22">
    <w:name w:val="Body text (2)"/>
    <w:basedOn w:val="Bodytext2"/>
    <w:rsid w:val="008C226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13">
    <w:name w:val="Body text (13)_"/>
    <w:basedOn w:val="DefaultParagraphFont"/>
    <w:link w:val="Bodytext130"/>
    <w:rsid w:val="008C226D"/>
    <w:rPr>
      <w:rFonts w:ascii="Book Antiqua" w:eastAsia="Book Antiqua" w:hAnsi="Book Antiqua" w:cs="Book Antiqua"/>
      <w:b w:val="0"/>
      <w:bCs w:val="0"/>
      <w:i w:val="0"/>
      <w:iCs w:val="0"/>
      <w:smallCaps w:val="0"/>
      <w:strike w:val="0"/>
      <w:sz w:val="8"/>
      <w:szCs w:val="8"/>
      <w:u w:val="none"/>
    </w:rPr>
  </w:style>
  <w:style w:type="character" w:customStyle="1" w:styleId="Heading22">
    <w:name w:val="Heading #2 (2)_"/>
    <w:basedOn w:val="DefaultParagraphFont"/>
    <w:link w:val="Heading220"/>
    <w:rsid w:val="008C226D"/>
    <w:rPr>
      <w:rFonts w:ascii="Times New Roman" w:eastAsia="Times New Roman" w:hAnsi="Times New Roman" w:cs="Times New Roman"/>
      <w:b/>
      <w:bCs/>
      <w:i w:val="0"/>
      <w:iCs w:val="0"/>
      <w:smallCaps w:val="0"/>
      <w:strike w:val="0"/>
      <w:sz w:val="32"/>
      <w:szCs w:val="32"/>
      <w:u w:val="none"/>
    </w:rPr>
  </w:style>
  <w:style w:type="character" w:customStyle="1" w:styleId="Tablecaption2">
    <w:name w:val="Table caption (2)_"/>
    <w:basedOn w:val="DefaultParagraphFont"/>
    <w:link w:val="Tablecaption20"/>
    <w:rsid w:val="008C226D"/>
    <w:rPr>
      <w:rFonts w:ascii="Times New Roman" w:eastAsia="Times New Roman" w:hAnsi="Times New Roman" w:cs="Times New Roman"/>
      <w:b/>
      <w:bCs/>
      <w:i w:val="0"/>
      <w:iCs w:val="0"/>
      <w:smallCaps w:val="0"/>
      <w:strike w:val="0"/>
      <w:sz w:val="32"/>
      <w:szCs w:val="32"/>
      <w:u w:val="none"/>
    </w:rPr>
  </w:style>
  <w:style w:type="character" w:customStyle="1" w:styleId="Tablecaption2Spacing4pt">
    <w:name w:val="Table caption (2) + Spacing 4 pt"/>
    <w:basedOn w:val="Tablecaption2"/>
    <w:rsid w:val="008C226D"/>
    <w:rPr>
      <w:rFonts w:ascii="Times New Roman" w:eastAsia="Times New Roman" w:hAnsi="Times New Roman" w:cs="Times New Roman"/>
      <w:b/>
      <w:bCs/>
      <w:i w:val="0"/>
      <w:iCs w:val="0"/>
      <w:smallCaps w:val="0"/>
      <w:strike w:val="0"/>
      <w:color w:val="000000"/>
      <w:spacing w:val="90"/>
      <w:w w:val="100"/>
      <w:position w:val="0"/>
      <w:sz w:val="32"/>
      <w:szCs w:val="32"/>
      <w:u w:val="none"/>
      <w:lang w:val="ru-RU" w:eastAsia="ru-RU" w:bidi="ru-RU"/>
    </w:rPr>
  </w:style>
  <w:style w:type="character" w:customStyle="1" w:styleId="Bodytext2Bold2">
    <w:name w:val="Body text (2) + Bold"/>
    <w:basedOn w:val="Bodytext2"/>
    <w:rsid w:val="008C226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22Spacing2pt">
    <w:name w:val="Heading #2 (2) + Spacing 2 pt"/>
    <w:basedOn w:val="Heading22"/>
    <w:rsid w:val="008C226D"/>
    <w:rPr>
      <w:rFonts w:ascii="Times New Roman" w:eastAsia="Times New Roman" w:hAnsi="Times New Roman" w:cs="Times New Roman"/>
      <w:b/>
      <w:bCs/>
      <w:i w:val="0"/>
      <w:iCs w:val="0"/>
      <w:smallCaps w:val="0"/>
      <w:strike w:val="0"/>
      <w:color w:val="000000"/>
      <w:spacing w:val="40"/>
      <w:w w:val="100"/>
      <w:position w:val="0"/>
      <w:sz w:val="32"/>
      <w:szCs w:val="32"/>
      <w:u w:val="none"/>
      <w:lang w:val="ru-RU" w:eastAsia="ru-RU" w:bidi="ru-RU"/>
    </w:rPr>
  </w:style>
  <w:style w:type="paragraph" w:customStyle="1" w:styleId="Bodytext30">
    <w:name w:val="Body text (3)"/>
    <w:basedOn w:val="Normal"/>
    <w:link w:val="Bodytext3"/>
    <w:rsid w:val="008C226D"/>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8C226D"/>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8C226D"/>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8C226D"/>
    <w:pPr>
      <w:shd w:val="clear" w:color="auto" w:fill="FFFFFF"/>
      <w:spacing w:before="300" w:line="518" w:lineRule="exact"/>
      <w:jc w:val="both"/>
    </w:pPr>
    <w:rPr>
      <w:rFonts w:ascii="Times New Roman" w:eastAsia="Times New Roman" w:hAnsi="Times New Roman" w:cs="Times New Roman"/>
      <w:sz w:val="28"/>
      <w:szCs w:val="28"/>
    </w:rPr>
  </w:style>
  <w:style w:type="paragraph" w:customStyle="1" w:styleId="Heading20">
    <w:name w:val="Heading #2"/>
    <w:basedOn w:val="Normal"/>
    <w:link w:val="Heading2"/>
    <w:rsid w:val="008C226D"/>
    <w:pPr>
      <w:shd w:val="clear" w:color="auto" w:fill="FFFFFF"/>
      <w:spacing w:before="660" w:line="346" w:lineRule="exact"/>
      <w:ind w:hanging="720"/>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8C226D"/>
    <w:pPr>
      <w:shd w:val="clear" w:color="auto" w:fill="FFFFFF"/>
      <w:spacing w:line="324" w:lineRule="exac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8C226D"/>
    <w:pPr>
      <w:shd w:val="clear" w:color="auto" w:fill="FFFFFF"/>
      <w:spacing w:before="300" w:line="324" w:lineRule="exact"/>
      <w:ind w:firstLine="700"/>
      <w:jc w:val="both"/>
    </w:pPr>
    <w:rPr>
      <w:rFonts w:ascii="Times New Roman" w:eastAsia="Times New Roman" w:hAnsi="Times New Roman" w:cs="Times New Roman"/>
      <w:b/>
      <w:bCs/>
      <w:i/>
      <w:iCs/>
      <w:sz w:val="28"/>
      <w:szCs w:val="28"/>
    </w:rPr>
  </w:style>
  <w:style w:type="paragraph" w:customStyle="1" w:styleId="Bodytext60">
    <w:name w:val="Body text (6)"/>
    <w:basedOn w:val="Normal"/>
    <w:link w:val="Bodytext6"/>
    <w:rsid w:val="008C226D"/>
    <w:pPr>
      <w:shd w:val="clear" w:color="auto" w:fill="FFFFFF"/>
      <w:spacing w:line="324" w:lineRule="exact"/>
      <w:ind w:firstLine="680"/>
      <w:jc w:val="both"/>
    </w:pPr>
    <w:rPr>
      <w:rFonts w:ascii="Times New Roman" w:eastAsia="Times New Roman" w:hAnsi="Times New Roman" w:cs="Times New Roman"/>
      <w:i/>
      <w:iCs/>
      <w:sz w:val="28"/>
      <w:szCs w:val="28"/>
    </w:rPr>
  </w:style>
  <w:style w:type="paragraph" w:customStyle="1" w:styleId="Footnote0">
    <w:name w:val="Footnote"/>
    <w:basedOn w:val="Normal"/>
    <w:link w:val="Footnote"/>
    <w:rsid w:val="008C226D"/>
    <w:pPr>
      <w:shd w:val="clear" w:color="auto" w:fill="FFFFFF"/>
      <w:spacing w:line="0" w:lineRule="atLeast"/>
      <w:jc w:val="both"/>
    </w:pPr>
    <w:rPr>
      <w:rFonts w:ascii="Times New Roman" w:eastAsia="Times New Roman" w:hAnsi="Times New Roman" w:cs="Times New Roman"/>
      <w:sz w:val="19"/>
      <w:szCs w:val="19"/>
      <w:lang w:val="en-US" w:eastAsia="en-US" w:bidi="en-US"/>
    </w:rPr>
  </w:style>
  <w:style w:type="paragraph" w:customStyle="1" w:styleId="Bodytext70">
    <w:name w:val="Body text (7)"/>
    <w:basedOn w:val="Normal"/>
    <w:link w:val="Bodytext7"/>
    <w:rsid w:val="008C226D"/>
    <w:pPr>
      <w:shd w:val="clear" w:color="auto" w:fill="FFFFFF"/>
      <w:spacing w:line="0" w:lineRule="atLeast"/>
    </w:pPr>
    <w:rPr>
      <w:rFonts w:ascii="Times New Roman" w:eastAsia="Times New Roman" w:hAnsi="Times New Roman" w:cs="Times New Roman"/>
      <w:sz w:val="19"/>
      <w:szCs w:val="19"/>
    </w:rPr>
  </w:style>
  <w:style w:type="paragraph" w:customStyle="1" w:styleId="Footnote20">
    <w:name w:val="Footnote (2)"/>
    <w:basedOn w:val="Normal"/>
    <w:link w:val="Footnote2"/>
    <w:rsid w:val="008C226D"/>
    <w:pPr>
      <w:shd w:val="clear" w:color="auto" w:fill="FFFFFF"/>
      <w:spacing w:after="120" w:line="0" w:lineRule="atLeast"/>
    </w:pPr>
    <w:rPr>
      <w:rFonts w:ascii="Tahoma" w:eastAsia="Tahoma" w:hAnsi="Tahoma" w:cs="Tahoma"/>
      <w:sz w:val="11"/>
      <w:szCs w:val="11"/>
      <w:lang w:val="en-US" w:eastAsia="en-US" w:bidi="en-US"/>
    </w:rPr>
  </w:style>
  <w:style w:type="paragraph" w:customStyle="1" w:styleId="Footnote30">
    <w:name w:val="Footnote (3)"/>
    <w:basedOn w:val="Normal"/>
    <w:link w:val="Footnote3"/>
    <w:rsid w:val="008C226D"/>
    <w:pPr>
      <w:shd w:val="clear" w:color="auto" w:fill="FFFFFF"/>
      <w:spacing w:line="0" w:lineRule="atLeast"/>
    </w:pPr>
    <w:rPr>
      <w:rFonts w:ascii="Times New Roman" w:eastAsia="Times New Roman" w:hAnsi="Times New Roman" w:cs="Times New Roman"/>
      <w:sz w:val="28"/>
      <w:szCs w:val="28"/>
    </w:rPr>
  </w:style>
  <w:style w:type="paragraph" w:customStyle="1" w:styleId="Footnote40">
    <w:name w:val="Footnote (4)"/>
    <w:basedOn w:val="Normal"/>
    <w:link w:val="Footnote4"/>
    <w:rsid w:val="008C226D"/>
    <w:pPr>
      <w:shd w:val="clear" w:color="auto" w:fill="FFFFFF"/>
      <w:spacing w:line="0" w:lineRule="atLeast"/>
    </w:pPr>
    <w:rPr>
      <w:rFonts w:ascii="Times New Roman" w:eastAsia="Times New Roman" w:hAnsi="Times New Roman" w:cs="Times New Roman"/>
      <w:sz w:val="11"/>
      <w:szCs w:val="11"/>
    </w:rPr>
  </w:style>
  <w:style w:type="paragraph" w:customStyle="1" w:styleId="Bodytext90">
    <w:name w:val="Body text (9)"/>
    <w:basedOn w:val="Normal"/>
    <w:link w:val="Bodytext9"/>
    <w:rsid w:val="008C226D"/>
    <w:pPr>
      <w:shd w:val="clear" w:color="auto" w:fill="FFFFFF"/>
      <w:spacing w:line="0" w:lineRule="atLeast"/>
    </w:pPr>
    <w:rPr>
      <w:rFonts w:ascii="Courier New" w:eastAsia="Courier New" w:hAnsi="Courier New" w:cs="Courier New"/>
      <w:sz w:val="12"/>
      <w:szCs w:val="12"/>
    </w:rPr>
  </w:style>
  <w:style w:type="paragraph" w:customStyle="1" w:styleId="Footnote51">
    <w:name w:val="Footnote (5)"/>
    <w:basedOn w:val="Normal"/>
    <w:link w:val="Footnote50"/>
    <w:rsid w:val="008C226D"/>
    <w:pPr>
      <w:shd w:val="clear" w:color="auto" w:fill="FFFFFF"/>
      <w:spacing w:line="230" w:lineRule="exact"/>
      <w:jc w:val="both"/>
    </w:pPr>
    <w:rPr>
      <w:rFonts w:ascii="Times New Roman" w:eastAsia="Times New Roman" w:hAnsi="Times New Roman" w:cs="Times New Roman"/>
      <w:sz w:val="19"/>
      <w:szCs w:val="19"/>
      <w:lang w:val="en-US" w:eastAsia="en-US" w:bidi="en-US"/>
    </w:rPr>
  </w:style>
  <w:style w:type="paragraph" w:customStyle="1" w:styleId="Bodytext100">
    <w:name w:val="Body text (10)"/>
    <w:basedOn w:val="Normal"/>
    <w:link w:val="Bodytext10"/>
    <w:rsid w:val="008C226D"/>
    <w:pPr>
      <w:shd w:val="clear" w:color="auto" w:fill="FFFFFF"/>
      <w:spacing w:line="0" w:lineRule="atLeast"/>
    </w:pPr>
    <w:rPr>
      <w:rFonts w:ascii="Candara" w:eastAsia="Candara" w:hAnsi="Candara" w:cs="Candara"/>
      <w:spacing w:val="30"/>
      <w:sz w:val="9"/>
      <w:szCs w:val="9"/>
    </w:rPr>
  </w:style>
  <w:style w:type="paragraph" w:customStyle="1" w:styleId="Bodytext110">
    <w:name w:val="Body text (11)"/>
    <w:basedOn w:val="Normal"/>
    <w:link w:val="Bodytext11"/>
    <w:rsid w:val="008C226D"/>
    <w:pPr>
      <w:shd w:val="clear" w:color="auto" w:fill="FFFFFF"/>
      <w:spacing w:line="0" w:lineRule="atLeast"/>
    </w:pPr>
    <w:rPr>
      <w:rFonts w:ascii="Times New Roman" w:eastAsia="Times New Roman" w:hAnsi="Times New Roman" w:cs="Times New Roman"/>
      <w:spacing w:val="10"/>
      <w:sz w:val="10"/>
      <w:szCs w:val="10"/>
    </w:rPr>
  </w:style>
  <w:style w:type="paragraph" w:customStyle="1" w:styleId="Bodytext130">
    <w:name w:val="Body text (13)"/>
    <w:basedOn w:val="Normal"/>
    <w:link w:val="Bodytext13"/>
    <w:rsid w:val="008C226D"/>
    <w:pPr>
      <w:shd w:val="clear" w:color="auto" w:fill="FFFFFF"/>
      <w:spacing w:line="0" w:lineRule="atLeast"/>
    </w:pPr>
    <w:rPr>
      <w:rFonts w:ascii="Book Antiqua" w:eastAsia="Book Antiqua" w:hAnsi="Book Antiqua" w:cs="Book Antiqua"/>
      <w:sz w:val="8"/>
      <w:szCs w:val="8"/>
    </w:rPr>
  </w:style>
  <w:style w:type="paragraph" w:customStyle="1" w:styleId="Heading220">
    <w:name w:val="Heading #2 (2)"/>
    <w:basedOn w:val="Normal"/>
    <w:link w:val="Heading22"/>
    <w:rsid w:val="008C226D"/>
    <w:pPr>
      <w:shd w:val="clear" w:color="auto" w:fill="FFFFFF"/>
      <w:spacing w:after="840" w:line="0" w:lineRule="atLeast"/>
      <w:outlineLvl w:val="1"/>
    </w:pPr>
    <w:rPr>
      <w:rFonts w:ascii="Times New Roman" w:eastAsia="Times New Roman" w:hAnsi="Times New Roman" w:cs="Times New Roman"/>
      <w:b/>
      <w:bCs/>
      <w:sz w:val="32"/>
      <w:szCs w:val="32"/>
    </w:rPr>
  </w:style>
  <w:style w:type="paragraph" w:customStyle="1" w:styleId="Tablecaption20">
    <w:name w:val="Table caption (2)"/>
    <w:basedOn w:val="Normal"/>
    <w:link w:val="Tablecaption2"/>
    <w:rsid w:val="008C226D"/>
    <w:pPr>
      <w:shd w:val="clear" w:color="auto" w:fill="FFFFFF"/>
      <w:spacing w:line="0" w:lineRule="atLeast"/>
    </w:pPr>
    <w:rPr>
      <w:rFonts w:ascii="Times New Roman" w:eastAsia="Times New Roman" w:hAnsi="Times New Roman" w:cs="Times New Roman"/>
      <w:b/>
      <w:bCs/>
      <w:sz w:val="32"/>
      <w:szCs w:val="32"/>
    </w:rPr>
  </w:style>
  <w:style w:type="paragraph" w:styleId="FootnoteText">
    <w:name w:val="footnote text"/>
    <w:basedOn w:val="Normal"/>
    <w:link w:val="FootnoteTextChar"/>
    <w:uiPriority w:val="99"/>
    <w:semiHidden/>
    <w:unhideWhenUsed/>
    <w:rsid w:val="009E392A"/>
    <w:rPr>
      <w:sz w:val="20"/>
      <w:szCs w:val="20"/>
    </w:rPr>
  </w:style>
  <w:style w:type="character" w:customStyle="1" w:styleId="FootnoteTextChar">
    <w:name w:val="Footnote Text Char"/>
    <w:basedOn w:val="DefaultParagraphFont"/>
    <w:link w:val="FootnoteText"/>
    <w:uiPriority w:val="99"/>
    <w:semiHidden/>
    <w:rsid w:val="009E392A"/>
    <w:rPr>
      <w:color w:val="000000"/>
      <w:sz w:val="20"/>
      <w:szCs w:val="20"/>
    </w:rPr>
  </w:style>
  <w:style w:type="character" w:styleId="FootnoteReference">
    <w:name w:val="footnote reference"/>
    <w:basedOn w:val="DefaultParagraphFont"/>
    <w:uiPriority w:val="99"/>
    <w:semiHidden/>
    <w:unhideWhenUsed/>
    <w:rsid w:val="009E3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49</Pages>
  <Words>18572</Words>
  <Characters>105866</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3</cp:revision>
  <dcterms:created xsi:type="dcterms:W3CDTF">2018-08-07T11:10:00Z</dcterms:created>
  <dcterms:modified xsi:type="dcterms:W3CDTF">2020-04-27T03:17:00Z</dcterms:modified>
</cp:coreProperties>
</file>