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04F51">
        <w:rPr>
          <w:rStyle w:val="Bodytext21"/>
          <w:rFonts w:ascii="Sylfaen" w:hAnsi="Sylfaen"/>
          <w:sz w:val="24"/>
          <w:szCs w:val="24"/>
        </w:rPr>
        <w:t>УТВЕРЖДЕН</w:t>
      </w:r>
    </w:p>
    <w:p w:rsidR="00E514A6" w:rsidRPr="00A04F51" w:rsidRDefault="002D1F60" w:rsidP="00A04F51">
      <w:pPr>
        <w:pStyle w:val="Bodytext20"/>
        <w:shd w:val="clear" w:color="auto" w:fill="auto"/>
        <w:spacing w:line="240" w:lineRule="auto"/>
        <w:ind w:left="5387" w:right="-6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Решением Коллегии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Евразийской экономической комиссии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left="5387" w:right="-8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от 19 апреля 2016 г. № 34</w:t>
      </w:r>
    </w:p>
    <w:p w:rsidR="00A04F51" w:rsidRDefault="00A04F51" w:rsidP="00A04F51">
      <w:pPr>
        <w:pStyle w:val="Heading20"/>
        <w:shd w:val="clear" w:color="auto" w:fill="auto"/>
        <w:spacing w:before="0" w:after="120" w:line="240" w:lineRule="auto"/>
        <w:ind w:left="40"/>
        <w:rPr>
          <w:rStyle w:val="Heading2Spacing4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514A6" w:rsidRPr="00A04F51" w:rsidRDefault="002D1F60" w:rsidP="00A04F51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A04F51">
        <w:rPr>
          <w:rStyle w:val="Heading2Spacing4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E514A6" w:rsidRDefault="002D1F60" w:rsidP="00A04F51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t>приостановления или прекращения действия лицензии</w:t>
      </w:r>
      <w:r w:rsidR="00A04F51" w:rsidRPr="00A04F51">
        <w:rPr>
          <w:rFonts w:ascii="Sylfaen" w:hAnsi="Sylfaen"/>
          <w:sz w:val="24"/>
          <w:szCs w:val="24"/>
        </w:rPr>
        <w:t xml:space="preserve"> </w:t>
      </w:r>
      <w:r w:rsidRPr="00A04F51">
        <w:rPr>
          <w:rFonts w:ascii="Sylfaen" w:hAnsi="Sylfaen"/>
          <w:sz w:val="24"/>
          <w:szCs w:val="24"/>
        </w:rPr>
        <w:t>на экспорт и (или) импорт товаров</w:t>
      </w:r>
    </w:p>
    <w:p w:rsidR="00A04F51" w:rsidRPr="00A04F51" w:rsidRDefault="00A04F51" w:rsidP="00A04F51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E514A6" w:rsidRPr="00A04F51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1.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Настоящий Порядок разработан в соответствии с пунктом 20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- Правила).</w:t>
      </w:r>
    </w:p>
    <w:p w:rsidR="00E514A6" w:rsidRPr="00A04F51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2. </w:t>
      </w:r>
      <w:r w:rsidR="002D1F60" w:rsidRPr="00A04F51">
        <w:rPr>
          <w:rStyle w:val="Bodytext21"/>
          <w:rFonts w:ascii="Sylfaen" w:hAnsi="Sylfaen"/>
          <w:sz w:val="24"/>
          <w:szCs w:val="24"/>
        </w:rPr>
        <w:t>Уполномоченный орган исполнительной власти государства-члена Евразийского экономического союза (далее - государство-член), его подведомственные или территориальные органы, наделенные правом выдачи лицензий на экспорт и (или) импорт товаров (далее соответственно - уполномоченный орган, лицензия), вправе принять решение о приостановлении или прекращении действия лицензии, выданной на территории данного государства-члена, в случаях, указанных в пункте 19 Правил. Такое решение реализуется путем внесения соответствующей записи в программное средство, обеспечивающее оформление, выдачу и учет лицензий.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Уведомление о приостановлении, возобновлении или прекращении действия лицензии направляется в письменной форме или в форме электронного документа.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Уполномоченный орган в течение 1 рабочего дня со дня принятия решения о приостановлении, возобновлении или прекращении действия лицензии направляет соответствующее уведомление таможенным органам своего государства и владельцу лицензии, за исключением случая прекращения действия лицензии по обращению владельца лицензии (при условии представления им справки об исполнении лицензии или оригинала выданной ранее лицензии).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В случае принятия решения о приостановлении, возобновлении или прекращении действия лицензии, выданной в форме электронного документа, уполномоченный орган в день принятия такого решения уведомляет о приостановлении, возобновлении или прекращении действия лицензии таможенные органы своего государства и владельца лицензии.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Уведомление о приостановлении или прекращении действия лицензии должно содержать ссылку на соответствующий подпункт пункта 19 Правил.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Если лицензия была выдана (оформлена) в форме электронного документа, оригинал лицензии в уполномоченный орган не представляется.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lastRenderedPageBreak/>
        <w:t>Решение о возобновлении действия лицензии реализуется путем внесения соответствующей записи в программное средство, обеспечивающее оформление, выдачу и учет лицензий.</w:t>
      </w:r>
    </w:p>
    <w:p w:rsidR="00E514A6" w:rsidRPr="00A04F51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3.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Действие лицензии может быть приостановлено в случаях, указанных в подпунктах 4 (в части приостановления действия одного или нескольких документов, на основании которых была выдана лицензия) и 10 пункта 19 Правил.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Решение о приостановлении действия лицензии принимается уполномоченным органом в течение 5 рабочих дней со дня наступления случаев, указанных в подпунктах 4 и 10 пункта 19 Правил.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Действие лицензии приостанавливается с даты принятия уполномоченным органом решения об этом.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Действие лицензии приостанавливается на срок, не превышающий 1 месяц, а в случае приостановления действия одного или нескольких из документов, на основании которых была выдана лицензия, - до возобновления действия указанных документов.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Действие лицензии возобновляется уполномоченным органом после устранения причин, вызвавших приостановление ее действия, досрочно или со дня, следующего за последним днем срока приостановления действия лицензии.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В случае неустранения таких причин в течение установленного уполномоченным органом срока приостановления действия лицензии действие лицензии прекращается. При этом приостановление действия лицензии не является основанием для ее продления.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Уполномоченный орган, приостановивший действие лицензии, принимает решение о возобновлении действия лицензии с указанием даты возобновления действия лицензии.</w:t>
      </w:r>
    </w:p>
    <w:p w:rsidR="00E514A6" w:rsidRPr="00A04F51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4.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Действие лицензии может быть прекращено в случаях, указанных в подпунктах 1 - 3, 5 - 9 пункта 19 Правил, а также в случае прекращения действия одного или нескольких документов, на основании которых выдана лицензия, в соответствии с подпунктом 4 пункта 19 Правил.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Прекращение действия лицензии в случае, указанном в подпункте 1 пункта 19 Правил, производится при условии представления владельцем лицензии оригинала лицензии (если постановка лицензии на контроль в таможенном органе государства-члена не производилась) или справки об исполнении лицензии (если постановка на контроль в таможенном органе государства-члена производилась).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Если лицензия выдана (оформлена) в форме электронного документа и (или) информация об исполнении лицензии представлена таможенными органами государства-члена в электронной форме непосредственно в уполномоченный орган, оригинал лицензии или справка об исполнении лицензии в уполномоченный орган не представляется.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 xml:space="preserve">Решение о прекращении действия лицензии в случае, указанном в подпункте 1 </w:t>
      </w:r>
      <w:r w:rsidRPr="00A04F51">
        <w:rPr>
          <w:rStyle w:val="Bodytext21"/>
          <w:rFonts w:ascii="Sylfaen" w:hAnsi="Sylfaen"/>
          <w:sz w:val="24"/>
          <w:szCs w:val="24"/>
        </w:rPr>
        <w:lastRenderedPageBreak/>
        <w:t>пункта 19 Правил, принимается уполномоченным органом в течение 5 рабочих дней со дня представления владельцем лицензии соответствующего обращения, в иных случаях, указанных в пункте 19 Правил, - со дня их наступления, а при невозможности установления такого дня ֊ со дня их выявления.</w:t>
      </w:r>
    </w:p>
    <w:p w:rsidR="00E514A6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Style w:val="Bodytext21"/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t xml:space="preserve">5. </w:t>
      </w:r>
      <w:r w:rsidR="002D1F60" w:rsidRPr="00A04F51">
        <w:rPr>
          <w:rStyle w:val="Bodytext21"/>
          <w:rFonts w:ascii="Sylfaen" w:hAnsi="Sylfaen"/>
          <w:sz w:val="24"/>
          <w:szCs w:val="24"/>
        </w:rPr>
        <w:t>Решение о приостановлении или прекращении действия лицензии может быть обжаловано в порядке, установленном законодательством государства-члена, уполномоченный орган которого принял такое решение.</w:t>
      </w:r>
    </w:p>
    <w:p w:rsidR="00A04F51" w:rsidRDefault="00A04F51" w:rsidP="00A04F51">
      <w:pPr>
        <w:pStyle w:val="Bodytext20"/>
        <w:shd w:val="clear" w:color="auto" w:fill="auto"/>
        <w:spacing w:after="120" w:line="240" w:lineRule="auto"/>
        <w:ind w:firstLine="567"/>
        <w:rPr>
          <w:rStyle w:val="Bodytext21"/>
          <w:rFonts w:ascii="Sylfaen" w:hAnsi="Sylfaen"/>
          <w:sz w:val="24"/>
          <w:szCs w:val="24"/>
          <w:lang w:val="en-US"/>
        </w:rPr>
      </w:pPr>
    </w:p>
    <w:p w:rsidR="00A04F51" w:rsidRDefault="00A04F51">
      <w:pPr>
        <w:rPr>
          <w:rStyle w:val="Bodytext21"/>
          <w:rFonts w:ascii="Sylfaen" w:eastAsia="Sylfaen" w:hAnsi="Sylfaen"/>
          <w:sz w:val="24"/>
          <w:szCs w:val="24"/>
          <w:lang w:val="en-US"/>
        </w:rPr>
      </w:pPr>
      <w:r>
        <w:rPr>
          <w:rStyle w:val="Bodytext21"/>
          <w:rFonts w:ascii="Sylfaen" w:eastAsia="Sylfaen" w:hAnsi="Sylfaen"/>
          <w:sz w:val="24"/>
          <w:szCs w:val="24"/>
          <w:lang w:val="en-US"/>
        </w:rPr>
        <w:br w:type="page"/>
      </w:r>
    </w:p>
    <w:p w:rsidR="00E514A6" w:rsidRPr="00A04F51" w:rsidRDefault="002D1F60" w:rsidP="00E32912">
      <w:pPr>
        <w:pStyle w:val="Bodytext20"/>
        <w:shd w:val="clear" w:color="auto" w:fill="auto"/>
        <w:spacing w:after="120" w:line="192" w:lineRule="auto"/>
        <w:ind w:left="5387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lastRenderedPageBreak/>
        <w:t>УТВЕРЖДЕНА</w:t>
      </w:r>
    </w:p>
    <w:p w:rsidR="00A04F51" w:rsidRPr="00A04F51" w:rsidRDefault="002D1F60" w:rsidP="00A04F51">
      <w:pPr>
        <w:pStyle w:val="Bodytext20"/>
        <w:shd w:val="clear" w:color="auto" w:fill="auto"/>
        <w:spacing w:line="240" w:lineRule="auto"/>
        <w:ind w:left="5387"/>
        <w:jc w:val="center"/>
        <w:rPr>
          <w:rStyle w:val="Bodytext21"/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E514A6" w:rsidRPr="00A04F51" w:rsidRDefault="002D1F60" w:rsidP="00A04F51">
      <w:pPr>
        <w:pStyle w:val="Bodytext20"/>
        <w:shd w:val="clear" w:color="auto" w:fill="auto"/>
        <w:spacing w:after="120" w:line="240" w:lineRule="auto"/>
        <w:ind w:left="5387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от 19 апреля 2016 г. № 34</w:t>
      </w:r>
    </w:p>
    <w:p w:rsidR="00A04F51" w:rsidRDefault="00A04F51" w:rsidP="00E32912">
      <w:pPr>
        <w:pStyle w:val="Heading20"/>
        <w:shd w:val="clear" w:color="auto" w:fill="auto"/>
        <w:spacing w:before="0" w:after="120" w:line="192" w:lineRule="auto"/>
        <w:ind w:left="23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514A6" w:rsidRPr="00A04F51" w:rsidRDefault="002D1F60" w:rsidP="00E32912">
      <w:pPr>
        <w:pStyle w:val="Heading20"/>
        <w:shd w:val="clear" w:color="auto" w:fill="auto"/>
        <w:spacing w:before="0" w:after="120" w:line="192" w:lineRule="auto"/>
        <w:ind w:left="23"/>
        <w:rPr>
          <w:rFonts w:ascii="Sylfaen" w:hAnsi="Sylfaen"/>
          <w:sz w:val="24"/>
          <w:szCs w:val="24"/>
        </w:rPr>
      </w:pPr>
      <w:r w:rsidRPr="00A04F5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E514A6" w:rsidRPr="00E32912" w:rsidRDefault="002D1F60" w:rsidP="00A04F51">
      <w:pPr>
        <w:pStyle w:val="Bodytext30"/>
        <w:shd w:val="clear" w:color="auto" w:fill="auto"/>
        <w:spacing w:line="240" w:lineRule="auto"/>
        <w:ind w:left="23"/>
        <w:rPr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t>справки об исполнении лицензии</w:t>
      </w:r>
      <w:r w:rsidR="00A04F51" w:rsidRPr="00A04F51">
        <w:rPr>
          <w:rFonts w:ascii="Sylfaen" w:hAnsi="Sylfaen"/>
          <w:sz w:val="24"/>
          <w:szCs w:val="24"/>
        </w:rPr>
        <w:t xml:space="preserve"> </w:t>
      </w:r>
      <w:r w:rsidRPr="00A04F51">
        <w:rPr>
          <w:rFonts w:ascii="Sylfaen" w:hAnsi="Sylfaen"/>
          <w:sz w:val="24"/>
          <w:szCs w:val="24"/>
        </w:rPr>
        <w:t>на экспорт и (или) импорт товара</w:t>
      </w:r>
    </w:p>
    <w:tbl>
      <w:tblPr>
        <w:tblOverlap w:val="never"/>
        <w:tblW w:w="9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567"/>
        <w:gridCol w:w="3747"/>
      </w:tblGrid>
      <w:tr w:rsidR="00E514A6" w:rsidRPr="00A04F51" w:rsidTr="00A04F51">
        <w:trPr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8pt"/>
                <w:rFonts w:ascii="Sylfaen" w:hAnsi="Sylfaen"/>
                <w:sz w:val="20"/>
                <w:szCs w:val="24"/>
              </w:rPr>
              <w:t>(наименование подразделения таможенного органа государства - члена Евразийского экономического союза, в функции которого входит обеспечение соблюдения запретов и ограничений, с указанием адреса, номера контактного телефона)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8pt"/>
                <w:rFonts w:ascii="Sylfaen" w:hAnsi="Sylfaen"/>
                <w:sz w:val="20"/>
                <w:szCs w:val="24"/>
              </w:rPr>
              <w:t>(наименование владельца лицензии</w:t>
            </w:r>
            <w:r w:rsidRPr="00A04F51">
              <w:rPr>
                <w:rStyle w:val="Bodytext28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E514A6" w:rsidRPr="00A04F51" w:rsidTr="00A04F51">
        <w:trPr>
          <w:jc w:val="center"/>
        </w:trPr>
        <w:tc>
          <w:tcPr>
            <w:tcW w:w="4891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A04F51">
        <w:trPr>
          <w:jc w:val="center"/>
        </w:trPr>
        <w:tc>
          <w:tcPr>
            <w:tcW w:w="4891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A04F51">
        <w:trPr>
          <w:trHeight w:val="436"/>
          <w:jc w:val="center"/>
        </w:trPr>
        <w:tc>
          <w:tcPr>
            <w:tcW w:w="4891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A04F51">
        <w:trPr>
          <w:trHeight w:val="436"/>
          <w:jc w:val="center"/>
        </w:trPr>
        <w:tc>
          <w:tcPr>
            <w:tcW w:w="48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trHeight w:val="436"/>
          <w:jc w:val="center"/>
        </w:trPr>
        <w:tc>
          <w:tcPr>
            <w:tcW w:w="4891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A04F51">
        <w:trPr>
          <w:trHeight w:val="70"/>
          <w:jc w:val="center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567" w:type="dxa"/>
            <w:vMerge/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374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</w:tbl>
    <w:p w:rsidR="00E514A6" w:rsidRPr="00A04F51" w:rsidRDefault="00E514A6" w:rsidP="00E32912">
      <w:pPr>
        <w:spacing w:after="120" w:line="216" w:lineRule="auto"/>
      </w:pPr>
    </w:p>
    <w:p w:rsidR="00E514A6" w:rsidRDefault="002D1F60" w:rsidP="00A04F51">
      <w:pPr>
        <w:pStyle w:val="Bodytext20"/>
        <w:shd w:val="clear" w:color="auto" w:fill="auto"/>
        <w:spacing w:after="120" w:line="240" w:lineRule="auto"/>
        <w:ind w:left="2560" w:right="2500"/>
        <w:jc w:val="left"/>
        <w:rPr>
          <w:rStyle w:val="Bodytext21"/>
          <w:rFonts w:ascii="Sylfaen" w:hAnsi="Sylfaen"/>
          <w:sz w:val="24"/>
          <w:szCs w:val="24"/>
          <w:lang w:val="en-US"/>
        </w:rPr>
      </w:pPr>
      <w:r w:rsidRPr="00A04F51">
        <w:rPr>
          <w:rStyle w:val="Bodytext21"/>
          <w:rFonts w:ascii="Sylfaen" w:hAnsi="Sylfaen"/>
          <w:sz w:val="24"/>
          <w:szCs w:val="24"/>
        </w:rPr>
        <w:t>Справка об исполнении лицензии на экспорт и (или) импорт товара</w:t>
      </w:r>
    </w:p>
    <w:tbl>
      <w:tblPr>
        <w:tblOverlap w:val="never"/>
        <w:tblW w:w="95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580"/>
        <w:gridCol w:w="310"/>
        <w:gridCol w:w="248"/>
        <w:gridCol w:w="425"/>
        <w:gridCol w:w="432"/>
        <w:gridCol w:w="1256"/>
        <w:gridCol w:w="176"/>
        <w:gridCol w:w="248"/>
        <w:gridCol w:w="864"/>
        <w:gridCol w:w="580"/>
        <w:gridCol w:w="407"/>
        <w:gridCol w:w="295"/>
        <w:gridCol w:w="1548"/>
        <w:gridCol w:w="475"/>
      </w:tblGrid>
      <w:tr w:rsidR="00E514A6" w:rsidRPr="00A04F51" w:rsidTr="00E32912">
        <w:trPr>
          <w:jc w:val="center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1. Лицензия №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2. Дата выдачи лицензии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jc w:val="center"/>
        </w:trPr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3. Регистрационный № лицензии при постановке на контроль в таможенных органах государства ֊ члена Евразийского экономического союза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4. Дата постановки лицензии на контроль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5. Фактическое исполнение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Количество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Единица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измерения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6. Остаток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Количество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7. Основания для снятия лицензии с контроля (нужное отметить)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7.1.</w:t>
            </w:r>
            <w:r w:rsidR="00E32912" w:rsidRPr="00E32912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Истечение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срока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действия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7.2. Исчерпание количества товара, предус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softHyphen/>
              <w:t>мотренного лицензией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7.3.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Заявление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владельца</w:t>
            </w:r>
            <w:r w:rsidR="00E32912"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лицензии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7.4.Уведомление о прекращении (приостановлении) действия лицензии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  <w:tr w:rsidR="00E514A6" w:rsidRPr="00A04F51" w:rsidTr="00E32912">
        <w:trPr>
          <w:jc w:val="center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14A6" w:rsidRPr="00A04F51" w:rsidRDefault="002D1F60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9pt"/>
                <w:rFonts w:ascii="Sylfaen" w:hAnsi="Sylfaen"/>
                <w:sz w:val="24"/>
                <w:szCs w:val="24"/>
              </w:rPr>
              <w:t>8. Примечание</w:t>
            </w:r>
          </w:p>
        </w:tc>
        <w:tc>
          <w:tcPr>
            <w:tcW w:w="72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4A6" w:rsidRPr="00A04F51" w:rsidRDefault="00E514A6" w:rsidP="00A04F51">
            <w:pPr>
              <w:spacing w:after="120"/>
            </w:pPr>
          </w:p>
        </w:tc>
      </w:tr>
    </w:tbl>
    <w:p w:rsidR="00E514A6" w:rsidRDefault="002D1F60" w:rsidP="00A04F51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lastRenderedPageBreak/>
        <w:t>Должностное лицо подразделения</w:t>
      </w:r>
    </w:p>
    <w:p w:rsidR="00E32912" w:rsidRPr="00E32912" w:rsidRDefault="00E32912" w:rsidP="00A04F51">
      <w:pPr>
        <w:pStyle w:val="Tablecaption3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6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8"/>
        <w:gridCol w:w="284"/>
        <w:gridCol w:w="2693"/>
        <w:gridCol w:w="284"/>
        <w:gridCol w:w="1134"/>
        <w:gridCol w:w="283"/>
        <w:gridCol w:w="1270"/>
      </w:tblGrid>
      <w:tr w:rsidR="00E32912" w:rsidRPr="00A04F51" w:rsidTr="00E32912">
        <w:trPr>
          <w:jc w:val="center"/>
        </w:trPr>
        <w:tc>
          <w:tcPr>
            <w:tcW w:w="3688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284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2693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284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1134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283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1270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</w:tr>
      <w:tr w:rsidR="00E32912" w:rsidRPr="00A04F51" w:rsidTr="00E32912">
        <w:trPr>
          <w:jc w:val="center"/>
        </w:trPr>
        <w:tc>
          <w:tcPr>
            <w:tcW w:w="36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2912" w:rsidRPr="00A04F51" w:rsidRDefault="00E32912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E32912">
              <w:rPr>
                <w:rStyle w:val="Bodytext28pt"/>
                <w:rFonts w:ascii="Sylfaen" w:hAnsi="Sylfaen"/>
                <w:sz w:val="20"/>
                <w:szCs w:val="24"/>
              </w:rPr>
              <w:t>(наименование подразделения т</w:t>
            </w:r>
            <w:r>
              <w:rPr>
                <w:rStyle w:val="Bodytext28pt"/>
                <w:rFonts w:ascii="Sylfaen" w:hAnsi="Sylfaen"/>
                <w:sz w:val="20"/>
                <w:szCs w:val="24"/>
              </w:rPr>
              <w:t>аможенного органа государства-</w:t>
            </w:r>
            <w:r w:rsidRPr="00E32912">
              <w:rPr>
                <w:rStyle w:val="Bodytext28pt"/>
                <w:rFonts w:ascii="Sylfaen" w:hAnsi="Sylfaen"/>
                <w:sz w:val="20"/>
                <w:szCs w:val="24"/>
              </w:rPr>
              <w:t>члена Евразийского экономического союза, в функции которого входит обеспечение соблюдения запретов и ограничений</w:t>
            </w:r>
            <w:r w:rsidRPr="00A04F51">
              <w:rPr>
                <w:rStyle w:val="Bodytext28pt"/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84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E32912" w:rsidRPr="00E32912" w:rsidRDefault="00E32912" w:rsidP="00A04F51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E32912">
              <w:rPr>
                <w:rStyle w:val="Bodytext28pt"/>
                <w:rFonts w:ascii="Sylfaen" w:hAnsi="Sylfaen"/>
                <w:sz w:val="20"/>
                <w:szCs w:val="24"/>
              </w:rPr>
              <w:t>(подпись, личная номерная печать)</w:t>
            </w:r>
          </w:p>
        </w:tc>
        <w:tc>
          <w:tcPr>
            <w:tcW w:w="284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E32912" w:rsidRPr="00A04F51" w:rsidRDefault="00E32912" w:rsidP="00A04F5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32912">
              <w:rPr>
                <w:rStyle w:val="Bodytext28pt"/>
                <w:rFonts w:ascii="Sylfaen" w:hAnsi="Sylfaen"/>
                <w:sz w:val="20"/>
                <w:szCs w:val="24"/>
              </w:rPr>
              <w:t>(дата)</w:t>
            </w:r>
          </w:p>
        </w:tc>
        <w:tc>
          <w:tcPr>
            <w:tcW w:w="283" w:type="dxa"/>
            <w:shd w:val="clear" w:color="auto" w:fill="FFFFFF"/>
          </w:tcPr>
          <w:p w:rsidR="00E32912" w:rsidRPr="00A04F51" w:rsidRDefault="00E32912" w:rsidP="00A04F51">
            <w:pPr>
              <w:spacing w:after="120"/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/>
          </w:tcPr>
          <w:p w:rsidR="00E32912" w:rsidRPr="00A04F51" w:rsidRDefault="00E32912" w:rsidP="00A04F51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32912">
              <w:rPr>
                <w:rStyle w:val="Bodytext28pt"/>
                <w:rFonts w:ascii="Sylfaen" w:hAnsi="Sylfaen"/>
                <w:sz w:val="20"/>
                <w:szCs w:val="24"/>
              </w:rPr>
              <w:t>(Ф. И. О.)</w:t>
            </w:r>
          </w:p>
        </w:tc>
      </w:tr>
    </w:tbl>
    <w:p w:rsidR="00E514A6" w:rsidRPr="00E32912" w:rsidRDefault="00E514A6" w:rsidP="00A04F51">
      <w:pPr>
        <w:spacing w:after="120"/>
        <w:rPr>
          <w:lang w:val="en-US"/>
        </w:rPr>
      </w:pPr>
    </w:p>
    <w:tbl>
      <w:tblPr>
        <w:tblOverlap w:val="never"/>
        <w:tblW w:w="0" w:type="auto"/>
        <w:jc w:val="right"/>
        <w:tblInd w:w="-5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98"/>
      </w:tblGrid>
      <w:tr w:rsidR="00E514A6" w:rsidRPr="00A04F51" w:rsidTr="005631EA">
        <w:trPr>
          <w:jc w:val="right"/>
        </w:trPr>
        <w:tc>
          <w:tcPr>
            <w:tcW w:w="1560" w:type="dxa"/>
            <w:shd w:val="clear" w:color="auto" w:fill="FFFFFF"/>
          </w:tcPr>
          <w:p w:rsidR="00E514A6" w:rsidRPr="00A04F51" w:rsidRDefault="002D1F60" w:rsidP="00E32912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Примечание.</w:t>
            </w:r>
          </w:p>
        </w:tc>
        <w:tc>
          <w:tcPr>
            <w:tcW w:w="7798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firstLine="273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В пункте 5 указывается количество товара, фактически вывезенного (ввезенного) по лицензии (в единицах измерения, указанных в лицензии).</w:t>
            </w:r>
          </w:p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firstLine="273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Остаток, указанный в пункте 6, определяется как разность между количеством товара, указанным в лицензии, и количеством фактически вывезенного (ввезенного) товара.</w:t>
            </w:r>
          </w:p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firstLine="273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Справка об исполнении лицензии направляется владельцу лицензии таможенным органом государства - члена Евразийского экономического союза, поставившим лицензию на контроль, на основании письменного обращения владельца лицензии в срок, не превышающий 5 рабочих дней со дня получения обращения.</w:t>
            </w:r>
          </w:p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firstLine="273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Если информация об исполнении лицензии представляется таможенными органами государств ֊ членов Евразийского экономического союза в электронной форме непосредственно в уполномоченный орган исполнительной власти государства - члена Евразийского экономического союза, его подведомственные или территориальные органы, наделенные правом выдачи лицензий на экспорт и (или) импорт товаров, то справка об исполнении лицензии владельцем лицензии в указанный уполномоченный орган не представляется.</w:t>
            </w:r>
            <w:r w:rsidR="00A04F51" w:rsidRPr="00A04F51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</w:tbl>
    <w:p w:rsidR="00E514A6" w:rsidRPr="00A04F51" w:rsidRDefault="00E514A6" w:rsidP="00A04F51">
      <w:pPr>
        <w:spacing w:after="120"/>
      </w:pPr>
    </w:p>
    <w:p w:rsidR="00E32912" w:rsidRDefault="00E32912">
      <w:r>
        <w:br w:type="page"/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lastRenderedPageBreak/>
        <w:t>ПРИЛОЖЕНИЕ</w:t>
      </w:r>
    </w:p>
    <w:p w:rsidR="00E514A6" w:rsidRPr="00A04F51" w:rsidRDefault="002D1F60" w:rsidP="00E32912">
      <w:pPr>
        <w:pStyle w:val="Bodytext20"/>
        <w:shd w:val="clear" w:color="auto" w:fill="auto"/>
        <w:spacing w:line="240" w:lineRule="auto"/>
        <w:ind w:left="5245" w:right="-6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к Решению Коллегии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Евразийской экономической комиссии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от 19 апреля 2016 г. № 34</w:t>
      </w:r>
    </w:p>
    <w:p w:rsidR="00E32912" w:rsidRDefault="00E32912" w:rsidP="00E32912">
      <w:pPr>
        <w:pStyle w:val="Heading20"/>
        <w:shd w:val="clear" w:color="auto" w:fill="auto"/>
        <w:spacing w:before="0" w:after="120" w:line="240" w:lineRule="auto"/>
        <w:ind w:right="40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514A6" w:rsidRPr="00A04F51" w:rsidRDefault="002D1F60" w:rsidP="00E32912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A04F5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E514A6" w:rsidRDefault="002D1F60" w:rsidP="00E3291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t>вносимые в Инструкцию об оформлении заявления на выдачу</w:t>
      </w:r>
      <w:r w:rsidR="00A04F51" w:rsidRPr="00A04F51">
        <w:rPr>
          <w:rFonts w:ascii="Sylfaen" w:hAnsi="Sylfaen"/>
          <w:sz w:val="24"/>
          <w:szCs w:val="24"/>
        </w:rPr>
        <w:t xml:space="preserve"> </w:t>
      </w:r>
      <w:r w:rsidRPr="00A04F51">
        <w:rPr>
          <w:rFonts w:ascii="Sylfaen" w:hAnsi="Sylfaen"/>
          <w:sz w:val="24"/>
          <w:szCs w:val="24"/>
        </w:rPr>
        <w:t>лицензии на экспорт и (или) импорт отдельных видов товаров</w:t>
      </w:r>
      <w:r w:rsidR="00A04F51" w:rsidRPr="00A04F51">
        <w:rPr>
          <w:rFonts w:ascii="Sylfaen" w:hAnsi="Sylfaen"/>
          <w:sz w:val="24"/>
          <w:szCs w:val="24"/>
        </w:rPr>
        <w:t xml:space="preserve"> </w:t>
      </w:r>
      <w:r w:rsidRPr="00A04F51">
        <w:rPr>
          <w:rFonts w:ascii="Sylfaen" w:hAnsi="Sylfaen"/>
          <w:sz w:val="24"/>
          <w:szCs w:val="24"/>
        </w:rPr>
        <w:t>и об оформлении такой лицензии</w:t>
      </w:r>
    </w:p>
    <w:p w:rsidR="00E32912" w:rsidRPr="00E32912" w:rsidRDefault="00E32912" w:rsidP="00A04F51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  <w:lang w:val="en-US"/>
        </w:rPr>
      </w:pP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1.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В абзаце первом пункта 5 слово «приложению» заменить словами «приложению № 1».</w:t>
      </w: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2.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В пункте 6: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а)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в абзаце третьем подпункта 6 слова «(на языке контракта (договора))» заменить словами «(в соответствии с контрактом (договором))»;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б)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абзац второй подпункта 14 изложить в следующей редакции: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«в графе может указываться построчно до двух единиц измерения. В первой строке указывается 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Евразийского экономического союза (далее - ТН ВЭД ЕАЭС). Вторая строка заполняется по мере необходимости, при этом в графе 13 количество товара также указывается построчно;»;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в)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абзац четвертый подпункта 15 изложить в следующей редакции: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«Если заявление о выдаче лицензии оформляется на несколько</w:t>
      </w:r>
      <w:r w:rsidRPr="00A04F51">
        <w:rPr>
          <w:rStyle w:val="Bodytext21"/>
          <w:rFonts w:ascii="Sylfaen" w:hAnsi="Sylfaen"/>
          <w:sz w:val="24"/>
          <w:szCs w:val="24"/>
          <w:lang w:eastAsia="en-US" w:bidi="en-US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видов товаров, соответствующих одному 10-значному классификационному коду по ТН ВЭД ЕАЭС, к заявлению оформляется</w:t>
      </w:r>
      <w:r w:rsidRPr="00A04F51">
        <w:rPr>
          <w:rStyle w:val="Bodytext21"/>
          <w:rFonts w:ascii="Sylfaen" w:hAnsi="Sylfaen"/>
          <w:sz w:val="24"/>
          <w:szCs w:val="24"/>
          <w:lang w:eastAsia="en-US" w:bidi="en-US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приложение по форме 3, предусмотренной приложением № 1 к настоящей Инструкции. При этом в графе 15 заявления указывается описание товара, позволяющее произвести однозначное отнесение товара к одному 10-значному классификационному коду по ТН ВЭД ЕАЭС, и делается запись: «(см. приложение на</w:t>
      </w:r>
      <w:r w:rsidRPr="00A04F51">
        <w:rPr>
          <w:rStyle w:val="Bodytext21"/>
          <w:rFonts w:ascii="Sylfaen" w:hAnsi="Sylfaen"/>
          <w:sz w:val="24"/>
          <w:szCs w:val="24"/>
          <w:lang w:eastAsia="en-US" w:bidi="en-US"/>
        </w:rPr>
        <w:t xml:space="preserve"> _</w:t>
      </w:r>
      <w:r w:rsidRPr="00A04F51">
        <w:rPr>
          <w:rStyle w:val="Bodytext21"/>
          <w:rFonts w:ascii="Sylfaen" w:hAnsi="Sylfaen"/>
          <w:sz w:val="24"/>
          <w:szCs w:val="24"/>
        </w:rPr>
        <w:t>____</w:t>
      </w:r>
      <w:r w:rsidRPr="00A04F51">
        <w:rPr>
          <w:rStyle w:val="Bodytext21"/>
          <w:rFonts w:ascii="Sylfaen" w:hAnsi="Sylfaen"/>
          <w:sz w:val="24"/>
          <w:szCs w:val="24"/>
          <w:lang w:eastAsia="en-US" w:bidi="en-US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листах)»;».</w:t>
      </w: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3.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В абзаце первом пункта 7 слово «приложением» заменить словами «приложением № 1».</w:t>
      </w: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4.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Абзац третий подпункта 2 пункта 8 изложить в следующей редакции: «знаки 1 - 3 формируются согласно приложению № 2;».</w:t>
      </w: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5.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В нумерационном заголовке приложения к указанной Инструкции слово «Приложение» заменить словами «Приложение № 1».</w:t>
      </w:r>
    </w:p>
    <w:p w:rsidR="00E514A6" w:rsidRPr="00A04F51" w:rsidRDefault="00A04F51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Fonts w:ascii="Sylfaen" w:hAnsi="Sylfaen"/>
          <w:sz w:val="24"/>
          <w:szCs w:val="24"/>
        </w:rPr>
        <w:t xml:space="preserve">6. </w:t>
      </w:r>
      <w:r w:rsidR="002D1F60" w:rsidRPr="00A04F51">
        <w:rPr>
          <w:rStyle w:val="Bodytext21"/>
          <w:rFonts w:ascii="Sylfaen" w:hAnsi="Sylfaen"/>
          <w:sz w:val="24"/>
          <w:szCs w:val="24"/>
        </w:rPr>
        <w:t>Дополнить приложением № 2 следующего содержания: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lastRenderedPageBreak/>
        <w:t>«ПРИЛОЖЕНИЕ № 2</w:t>
      </w: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к Инструкции об оформлении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заявления на выдачу лицензии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на экспорт и (или) импорт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отдельных видов товаров и об</w:t>
      </w:r>
      <w:r w:rsidR="00A04F51" w:rsidRPr="00A04F51">
        <w:rPr>
          <w:rStyle w:val="Bodytext21"/>
          <w:rFonts w:ascii="Sylfaen" w:hAnsi="Sylfaen"/>
          <w:sz w:val="24"/>
          <w:szCs w:val="24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оформлении такой лицензии</w:t>
      </w:r>
    </w:p>
    <w:p w:rsidR="00E32912" w:rsidRDefault="00E32912" w:rsidP="00E32912">
      <w:pPr>
        <w:pStyle w:val="Heading20"/>
        <w:shd w:val="clear" w:color="auto" w:fill="auto"/>
        <w:spacing w:before="0" w:after="120" w:line="240" w:lineRule="auto"/>
        <w:ind w:right="79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514A6" w:rsidRPr="00A04F51" w:rsidRDefault="002D1F60" w:rsidP="00E32912">
      <w:pPr>
        <w:pStyle w:val="Heading20"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</w:rPr>
      </w:pPr>
      <w:r w:rsidRPr="00A04F51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E514A6" w:rsidRDefault="002D1F60" w:rsidP="00E3291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A04F51">
        <w:rPr>
          <w:rFonts w:ascii="Sylfaen" w:hAnsi="Sylfaen"/>
          <w:sz w:val="24"/>
          <w:szCs w:val="24"/>
        </w:rPr>
        <w:t>формирования первых трех знаков номера лицензии</w:t>
      </w:r>
      <w:r w:rsidR="00A04F51" w:rsidRPr="00A04F51">
        <w:rPr>
          <w:rFonts w:ascii="Sylfaen" w:hAnsi="Sylfaen"/>
          <w:sz w:val="24"/>
          <w:szCs w:val="24"/>
        </w:rPr>
        <w:t xml:space="preserve"> </w:t>
      </w:r>
      <w:r w:rsidRPr="00A04F51">
        <w:rPr>
          <w:rFonts w:ascii="Sylfaen" w:hAnsi="Sylfaen"/>
          <w:sz w:val="24"/>
          <w:szCs w:val="24"/>
        </w:rPr>
        <w:t>на экспорт и (или) импорт товаров</w:t>
      </w:r>
    </w:p>
    <w:p w:rsidR="00E32912" w:rsidRPr="00E32912" w:rsidRDefault="00E32912" w:rsidP="00E32912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E514A6" w:rsidRPr="00A04F51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Формирование первых трех знаков номера лицензии на экспорт и (или) импорт отдельных видов товаров (графа 1 «Лицензия») осуществляется следующим образом.</w:t>
      </w:r>
    </w:p>
    <w:p w:rsidR="00E514A6" w:rsidRDefault="002D1F60" w:rsidP="00E32912">
      <w:pPr>
        <w:pStyle w:val="Bodytext20"/>
        <w:shd w:val="clear" w:color="auto" w:fill="auto"/>
        <w:spacing w:after="120" w:line="240" w:lineRule="auto"/>
        <w:ind w:firstLine="567"/>
        <w:rPr>
          <w:rStyle w:val="Bodytext21"/>
          <w:rFonts w:ascii="Sylfaen" w:hAnsi="Sylfaen"/>
          <w:sz w:val="24"/>
          <w:szCs w:val="24"/>
          <w:lang w:val="en-US"/>
        </w:rPr>
      </w:pPr>
      <w:r w:rsidRPr="00A04F51">
        <w:rPr>
          <w:rStyle w:val="Bodytext21"/>
          <w:rFonts w:ascii="Sylfaen" w:hAnsi="Sylfaen"/>
          <w:sz w:val="24"/>
          <w:szCs w:val="24"/>
        </w:rPr>
        <w:t>Первый и второй знаки номера лицензии определяются в соответствии с номерами разделов единого перечня товаров, к которым</w:t>
      </w:r>
      <w:r w:rsidRPr="00A04F51">
        <w:rPr>
          <w:rStyle w:val="Bodytext21"/>
          <w:rFonts w:ascii="Sylfaen" w:hAnsi="Sylfaen"/>
          <w:sz w:val="24"/>
          <w:szCs w:val="24"/>
          <w:lang w:eastAsia="en-US" w:bidi="en-US"/>
        </w:rPr>
        <w:t xml:space="preserve"> </w:t>
      </w:r>
      <w:r w:rsidRPr="00A04F51">
        <w:rPr>
          <w:rStyle w:val="Bodytext21"/>
          <w:rFonts w:ascii="Sylfaen" w:hAnsi="Sylfaen"/>
          <w:sz w:val="24"/>
          <w:szCs w:val="24"/>
        </w:rPr>
        <w:t>применяются меры нетарифного регулирования в торговле с третьими странами, предусмотренного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 и публикуемого на официальном сайте Евразийского экономического союза в информационно-телекоммуникационной сети «Интернет», а в случае отсутствия товара в указанном едином перечне - в соответствии с номером раздела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134, согласно таблице:</w:t>
      </w:r>
    </w:p>
    <w:p w:rsidR="00E32912" w:rsidRPr="00E32912" w:rsidRDefault="00E32912" w:rsidP="00E32912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699"/>
        <w:gridCol w:w="2670"/>
        <w:gridCol w:w="4983"/>
      </w:tblGrid>
      <w:tr w:rsidR="00E514A6" w:rsidRPr="00A04F51" w:rsidTr="005631EA">
        <w:trPr>
          <w:tblHeader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Номер</w:t>
            </w:r>
            <w:r w:rsidR="00E32912">
              <w:rPr>
                <w:rStyle w:val="Bodytext21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раздела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Первый и второй знаки номера лицензии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Наименование раздела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49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Озоноразрушающие вещества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Средства защиты растений (пестициды)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2.3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Опасные отходы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2.4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Коллекции и предметы коллекционирования по минералогии и палеонтологии, кости ископаемых животных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2.6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Дикие живые животные, отдельные дикорастущие растения и дикорастущее лекарственное сырье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08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Редкие и находящиеся под угрозой исчезновения виды диких живых животных и дикорастущих растений, включенные в красные книги государств-членов Евразийского экономического союза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2.10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Драгоценные металлы, сырьевые товары, содержащие драгоценные металлы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2.11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Виды минерального сырья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2.12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Наркотические средства, психотропные вещества и их прекурсоры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2.13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Ядовитые вещества, не являющиеся прекурсорами наркотических средств и психотропных веществ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2.16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Радиоэлектронные средства и (или) высокочастотные устройства гражданского назначения, в том числе встроенные или входящие в состав других товаров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2.17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Специальные технические средства, предназначенные для негласного получения информации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2.19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19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Шифровальные (криптографические) средства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2.20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Культурные ценности, документы национальных архивных фондов, оригиналы архивных документов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2.21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21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Органы и ткани человека, кровь и ее компоненты, образцы биологических материалов человека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2.23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23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Информация о недрах по районам и месторождениям топливно-энергетического и минерального сырья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2.24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24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Товары, при экспорте и (или) импорте которых установлены количественные ограничения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2.25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25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 xml:space="preserve">Товары, при экспорте и (или) импорте которых установлен разрешительный </w:t>
            </w: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порядок</w:t>
            </w:r>
          </w:p>
        </w:tc>
      </w:tr>
      <w:tr w:rsidR="00E514A6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26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E514A6" w:rsidRPr="00A04F51" w:rsidRDefault="002D1F60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Товары, при экспорте и (или) импорте которых установлено исключительное право</w:t>
            </w:r>
          </w:p>
        </w:tc>
      </w:tr>
      <w:tr w:rsidR="005631EA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2.27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27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</w:p>
        </w:tc>
      </w:tr>
      <w:tr w:rsidR="005631EA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2.28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Товары, в отношении которых государствами - членами Таможенного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</w:tr>
      <w:tr w:rsidR="005631EA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2.29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29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Товары, в отношении которых государствами</w:t>
            </w:r>
            <w:r w:rsidRPr="00A04F51">
              <w:rPr>
                <w:rStyle w:val="Bodytext2115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членами Таможенного союза применяется лицензирование импорта на основании Решений об установлении импортной квоты</w:t>
            </w:r>
            <w:r w:rsidRPr="005631EA">
              <w:rPr>
                <w:rStyle w:val="Bodytext2115pt"/>
                <w:rFonts w:ascii="Sylfaen" w:hAnsi="Sylfaen"/>
                <w:sz w:val="24"/>
                <w:szCs w:val="24"/>
              </w:rPr>
              <w:t xml:space="preserve"> </w:t>
            </w: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в качестве специальной защитной меры</w:t>
            </w:r>
          </w:p>
        </w:tc>
      </w:tr>
      <w:tr w:rsidR="005631EA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1.1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31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Озоноразрушающие вещества и продукция, содержащая озоноразрушающие вещества, запрещенные к ввозу и вывозу</w:t>
            </w:r>
          </w:p>
        </w:tc>
      </w:tr>
      <w:tr w:rsidR="005631EA" w:rsidRPr="00A04F51" w:rsidTr="005631EA">
        <w:trPr>
          <w:jc w:val="center"/>
        </w:trPr>
        <w:tc>
          <w:tcPr>
            <w:tcW w:w="1699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1.2</w:t>
            </w:r>
          </w:p>
        </w:tc>
        <w:tc>
          <w:tcPr>
            <w:tcW w:w="2670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32</w:t>
            </w:r>
          </w:p>
        </w:tc>
        <w:tc>
          <w:tcPr>
            <w:tcW w:w="4983" w:type="dxa"/>
            <w:shd w:val="clear" w:color="auto" w:fill="FFFFFF"/>
            <w:vAlign w:val="center"/>
          </w:tcPr>
          <w:p w:rsidR="005631EA" w:rsidRPr="00A04F51" w:rsidRDefault="005631EA" w:rsidP="005631EA">
            <w:pPr>
              <w:pStyle w:val="Bodytext20"/>
              <w:shd w:val="clear" w:color="auto" w:fill="auto"/>
              <w:spacing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A04F51">
              <w:rPr>
                <w:rStyle w:val="Bodytext2115pt"/>
                <w:rFonts w:ascii="Sylfaen" w:hAnsi="Sylfaen"/>
                <w:sz w:val="24"/>
                <w:szCs w:val="24"/>
              </w:rPr>
              <w:t>Опасные отходы, запрещенные к ввозу</w:t>
            </w:r>
          </w:p>
        </w:tc>
      </w:tr>
    </w:tbl>
    <w:p w:rsidR="00E514A6" w:rsidRPr="005631EA" w:rsidRDefault="00E514A6" w:rsidP="00A04F51">
      <w:pPr>
        <w:spacing w:after="120"/>
        <w:rPr>
          <w:lang w:val="en-US"/>
        </w:rPr>
      </w:pPr>
    </w:p>
    <w:p w:rsidR="00E514A6" w:rsidRPr="00A04F51" w:rsidRDefault="002D1F60" w:rsidP="005631EA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A04F51">
        <w:rPr>
          <w:rStyle w:val="Bodytext21"/>
          <w:rFonts w:ascii="Sylfaen" w:hAnsi="Sylfaen"/>
          <w:sz w:val="24"/>
          <w:szCs w:val="24"/>
        </w:rPr>
        <w:t>Третий знак номера лицензии имеет нулевое значение или по усмотрению уполномоченного органа используется в значениях от «1» до «9» для целей дополнительной классификации товаров, включенных в соответствующий раздел указанного единого перечня.».</w:t>
      </w:r>
    </w:p>
    <w:sectPr w:rsidR="00E514A6" w:rsidRPr="00A04F51" w:rsidSect="00A04F5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E6" w:rsidRDefault="00E420E6" w:rsidP="00E514A6">
      <w:r>
        <w:separator/>
      </w:r>
    </w:p>
  </w:endnote>
  <w:endnote w:type="continuationSeparator" w:id="0">
    <w:p w:rsidR="00E420E6" w:rsidRDefault="00E420E6" w:rsidP="00E5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E6" w:rsidRDefault="00E420E6"/>
  </w:footnote>
  <w:footnote w:type="continuationSeparator" w:id="0">
    <w:p w:rsidR="00E420E6" w:rsidRDefault="00E420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89"/>
    <w:multiLevelType w:val="multilevel"/>
    <w:tmpl w:val="F4A03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F7EEB"/>
    <w:multiLevelType w:val="multilevel"/>
    <w:tmpl w:val="9BD4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D32C9"/>
    <w:multiLevelType w:val="multilevel"/>
    <w:tmpl w:val="E84AF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14A6"/>
    <w:rsid w:val="002D1F60"/>
    <w:rsid w:val="005631EA"/>
    <w:rsid w:val="00586173"/>
    <w:rsid w:val="00A04F51"/>
    <w:rsid w:val="00E32912"/>
    <w:rsid w:val="00E420E6"/>
    <w:rsid w:val="00E5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4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14A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2 pt"/>
    <w:basedOn w:val="Bodytext2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E51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115pt">
    <w:name w:val="Body text (2) + 11.5 pt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15pt0">
    <w:name w:val="Body text (2) + 11.5 pt"/>
    <w:basedOn w:val="Bodytext2"/>
    <w:rsid w:val="00E51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Bodytext30">
    <w:name w:val="Body text (3)"/>
    <w:basedOn w:val="Normal"/>
    <w:link w:val="Bodytext3"/>
    <w:rsid w:val="00E514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514A6"/>
    <w:pPr>
      <w:shd w:val="clear" w:color="auto" w:fill="FFFFFF"/>
      <w:spacing w:before="120" w:after="13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E514A6"/>
    <w:pPr>
      <w:shd w:val="clear" w:color="auto" w:fill="FFFFFF"/>
      <w:spacing w:line="69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E514A6"/>
    <w:pPr>
      <w:shd w:val="clear" w:color="auto" w:fill="FFFFFF"/>
      <w:spacing w:before="13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E514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2017-07-23T11:06:00Z</dcterms:created>
  <dcterms:modified xsi:type="dcterms:W3CDTF">2018-07-18T07:12:00Z</dcterms:modified>
</cp:coreProperties>
</file>