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6E" w:rsidRPr="007B1B96" w:rsidRDefault="007B228B" w:rsidP="0086536E">
      <w:pPr>
        <w:pStyle w:val="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ПРИНЯТ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Решением Совета</w:t>
      </w:r>
    </w:p>
    <w:p w:rsidR="0086536E" w:rsidRPr="007B1B96" w:rsidRDefault="007B228B" w:rsidP="0086536E">
      <w:pPr>
        <w:pStyle w:val="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B5D23" w:rsidRPr="007B1B96" w:rsidRDefault="007B228B" w:rsidP="0086536E">
      <w:pPr>
        <w:pStyle w:val="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от</w:t>
      </w:r>
      <w:r w:rsidR="0086536E">
        <w:rPr>
          <w:rFonts w:ascii="Sylfaen" w:hAnsi="Sylfaen"/>
          <w:sz w:val="24"/>
          <w:szCs w:val="24"/>
        </w:rPr>
        <w:t>…</w:t>
      </w:r>
      <w:r w:rsidR="0086536E" w:rsidRPr="0086536E">
        <w:rPr>
          <w:rFonts w:ascii="Sylfaen" w:hAnsi="Sylfaen"/>
          <w:sz w:val="24"/>
          <w:szCs w:val="24"/>
        </w:rPr>
        <w:t>…</w:t>
      </w:r>
      <w:r w:rsidR="0086536E">
        <w:rPr>
          <w:rFonts w:ascii="Sylfaen" w:hAnsi="Sylfaen"/>
          <w:sz w:val="24"/>
          <w:szCs w:val="24"/>
        </w:rPr>
        <w:t>…</w:t>
      </w:r>
      <w:r w:rsidR="0086536E" w:rsidRPr="007B1B96">
        <w:rPr>
          <w:rFonts w:ascii="Sylfaen" w:hAnsi="Sylfaen"/>
          <w:sz w:val="24"/>
          <w:szCs w:val="24"/>
        </w:rPr>
        <w:t>..</w:t>
      </w:r>
      <w:r w:rsidRPr="007B228B">
        <w:rPr>
          <w:rFonts w:ascii="Sylfaen" w:hAnsi="Sylfaen"/>
          <w:sz w:val="24"/>
          <w:szCs w:val="24"/>
        </w:rPr>
        <w:t>20 г. №</w:t>
      </w:r>
    </w:p>
    <w:p w:rsidR="0086536E" w:rsidRPr="007B1B96" w:rsidRDefault="0086536E" w:rsidP="0086536E">
      <w:pPr>
        <w:pStyle w:val="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86536E" w:rsidRPr="007B1B96" w:rsidRDefault="007B228B" w:rsidP="0086536E">
      <w:pPr>
        <w:pStyle w:val="50"/>
        <w:shd w:val="clear" w:color="auto" w:fill="auto"/>
        <w:spacing w:before="0" w:after="120" w:line="240" w:lineRule="auto"/>
        <w:ind w:left="1134" w:right="1126"/>
        <w:rPr>
          <w:rStyle w:val="515pt2pt"/>
          <w:rFonts w:ascii="Sylfaen" w:hAnsi="Sylfaen"/>
          <w:b/>
          <w:bCs/>
          <w:spacing w:val="0"/>
          <w:sz w:val="24"/>
          <w:szCs w:val="24"/>
        </w:rPr>
      </w:pPr>
      <w:r w:rsidRPr="007B228B">
        <w:rPr>
          <w:rStyle w:val="515pt2pt"/>
          <w:rFonts w:ascii="Sylfaen" w:hAnsi="Sylfaen"/>
          <w:b/>
          <w:bCs/>
          <w:spacing w:val="0"/>
          <w:sz w:val="24"/>
          <w:szCs w:val="24"/>
        </w:rPr>
        <w:t>ТЕХНИЧЕСКИЙ РЕГЛАМЕНТ</w:t>
      </w:r>
    </w:p>
    <w:p w:rsidR="0086536E" w:rsidRPr="007B1B96" w:rsidRDefault="007B228B" w:rsidP="0086536E">
      <w:pPr>
        <w:pStyle w:val="50"/>
        <w:shd w:val="clear" w:color="auto" w:fill="auto"/>
        <w:spacing w:before="0" w:after="120" w:line="240" w:lineRule="auto"/>
        <w:ind w:left="1134" w:right="1126"/>
        <w:rPr>
          <w:rStyle w:val="515pt"/>
          <w:rFonts w:ascii="Sylfaen" w:hAnsi="Sylfaen"/>
          <w:b/>
          <w:bCs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CB5D23" w:rsidRPr="007B1B96" w:rsidRDefault="007B228B" w:rsidP="0086536E">
      <w:pPr>
        <w:pStyle w:val="50"/>
        <w:shd w:val="clear" w:color="auto" w:fill="auto"/>
        <w:spacing w:before="0" w:after="120" w:line="240" w:lineRule="auto"/>
        <w:ind w:left="1134" w:right="1126"/>
        <w:rPr>
          <w:rStyle w:val="515pt"/>
          <w:rFonts w:ascii="Sylfaen" w:hAnsi="Sylfaen"/>
          <w:b/>
          <w:bCs/>
          <w:sz w:val="24"/>
          <w:szCs w:val="24"/>
        </w:rPr>
      </w:pPr>
      <w:r w:rsidRPr="007B228B">
        <w:rPr>
          <w:rStyle w:val="515pt"/>
          <w:rFonts w:ascii="Sylfaen" w:hAnsi="Sylfaen"/>
          <w:b/>
          <w:bCs/>
          <w:sz w:val="24"/>
          <w:szCs w:val="24"/>
        </w:rPr>
        <w:t>«О безопасности оборудования для детских игровых площадок» (ТР ЕАЭС /20 )</w:t>
      </w:r>
    </w:p>
    <w:p w:rsidR="0086536E" w:rsidRPr="007B1B96" w:rsidRDefault="0086536E" w:rsidP="0086536E">
      <w:pPr>
        <w:pStyle w:val="5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CB5D23" w:rsidRPr="007B228B" w:rsidRDefault="007B228B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I. Область применения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2. 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приложению № 1.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4. Настоящий технический регламент не распространяется на: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аттракционы, на которые распространяется действие технического регламента Евразийского экономического союза «О безопасности аттракционов» (ТР ЕАЭС 038/2016), принятого Решением Совета Евразийской экономической комиссии от 18 октября 2016 г. № 114;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игрушки.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</w:t>
      </w:r>
      <w:r w:rsidRPr="007B228B">
        <w:rPr>
          <w:rFonts w:ascii="Sylfaen" w:hAnsi="Sylfaen"/>
          <w:sz w:val="24"/>
          <w:szCs w:val="24"/>
        </w:rPr>
        <w:lastRenderedPageBreak/>
        <w:t>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II. Основные понятия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6. Для целей применения настоящего технического регламента используются понятия, предусмотренные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года), а также понятия, которые означают следующее: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«возрастная группа» - группа детей определенного возраста, имеющих схожие рост, вес, физическую силу и уровень интеллектуального развития;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«детская игровая площадка» - специально оборудованная территория, предназначенная для игры детей, включающая в себя соответствующие оборудование и покрытие;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«детский городок (игровой комплекс)» - многофункциональное оборудование для детской игровой площадки, состоящее из нескольких конструкций;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«жизненный цикл оборудования и (или) покрытия» - временной период от начала проектирования до завершения эксплуатации оборудования и (или) покрытия, включающий в себя в том числе производство, хранение, перевозку, монтаж, модернизацию, ремонт, техническое обслуживание и утилизацию;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«зона падения» - поверхность, на которую может попасть пользователь после падения с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«зона приземления» - зона детской игровой площадки, в которой осуществляются торможение и остановка ребенка;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«критическая высота падения» - максимальная высота падения с оборудования, при которой покрытие обеспечивает необходимый уровень демпфирования удара;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«назначенный срок службы»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«оборудование»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«паспорт» - эксплуатационный документ, определяющий правила эксплуатации оборудования и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«покрытие» - участок поверхности детской игровой площадки размером не менее зоны приземления, используемый совместно с оборудованием;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«пользователь» - ребенок, использующий по назначению оборудование и (или) покрытие, и лицо, осуществляющее присмотр за ним;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«продавец»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«ребенок» - пользователь детской игровой площадкой в возрасте до 14 лет;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«ремонт» - комплекс операций по восстановлению оборудования и (или) покрытия в целях обеспечения их исправности или работоспособности;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«тип оборудования и (или) покрытия»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«ударопоглощающее покрытие» - покрытие, обладающее амортизационными свойствами;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«эксплуатант»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настоящего технического регламента с момента ввода в эксплуатацию детской игровой площадки;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«эксплуатация оборудования и (или) покрытия» - стадия жизненного цикла с момента ввода в эксплуатацию оборудования и (или) покрытия до их утилизации.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III. Правила идентификации оборудования и (или) покрытия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8. Идентификация оборудования и (или) покрытия осуществляется по их наименованию и (или) документации визуальным методом.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9. 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</w:t>
      </w:r>
      <w:r w:rsidRPr="007B228B">
        <w:rPr>
          <w:rFonts w:ascii="Sylfaen" w:hAnsi="Sylfaen"/>
          <w:sz w:val="24"/>
          <w:szCs w:val="24"/>
        </w:rPr>
        <w:lastRenderedPageBreak/>
        <w:t>покрытие.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IV. Правила обращения оборудования и (или) покрытия на рынке Союза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10. 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разделу IX настоящего технического регламента и другим техническим регламентам Союза (Таможенного союза), действие которых на них распространяется.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11. Оборудование и (или) покрытие, соответствие которых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V. Требования безопасности к оборудованию и (или) покрытию при проектировании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12. При проектировании оборудования и (или) покрытия необходимо обеспечить: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установление критериев предельных состояний;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установление назначенных сроков службы, сроков технического обслуживания и ремонта;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ж) установление ограничений по эксплуатации оборудования и (или) покрытия.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13. Риск при эксплуатации оборудования и (или) покрытия необходимо рассчитывать с учетом целевой возрастной группы.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14. Разработка паспорта является неотъемлемой частью проектирования оборудования.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VI. Требования безопасности к оборудованию и (или) покрытию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17. Паспорт оборудования после ввода его в эксплуатацию хранится у эксплуатанта.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18. Материалы, применяемые при производстве оборудования и (или) покрытия, не должны: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оказывать вредное воздействие на здоровье людей и окружающую среду в процессе эксплуатации;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относиться к легковоспламеняющимся материалам;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относиться к чрезвычайно опасным по токсичности продуктам горения;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относиться к материалам, свойства которых недостаточно изучены.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приложении № 2 к настоящему техническому регламенту.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21. Оборудование и его элементы должны быть сконструированы таким образом, чтобы: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соответствовать возрастной группе детей, для которых они предназначены;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был очевиден и легко распознаваем ребенком возможный риск при игре;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лица, присматривающие за детьми, имели возможность доступа внутрь оборудования для оказания помощи детям;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не допускалось скопление воды на поверхности оборудования и обеспечивались свободный сток и просыхание;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обеспечивались доступность и удобство очистки от пыли, грязи и мусора.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23. Конструкция оборудования: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должна обеспечивать прочность, устойчивость, жесткость и неизменяемость;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не должна иметь выступающих элементов с острыми концами или кромками;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не должна иметь шероховатых поверхностей, способных нанести травму пользователю;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должна иметь защиту выступающих концов болтовых соединений;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должна иметь гладкие сварные швы;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ж) должна иметь закругленные углы и края любой доступной для пользователей части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з) должна исключать возможность демонтажа без применения специализированных инструментов;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н) должна иметь оснащение перилами и ограждениями;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о) не должна допускать застревание тела, частей тела или одежды ребенка;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п) должна обладать необходимой несущей способностью к возникающим нагрузкам.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24. Закрытое оборудование (тоннели, игровые домики и т. 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 либо дополнительных средств.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25. По всей зоне приземления с оборудования должны быть установлены ударопоглощающие покрытия.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26. 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</w:t>
      </w:r>
      <w:r w:rsidRPr="007B228B">
        <w:rPr>
          <w:rFonts w:ascii="Sylfaen" w:hAnsi="Sylfaen"/>
          <w:sz w:val="24"/>
          <w:szCs w:val="24"/>
        </w:rPr>
        <w:lastRenderedPageBreak/>
        <w:t>метров от уровня захвата руками до зоны приземления.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Границы зоны приземления должны учитывать возможные перемещения ребенка и элементов конструкции.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27. Поверхности платформ, проходов, трапов и лестниц должны исключать скольжение при любых погодных условиях.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28. Ударопоглощающее покрытие не должно иметь опасных выступов.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29. 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30. Ударопоглощающее покрытие должно сохранять свои свойства вне зависимости от климатических условий.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31. Под оборудованием с высотой свободного падения более 60 см ударопоглощающее покрытие оборудуется по всей зоне приземления.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32. Критическая высота падения должна быть равной высоте свободного падения с оборудования или превышать такую высоту.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33. Оборудование и (или) покрытие должны иметь назначенный срок службы, который устанавливается согласно пункту 12 настоящего технического регламента.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34. Упаковка оборудования и (или) покрытия или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соответствующая товаросопроводительная документация должна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(государственных) языке (языках) государства-члена, на территории которого реализуются оборудование и (или) покрытие.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VII. Обеспечение безопасности оборудования и (или) покрытия при их монтаже, эксплуатации, перевозке, хранении и (или) утилизации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35. Информация о характеристиках и безопасной эксплуатации оборудования должна быть указана в паспорте.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36. Паспорт должен содержать следующую информацию: основные сведения об оборудовании (наименование и место</w:t>
      </w:r>
      <w:r w:rsidRPr="007B228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B228B">
        <w:rPr>
          <w:rFonts w:ascii="Sylfaen" w:hAnsi="Sylfaen"/>
          <w:sz w:val="24"/>
          <w:szCs w:val="24"/>
        </w:rPr>
        <w:t>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основные технические данные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комплектность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 приемке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об упаковке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гарантийные обязательства изготовителя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 хранении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 перевозке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 консервации и расконсервации оборудования при эксплуатации;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рекомендуемый тип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об учете неисправностей оборудования при эксплуатации;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об учете технического обслуживания оборудования; 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 инструкция по монтажу оборудования; правила безопасной эксплуатации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инструкция по осмотру и проверке оборудования перед началом эксплуатации;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инструкция по осмотру, обслуживанию и ремонту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об утилизации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месяц и год производства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сведения о возрастных группах (включая ограничения по весу и росту);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назначенный срок службы;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особые отметки (при необходимости);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фото или графический рисунок (при необходимости цветные)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чертеж общего вида оборудования с указанием основных размеров;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схема сборки оборудования;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схема (план) зоны падения.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 члена, на территории которого реализуется оборудование.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б) порядок монтажа оборудования и (или)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необходимые обозначения, облегчающие сборку (например, метки на сборочных частях оборудования и подробные инструкции);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 п.), а также мер предосторожности при монтаже оборудования и (или)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значения момента затяжки резьбовых соединений (при необходимости);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размеры участка для установки оборудования конкретного вида;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з) требования к фундаменту, описание конструкции и схема размещения фундамента, требования к анкерному креплению;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и) описание особенностей ландшафта для обеспечения безопасной эксплуатации оборудования и (или)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к) высота свободного падения (при выборе ударопоглощающего покрытия);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л) требование к окраске или специальной пропитке оборудования или его элементов (при необходимости);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м) требование к удалению элементов упаковки перед вводом оборудования в эксплуатацию.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38. Оборудование должно быть установлено таким образом, чтобы обеспечить безопасность пользователей.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40. 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42. 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43. Техническое обслуживание и ремонт оборудования осуществляются в </w:t>
      </w:r>
      <w:r w:rsidRPr="007B228B">
        <w:rPr>
          <w:rFonts w:ascii="Sylfaen" w:hAnsi="Sylfaen"/>
          <w:sz w:val="24"/>
          <w:szCs w:val="24"/>
        </w:rPr>
        <w:lastRenderedPageBreak/>
        <w:t>соответствии с паспортом.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45. 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46. На детской игровой площадке должна быть размещена информация в виде таблички (пиктограммы), содержащая: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правила пользования оборудованием и сведения о возрастных группах (включая ограничения по росту и весу);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номера телефонов службы спасения, скорой помощи;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номера телефонов эксплуатанта, по которым следует обращаться в случае неисправности или поломки оборудования.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 процессе эксплуатации оборудования должны соблюдаться ограничения по росту и весу, указанные в паспорте.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48. Утилизация оборудования осуществляется в соответствии с паспортом.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VIII. Обеспечение соответствия оборудования и (или) покрытия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требованиям безопасности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требования гигиенической безопасности, установленные приложением № 2 к настоящему техническому регламенту;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требования безопасности, установленные настоящим техническим регламентом (за исключением требований, указанных в подпункте «а» настоящего пункта), либо требования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50. Методы исследований (испытаний) и измерений оборудования и (или) покрытия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IX. Оценка соответствия оборудования и (или) покрытия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55. Оборудование и (или) покрытие по перечню согласно приложению № 3 подлежат подтверждению соответствия в форме сертификации по следующим схемам: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для оборудования и (или) покрытия, выпускаемых серийно, - схемы 1с и 2с;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для партии оборудования и (или) покрытия - схема Зс;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для единичного изделия - схема 4с.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56. Оборудование и (или) покрытие по перечню согласно приложению № 4 подлежат подтверждению соответствия в форме декларирования соответствия по следующим схемам: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для оборудования и (или) покрытия, выпускаемых серийно, - схемы 1д и Зд;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для партии (единичного изделия) оборудования и (или) покрытия - схемы 2д и 4д.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57. При сертификации оборудования и (или) покрытия заявителем может быть: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для схем 1с и 2с - изготовитель (уполномоченное изготовителем лицо);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для схем Зс и 4с - изготовитель (уполномоченное изготовителем лицо) или продавец.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58. Выбор схемы сертификации оборудования и (или) покрытия </w:t>
      </w:r>
      <w:r w:rsidRPr="007B228B">
        <w:rPr>
          <w:rFonts w:ascii="Sylfaen" w:hAnsi="Sylfaen"/>
          <w:sz w:val="24"/>
          <w:szCs w:val="24"/>
        </w:rPr>
        <w:lastRenderedPageBreak/>
        <w:t>осуществляется заявителем.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59. При сертификации оборудования и (или) покрытия заявитель: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предпринимает все необходимые меры, чтобы процесс производства был стабильным и обеспечивал соответствие производимых оборудования и (или) покрытия требованиям настоящего технического регламента (схемы 1с и 2с);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формирует техническую документацию, в том числе: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паспорт (для оборудования);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конструкторскую документацию (схемы 1с и 2с);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документ, по которому изготовлено оборудование и (или) покрытие (схемы 1с и 2с);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результаты прочностных расчетов оборудования и (или) покрытия;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документ о подтверждении характеристик материалов и комплектующих изделий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сертификат на систему менеджмента (копию сертификата) (схема 2с);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контракт (договор на поставку) и товаросопроводительную документацию для партии и единичного изделия оборудования и (или) покрытия (схемы Зс и 4с);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подает заявку на сертификацию оборудования и (или) покрытия с приложением технической документации, предусмотренной подпунктом «б»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 заявке указывается документ, на соответствие которому сертифицирована система менеджмента (схема 2с).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(схемы Зс и 4с);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наносит единый знак обращения продукции на рынке Союза после завершения процедуры подтверждения соответствия;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(схема 1с);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формирует после завершения процедуры подтверждения соответствия техническую документацию, предусмотренную подпунктом «б» настоящего пункта, протокол (протоколы) испытаний оборудования и (или) покрытия, акт анализа состояния производства изготовителя (схема 1с) и сертификат соответствия.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60. При сертификации оборудования и (или) покрытия орган по сертификации: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анализирует заявку и техническую документацию, представленные заявителем, и информирует заявителя о решении о проведении сертификации (с указанием условий проведения сертификации) или об отказе в ней (с указанием причин);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проводит идентификацию и отбор образцов оборудования и (или) покрытия у заявителя для проведения испытаний;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обеспечивает проведение испытаний образцов оборудования и (или) покрытия (схемы 1с, 2с и Зс) или единичного изделия оборудования и (или) покрытия (схема 4с) в испытательной лаборатории (центре);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проводит анализ состояния производства у изготовителя, результаты которого оформляются соответствующим актом (схема 1с);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д) при положительных результатах испытаний образцов оборудования и (или) покрытия, анализа состояния производства (схема 1с) и анализа представленной заявителем технической документации оформляет сертификат соответствия по единой форме, утвержденной Решением Коллегии Евразийской экономической комиссии от 25 декабря 2012 г. № 293, который выдается заявителю;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(схема 1с);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ж)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 xml:space="preserve">по сертификации систем менеджмента за сертифицированной системой </w:t>
      </w:r>
      <w:r w:rsidRPr="007B228B">
        <w:rPr>
          <w:rFonts w:ascii="Sylfaen" w:hAnsi="Sylfaen"/>
          <w:sz w:val="24"/>
          <w:szCs w:val="24"/>
        </w:rPr>
        <w:lastRenderedPageBreak/>
        <w:t>менеджмента (схема 2с);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з) по результатам инспекционного контроля: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подтверждает действие сертификата соответствия, о чем указывает в акте инспекционного контроля;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Доводит решение о результатах инспекционного контроля до заявителя;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63. Комплект документов, формируемый после сертификации оборудования и (или) покрытия, указанный в подпункте «е» пункта 59 настоящего технического регламента, должен храниться у заявителя и в органе по сертификации в течение следующих сроков: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64. При декларировании соответствия оборудования и (или) покрытия заявителем может быть: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для схем 1д и Зд - изготовитель (уполномоченное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изготовителем лицо);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для схем 2д и 4д - изготовитель (уполномоченное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изготовителем лицо) или продавец.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65. Выбор схемы декларирования соответствия оборудования и (или) покрытия осуществляется заявителем.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66. Декларирование соответствия оборудования и (или) покрытия по схемам 1д и 2д осуществляется заявителем на основании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 xml:space="preserve">собственных доказательств. </w:t>
      </w:r>
      <w:r w:rsidRPr="007B228B">
        <w:rPr>
          <w:rFonts w:ascii="Sylfaen" w:hAnsi="Sylfaen"/>
          <w:sz w:val="24"/>
          <w:szCs w:val="24"/>
        </w:rPr>
        <w:lastRenderedPageBreak/>
        <w:t>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Декларирование соответствия оборудования и (или) покрытия по схемам Зд и 4д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67. При декларировании соответствия оборудования и (или) покрытия заявитель: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 паспорт (для оборудования); конструкторскую документацию (схемы 1д и Зд); документ, по которому произведено оборудование и (или) покрытие (схемы 1д и Зд);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результаты прочностных расчетов;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документ о подтверждении характеристик материалов</w:t>
      </w:r>
      <w:r w:rsidR="0086536E" w:rsidRPr="0086536E">
        <w:rPr>
          <w:rFonts w:ascii="Sylfaen" w:hAnsi="Sylfaen"/>
          <w:sz w:val="24"/>
          <w:szCs w:val="24"/>
        </w:rPr>
        <w:t xml:space="preserve"> </w:t>
      </w:r>
      <w:r w:rsidRPr="007B228B">
        <w:rPr>
          <w:rFonts w:ascii="Sylfaen" w:hAnsi="Sylfaen"/>
          <w:sz w:val="24"/>
          <w:szCs w:val="24"/>
        </w:rPr>
        <w:t>и комплектующих изделий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контракт (договор на поставку) и товаросопроводительную документацию для партии продукции (единичного изделия) (схемы 2д и 4д);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б) проводит идентификацию оборудования и (или) покрытия в соответствии с разделом III настоящего технического регламента;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в) 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г) принимает декларацию о соответствии, которая оформляется по единой форме и правилам, утвержденным Решением Коллегии Евразийской экономической комиссии от 25 декабря 2012 г. № 293;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lastRenderedPageBreak/>
        <w:t>д) наносит единый знак обращения продукции на рынке Союза после завершения процедуры декларирования соответствия;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подпунктом «а» настоящего пункта, и декларацию о соответствии.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68. Декларация о соответствии подлежит регистрации в порядке, установленном Решением Коллегии Евразийской экономической комиссии от 9 апреля 2013 г. № 76.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69. Комплект документов, формируемый после декларирования соответствия оборудования и (или) покрытия, указанный в подпункте «е» пункта 67 настоящего технического регламента, должен храниться у заявителя в течение следующих сроков: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B5D23" w:rsidRPr="007B228B" w:rsidRDefault="007B228B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X. Маркировка оборудования и (или) покрытия единым знаком обращения продукции на рынке Союза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 xml:space="preserve"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</w:t>
      </w:r>
      <w:r w:rsidRPr="007B228B">
        <w:rPr>
          <w:rFonts w:ascii="Sylfaen" w:hAnsi="Sylfaen"/>
          <w:sz w:val="24"/>
          <w:szCs w:val="24"/>
        </w:rPr>
        <w:lastRenderedPageBreak/>
        <w:t>обращения продукции на рынке Союза.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CB5D23" w:rsidRPr="007B228B" w:rsidRDefault="007B228B" w:rsidP="0086536E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86536E" w:rsidRPr="007B1B96" w:rsidRDefault="0086536E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B5D23" w:rsidRPr="007B228B" w:rsidRDefault="007B228B" w:rsidP="007B228B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XI. Государственный контроль (надзор)</w:t>
      </w:r>
    </w:p>
    <w:p w:rsidR="00CB5D23" w:rsidRPr="007B228B" w:rsidRDefault="007B228B" w:rsidP="007B1B96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B228B">
        <w:rPr>
          <w:rFonts w:ascii="Sylfaen" w:hAnsi="Sylfaen"/>
          <w:sz w:val="24"/>
          <w:szCs w:val="24"/>
        </w:rP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  <w:bookmarkStart w:id="0" w:name="_GoBack"/>
      <w:bookmarkEnd w:id="0"/>
    </w:p>
    <w:p w:rsidR="00CB5D23" w:rsidRPr="007B228B" w:rsidRDefault="00CB5D23" w:rsidP="007B228B">
      <w:pPr>
        <w:spacing w:after="120"/>
        <w:ind w:right="-8"/>
      </w:pPr>
    </w:p>
    <w:sectPr w:rsidR="00CB5D23" w:rsidRPr="007B228B" w:rsidSect="007B228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CF" w:rsidRDefault="006029CF" w:rsidP="00CB5D23">
      <w:r>
        <w:separator/>
      </w:r>
    </w:p>
  </w:endnote>
  <w:endnote w:type="continuationSeparator" w:id="0">
    <w:p w:rsidR="006029CF" w:rsidRDefault="006029CF" w:rsidP="00CB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CF" w:rsidRDefault="006029CF">
      <w:r>
        <w:separator/>
      </w:r>
    </w:p>
  </w:footnote>
  <w:footnote w:type="continuationSeparator" w:id="0">
    <w:p w:rsidR="006029CF" w:rsidRDefault="0060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89B"/>
    <w:multiLevelType w:val="multilevel"/>
    <w:tmpl w:val="4F0A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D30F1"/>
    <w:multiLevelType w:val="multilevel"/>
    <w:tmpl w:val="7A06BE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A718E"/>
    <w:multiLevelType w:val="multilevel"/>
    <w:tmpl w:val="64BE2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2472C"/>
    <w:multiLevelType w:val="multilevel"/>
    <w:tmpl w:val="2B641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80CA2"/>
    <w:multiLevelType w:val="multilevel"/>
    <w:tmpl w:val="AD82F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00AF8"/>
    <w:multiLevelType w:val="multilevel"/>
    <w:tmpl w:val="DA160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3A689F"/>
    <w:multiLevelType w:val="multilevel"/>
    <w:tmpl w:val="DF6CB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23"/>
    <w:rsid w:val="004504B1"/>
    <w:rsid w:val="006029CF"/>
    <w:rsid w:val="006643AC"/>
    <w:rsid w:val="007B1B96"/>
    <w:rsid w:val="007B228B"/>
    <w:rsid w:val="007C5C3D"/>
    <w:rsid w:val="0086536E"/>
    <w:rsid w:val="00CB5D23"/>
    <w:rsid w:val="00D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6B4"/>
  <w15:docId w15:val="{869D68AE-2F27-4354-BD0E-39081A74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5D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5D23"/>
    <w:rPr>
      <w:color w:val="0066CC"/>
      <w:u w:val="single"/>
    </w:rPr>
  </w:style>
  <w:style w:type="character" w:customStyle="1" w:styleId="5">
    <w:name w:val="Основной текст (5)_"/>
    <w:basedOn w:val="DefaultParagraphFont"/>
    <w:link w:val="5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15pt">
    <w:name w:val="Основной текст (5) + 15 pt"/>
    <w:basedOn w:val="5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Заголовок №2 (3)_"/>
    <w:basedOn w:val="DefaultParagraphFont"/>
    <w:link w:val="23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4pt">
    <w:name w:val="Заголовок №2 (3) + Интервал 4 pt"/>
    <w:basedOn w:val="23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Полужирный;Интервал 4 pt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5pt2pt">
    <w:name w:val="Основной текст (5) + 15 pt;Интервал 2 pt"/>
    <w:basedOn w:val="5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2pt">
    <w:name w:val="Заголовок №2 (3) + Интервал 2 pt"/>
    <w:basedOn w:val="23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;Полужирный"/>
    <w:basedOn w:val="2"/>
    <w:rsid w:val="00CB5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"/>
    <w:rsid w:val="00CB5D2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4pt0pt">
    <w:name w:val="Основной текст (2) + Book Antiqua;4 pt;Курсив;Интервал 0 pt"/>
    <w:basedOn w:val="2"/>
    <w:rsid w:val="00CB5D2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CB5D2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">
    <w:name w:val="Основной текст (17)_"/>
    <w:basedOn w:val="DefaultParagraphFont"/>
    <w:link w:val="170"/>
    <w:rsid w:val="00CB5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Normal"/>
    <w:link w:val="5"/>
    <w:rsid w:val="00CB5D23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0">
    <w:name w:val="Заголовок №1 (2)"/>
    <w:basedOn w:val="Normal"/>
    <w:link w:val="12"/>
    <w:rsid w:val="00CB5D2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0">
    <w:name w:val="Заголовок №2 (3)"/>
    <w:basedOn w:val="Normal"/>
    <w:link w:val="23"/>
    <w:rsid w:val="00CB5D2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CB5D23"/>
    <w:pPr>
      <w:shd w:val="clear" w:color="auto" w:fill="FFFFFF"/>
      <w:spacing w:before="420" w:after="900" w:line="0" w:lineRule="atLeast"/>
      <w:ind w:hanging="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Normal"/>
    <w:link w:val="6"/>
    <w:rsid w:val="00CB5D23"/>
    <w:pPr>
      <w:shd w:val="clear" w:color="auto" w:fill="FFFFFF"/>
      <w:spacing w:before="300" w:after="6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Normal"/>
    <w:link w:val="17"/>
    <w:rsid w:val="00CB5D23"/>
    <w:pPr>
      <w:shd w:val="clear" w:color="auto" w:fill="FFFFFF"/>
      <w:spacing w:before="540" w:line="277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2019-01-30T06:29:00Z</dcterms:created>
  <dcterms:modified xsi:type="dcterms:W3CDTF">2020-05-06T09:08:00Z</dcterms:modified>
</cp:coreProperties>
</file>