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91E" w:rsidRPr="00D0591E" w:rsidRDefault="00D0591E" w:rsidP="00D0591E">
      <w:pPr>
        <w:widowControl/>
        <w:spacing w:after="120"/>
        <w:ind w:left="9072"/>
        <w:jc w:val="center"/>
        <w:rPr>
          <w:rFonts w:eastAsia="Times New Roman" w:cs="Times New Roman"/>
          <w:color w:val="auto"/>
          <w:lang w:eastAsia="en-US" w:bidi="ar-SA"/>
        </w:rPr>
      </w:pPr>
      <w:bookmarkStart w:id="0" w:name="_GoBack"/>
      <w:bookmarkEnd w:id="0"/>
      <w:r w:rsidRPr="00D0591E">
        <w:rPr>
          <w:rFonts w:eastAsia="Times New Roman" w:cs="Times New Roman"/>
          <w:lang w:bidi="ar-SA"/>
        </w:rPr>
        <w:t>УТВЕРЖДЕН</w:t>
      </w:r>
    </w:p>
    <w:p w:rsidR="00D0591E" w:rsidRPr="00D0591E" w:rsidRDefault="00D0591E" w:rsidP="00D0591E">
      <w:pPr>
        <w:widowControl/>
        <w:spacing w:after="120"/>
        <w:ind w:left="9072"/>
        <w:jc w:val="center"/>
        <w:rPr>
          <w:rFonts w:eastAsia="Times New Roman" w:cs="Times New Roman"/>
          <w:color w:val="auto"/>
          <w:lang w:eastAsia="en-US" w:bidi="ar-SA"/>
        </w:rPr>
      </w:pPr>
      <w:r w:rsidRPr="00D0591E">
        <w:rPr>
          <w:rFonts w:eastAsia="Times New Roman" w:cs="Times New Roman"/>
          <w:lang w:bidi="ar-SA"/>
        </w:rPr>
        <w:t>Решением Коллегии Евразийской экономической комиссии</w:t>
      </w:r>
    </w:p>
    <w:p w:rsidR="00D0591E" w:rsidRPr="00D0591E" w:rsidRDefault="00D0591E" w:rsidP="00D0591E">
      <w:pPr>
        <w:widowControl/>
        <w:spacing w:after="120"/>
        <w:ind w:left="9072"/>
        <w:jc w:val="center"/>
        <w:rPr>
          <w:rFonts w:eastAsia="Times New Roman" w:cs="Times New Roman"/>
          <w:color w:val="auto"/>
          <w:lang w:eastAsia="en-US" w:bidi="ar-SA"/>
        </w:rPr>
      </w:pPr>
      <w:r w:rsidRPr="00D0591E">
        <w:rPr>
          <w:rFonts w:eastAsia="Times New Roman" w:cs="Times New Roman"/>
          <w:lang w:bidi="ar-SA"/>
        </w:rPr>
        <w:t>от 7 февраля 2018 г. № 22</w:t>
      </w:r>
    </w:p>
    <w:p w:rsidR="00D0591E" w:rsidRPr="008A39C9" w:rsidRDefault="00D0591E" w:rsidP="00E413DF">
      <w:pPr>
        <w:pStyle w:val="Bodytext20"/>
        <w:shd w:val="clear" w:color="auto" w:fill="auto"/>
        <w:spacing w:line="240" w:lineRule="auto"/>
        <w:rPr>
          <w:rStyle w:val="Bodytext2Spacing2pt"/>
          <w:rFonts w:ascii="Sylfaen" w:hAnsi="Sylfaen"/>
          <w:b/>
          <w:bCs/>
          <w:spacing w:val="0"/>
          <w:sz w:val="24"/>
          <w:szCs w:val="24"/>
        </w:rPr>
      </w:pPr>
    </w:p>
    <w:p w:rsidR="0053098F" w:rsidRPr="00E413DF" w:rsidRDefault="00E413DF" w:rsidP="00E413DF">
      <w:pPr>
        <w:pStyle w:val="Bodytext2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E413DF">
        <w:rPr>
          <w:rStyle w:val="Bodytext2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D0591E" w:rsidRPr="00D0591E" w:rsidRDefault="00E413DF" w:rsidP="00E413DF">
      <w:pPr>
        <w:pStyle w:val="Bodytext2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E413DF">
        <w:rPr>
          <w:rFonts w:ascii="Sylfaen" w:hAnsi="Sylfaen"/>
          <w:sz w:val="24"/>
          <w:szCs w:val="24"/>
        </w:rPr>
        <w:t>международных и региональных (межгосударственных) стандартов, а в случае их отсутствия -</w:t>
      </w:r>
      <w:r>
        <w:rPr>
          <w:rFonts w:ascii="Sylfaen" w:hAnsi="Sylfaen"/>
          <w:sz w:val="24"/>
          <w:szCs w:val="24"/>
        </w:rPr>
        <w:t xml:space="preserve"> </w:t>
      </w:r>
      <w:r w:rsidRPr="00E413DF">
        <w:rPr>
          <w:rFonts w:ascii="Sylfaen" w:hAnsi="Sylfaen"/>
          <w:sz w:val="24"/>
          <w:szCs w:val="24"/>
        </w:rPr>
        <w:t>национальных (государственных) стандартов, в результате применения которых на добровольной основе</w:t>
      </w:r>
      <w:r>
        <w:rPr>
          <w:rFonts w:ascii="Sylfaen" w:hAnsi="Sylfaen"/>
          <w:sz w:val="24"/>
          <w:szCs w:val="24"/>
        </w:rPr>
        <w:t xml:space="preserve"> </w:t>
      </w:r>
      <w:r w:rsidRPr="00E413DF">
        <w:rPr>
          <w:rFonts w:ascii="Sylfaen" w:hAnsi="Sylfaen"/>
          <w:sz w:val="24"/>
          <w:szCs w:val="24"/>
        </w:rPr>
        <w:t>обеспечивается соблюдение требований технического регламента Евразийского экономического союза</w:t>
      </w:r>
      <w:r>
        <w:rPr>
          <w:rFonts w:ascii="Sylfaen" w:hAnsi="Sylfaen"/>
          <w:sz w:val="24"/>
          <w:szCs w:val="24"/>
        </w:rPr>
        <w:t xml:space="preserve"> </w:t>
      </w:r>
      <w:r w:rsidRPr="00E413DF">
        <w:rPr>
          <w:rFonts w:ascii="Sylfaen" w:hAnsi="Sylfaen"/>
          <w:sz w:val="24"/>
          <w:szCs w:val="24"/>
        </w:rPr>
        <w:t>«О безопасности оборудовани</w:t>
      </w:r>
      <w:r w:rsidR="00D0591E">
        <w:rPr>
          <w:rFonts w:ascii="Sylfaen" w:hAnsi="Sylfaen"/>
          <w:sz w:val="24"/>
          <w:szCs w:val="24"/>
        </w:rPr>
        <w:t>я для детских игровых площадок»</w:t>
      </w:r>
    </w:p>
    <w:p w:rsidR="0053098F" w:rsidRPr="00E413DF" w:rsidRDefault="00E413DF" w:rsidP="00E413DF">
      <w:pPr>
        <w:pStyle w:val="Bodytext2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E413DF">
        <w:rPr>
          <w:rFonts w:ascii="Sylfaen" w:hAnsi="Sylfaen"/>
          <w:sz w:val="24"/>
          <w:szCs w:val="24"/>
        </w:rPr>
        <w:t>(ТР ЕАЭС 042/2017)</w:t>
      </w:r>
    </w:p>
    <w:p w:rsidR="0053098F" w:rsidRPr="00E413DF" w:rsidRDefault="0053098F" w:rsidP="00E413DF">
      <w:pPr>
        <w:spacing w:after="120"/>
      </w:pPr>
    </w:p>
    <w:tbl>
      <w:tblPr>
        <w:tblOverlap w:val="never"/>
        <w:tblW w:w="150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2999"/>
        <w:gridCol w:w="8632"/>
        <w:gridCol w:w="2693"/>
      </w:tblGrid>
      <w:tr w:rsidR="0053098F" w:rsidRPr="00E413DF" w:rsidTr="00285521">
        <w:trPr>
          <w:tblHeader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8D394A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8D394A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Обозначение и наименование стандарта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8D394A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 6 раздела II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ГОСТ 33602-2015 «Оборудование и покрытия детских игровых площадок. Термины и определения»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подпункт «в» пункта 12 раздела V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 4.1 СТБ ЕН 1176-1-2006 «Оборудование детских игровых площадок. Часть 1. Общие требования безопасности и методы испытаний»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 4.2 ЕОСТ Р 52169-2012 «Оборудование и покрытия детских игровых площадок. Безопасность конструкции и методы испытаний. Общие требования»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подпункт «е» пункта 12 раздела V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 4 ГОСТ Р ИСО/МЭК 50-2002 «Безопасность детей и стандарты. Общие требования»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СТ РК 1.49-2005 «Безопасность детей и стандарты. Общие требования»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 18 раздела VI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 4.1 СТБ ЕН 1176-1-2006 «Оборудование детских игровых площадок. Часть 1. Общие требования безопасности и методы испытаний»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 4.2 ГОСТ Р 52169-2012 «Оборудование и покрытия детских игровых площадок. Безопасность конструкции и методы испытаний. Общие требования»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D0591E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пункты 20, 21,</w:t>
            </w:r>
            <w:r w:rsidR="00D0591E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23 - 27, 31 и 32 раздела VI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 4.2 СТБ ЕН 1176-1-2006 «Оборудование детских игровых площадок. Часть 1. Общие требования безопасности и методы испытаний»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пункты 4.2 - 4.12 СТБ ЕН 1176-2-2006 «Оборудование детских игровых площадок. Часть 2. Дополнительные требования безопасности и методы испытаний качелей»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пункты 4.2 - 4.9 СТБ ЕН 1176-3-2006 «Оборудование детских игровых площадок. Часть 3. Дополнительные требования безопасности и методы испытаний горок»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пункты 4.2 - 4.14 СТБ ЕН 1176-4-2006 «Оборудование детских игровых площадок. Часть 4. Дополнительные требования безопасности и методы испытаний канатных дорог»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5.2 - 5.9 и раздел 6 СТБ ЕН 1176-5-2006 «Оборудование детских игровых площадок. Часть 5. Дополнительные требования безопасности и методы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испытаний каруселей»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пункты 4.2 - 4.11 и раздел 5 СТБ ЕН 1176-6-2006 «Оборудование детских игровых площадок. Часть 6. Дополнительные требования безопасности и методы испытаний качалок»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пункты 5.2 - 5.13 ГОСТ Р 52167-2012 «Оборудование и покрытия детских игровых площадок. Безопасность конструкции и методы испытаний качелей. Общие требования»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пункты 5.2-5.10 ГОСТ Р 52168-2012 «Оборудование и покрытия детских игровых площадок. Безопасность конструкции и методы испытаний горок. Общие требования»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 4.3 ГОСТ Р 52169-2012 «Оборудование и покрытия детских игровых площадок. Безопасность конструкции и методы испытаний. Общие требования»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299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пункты 5.2 - 5.11 и раздел 6 ГОСТ Р 52299-2013 «Оборудование и покрытия детских игровых площадок. Безопасность конструкции и методы испытаний качалок. Общие требования»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пункты 5.2 - 5.11 и раздел 6 ГОСТ Р 52300-2013 «Оборудование и покрытия детских игровых площадок. Безопасность конструкции и методы испытаний каруселей. Общие требования»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5.2-5.12 ГОСТ Р 54847-2011 «Оборудование и покрытия детских игровых площадок. Безопасность конструкции и методы испытаний канатных дорог.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Общие требования»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пункты 4.3.1 -4.3.7 и 4.4.1 -4.4.3 ГОСТ Р 55871-2013 «Оборудование и покрытия детских игровых площадок. Безопасность конструкции и методы испытаний оборудования, устанавливаемого в помещениях. Общие требования»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 4 ГОСТ Р 55872-2013 «Оборудование и покрытия детских игровых площадок. Безопасность конструкции и методы испытаний пространственных игровых сетей. Общие требования»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</w:t>
            </w:r>
            <w:r w:rsidRPr="00E413DF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28-30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раздела VI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 4 СТБ ЕН 1177-2007 «Покрытия ударопоглощающие игровых площадок. Требования безопасности и методы испытаний»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 4 СТ РК ГОСТ Р ЕН 1177-2010 «Покрытия травмобезопасные. Требования к проектированию и строительству спортивных, игровых, школьных и дворовых площадок»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 VII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СТБ ЕН 1176-7-2006 «Оборудование детских игровых площадок. Часть 7. Руководство по установке, контролю, техническому обслуживанию и эксплуатации»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28552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28552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 4 ГОСТ Р 52301-2013 «Оборудование и покрытие детских игровых площадок. Безопасность при эксплуатации. Общие требования»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</w:tbl>
    <w:p w:rsidR="0053098F" w:rsidRPr="00E413DF" w:rsidRDefault="0053098F" w:rsidP="00E413DF">
      <w:pPr>
        <w:spacing w:after="120"/>
      </w:pPr>
    </w:p>
    <w:p w:rsidR="00285521" w:rsidRDefault="00285521">
      <w:r>
        <w:br w:type="page"/>
      </w:r>
    </w:p>
    <w:p w:rsidR="00D0591E" w:rsidRPr="00D0591E" w:rsidRDefault="00D0591E" w:rsidP="00D0591E">
      <w:pPr>
        <w:widowControl/>
        <w:spacing w:after="120"/>
        <w:ind w:left="9072"/>
        <w:jc w:val="center"/>
        <w:rPr>
          <w:rFonts w:eastAsia="Times New Roman" w:cs="Times New Roman"/>
          <w:color w:val="auto"/>
          <w:lang w:eastAsia="en-US" w:bidi="ar-SA"/>
        </w:rPr>
      </w:pPr>
      <w:r w:rsidRPr="00D0591E">
        <w:rPr>
          <w:rFonts w:eastAsia="Times New Roman" w:cs="Times New Roman"/>
          <w:lang w:bidi="ar-SA"/>
        </w:rPr>
        <w:lastRenderedPageBreak/>
        <w:t>УТВЕРЖДЕН</w:t>
      </w:r>
    </w:p>
    <w:p w:rsidR="00D0591E" w:rsidRPr="00D0591E" w:rsidRDefault="00D0591E" w:rsidP="00D0591E">
      <w:pPr>
        <w:widowControl/>
        <w:spacing w:after="120"/>
        <w:ind w:left="9072"/>
        <w:jc w:val="center"/>
        <w:rPr>
          <w:rFonts w:eastAsia="Times New Roman" w:cs="Times New Roman"/>
          <w:color w:val="auto"/>
          <w:lang w:eastAsia="en-US" w:bidi="ar-SA"/>
        </w:rPr>
      </w:pPr>
      <w:r w:rsidRPr="00D0591E">
        <w:rPr>
          <w:rFonts w:eastAsia="Times New Roman" w:cs="Times New Roman"/>
          <w:lang w:bidi="ar-SA"/>
        </w:rPr>
        <w:t>Решением Коллегии Евразийской экономической комиссии</w:t>
      </w:r>
    </w:p>
    <w:p w:rsidR="00D0591E" w:rsidRPr="00D0591E" w:rsidRDefault="00D0591E" w:rsidP="00D0591E">
      <w:pPr>
        <w:widowControl/>
        <w:spacing w:after="120"/>
        <w:ind w:left="9072"/>
        <w:jc w:val="center"/>
        <w:rPr>
          <w:rFonts w:eastAsia="Times New Roman" w:cs="Times New Roman"/>
          <w:color w:val="auto"/>
          <w:lang w:eastAsia="en-US" w:bidi="ar-SA"/>
        </w:rPr>
      </w:pPr>
      <w:r w:rsidRPr="00D0591E">
        <w:rPr>
          <w:rFonts w:eastAsia="Times New Roman" w:cs="Times New Roman"/>
          <w:lang w:bidi="ar-SA"/>
        </w:rPr>
        <w:t>от 7 февраля 2018 г. № 22</w:t>
      </w:r>
    </w:p>
    <w:p w:rsidR="00D0591E" w:rsidRDefault="00D0591E" w:rsidP="00D0591E">
      <w:pPr>
        <w:pStyle w:val="Bodytext20"/>
        <w:shd w:val="clear" w:color="auto" w:fill="auto"/>
        <w:spacing w:line="240" w:lineRule="auto"/>
        <w:rPr>
          <w:rStyle w:val="Bodytext2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53098F" w:rsidRPr="00E413DF" w:rsidRDefault="00E413DF" w:rsidP="00D0591E">
      <w:pPr>
        <w:pStyle w:val="Bodytext2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E413DF">
        <w:rPr>
          <w:rStyle w:val="Bodytext2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53098F" w:rsidRPr="00E413DF" w:rsidRDefault="00E413DF" w:rsidP="00E413DF">
      <w:pPr>
        <w:pStyle w:val="Bodytext2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E413DF">
        <w:rPr>
          <w:rFonts w:ascii="Sylfaen" w:hAnsi="Sylfaen"/>
          <w:sz w:val="24"/>
          <w:szCs w:val="24"/>
        </w:rPr>
        <w:t>международных и региональных (межгосударственных) стандартов, а в случае их отсутствия -</w:t>
      </w:r>
      <w:r>
        <w:rPr>
          <w:rFonts w:ascii="Sylfaen" w:hAnsi="Sylfaen"/>
          <w:sz w:val="24"/>
          <w:szCs w:val="24"/>
        </w:rPr>
        <w:t xml:space="preserve"> </w:t>
      </w:r>
      <w:r w:rsidRPr="00E413DF">
        <w:rPr>
          <w:rFonts w:ascii="Sylfaen" w:hAnsi="Sylfaen"/>
          <w:sz w:val="24"/>
          <w:szCs w:val="24"/>
        </w:rPr>
        <w:t>национальных (государственных) стандартов, содержащих правила и методы исследований</w:t>
      </w:r>
      <w:r>
        <w:rPr>
          <w:rFonts w:ascii="Sylfaen" w:hAnsi="Sylfaen"/>
          <w:sz w:val="24"/>
          <w:szCs w:val="24"/>
        </w:rPr>
        <w:t xml:space="preserve"> </w:t>
      </w:r>
      <w:r w:rsidRPr="00E413DF">
        <w:rPr>
          <w:rFonts w:ascii="Sylfaen" w:hAnsi="Sylfaen"/>
          <w:sz w:val="24"/>
          <w:szCs w:val="24"/>
        </w:rPr>
        <w:t>(испытаний) и измерений, в том числе правила отбора образцов, необходимые для применения</w:t>
      </w:r>
      <w:r>
        <w:rPr>
          <w:rFonts w:ascii="Sylfaen" w:hAnsi="Sylfaen"/>
          <w:sz w:val="24"/>
          <w:szCs w:val="24"/>
        </w:rPr>
        <w:t xml:space="preserve"> </w:t>
      </w:r>
      <w:r w:rsidRPr="00E413DF">
        <w:rPr>
          <w:rFonts w:ascii="Sylfaen" w:hAnsi="Sylfaen"/>
          <w:sz w:val="24"/>
          <w:szCs w:val="24"/>
        </w:rPr>
        <w:t>и исполнения требований технического регламента Евразийского экономического союза</w:t>
      </w:r>
      <w:r>
        <w:rPr>
          <w:rFonts w:ascii="Sylfaen" w:hAnsi="Sylfaen"/>
          <w:sz w:val="24"/>
          <w:szCs w:val="24"/>
        </w:rPr>
        <w:t xml:space="preserve"> </w:t>
      </w:r>
      <w:r w:rsidRPr="00E413DF">
        <w:rPr>
          <w:rFonts w:ascii="Sylfaen" w:hAnsi="Sylfaen"/>
          <w:sz w:val="24"/>
          <w:szCs w:val="24"/>
        </w:rPr>
        <w:t>«О безопасности оборудования для детских игровых площадок» (ТР ЕАЭС 042/2017)</w:t>
      </w:r>
    </w:p>
    <w:p w:rsidR="0053098F" w:rsidRPr="00E413DF" w:rsidRDefault="0053098F" w:rsidP="00E413DF">
      <w:pPr>
        <w:spacing w:after="120"/>
      </w:pPr>
    </w:p>
    <w:tbl>
      <w:tblPr>
        <w:tblOverlap w:val="never"/>
        <w:tblW w:w="146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999"/>
        <w:gridCol w:w="8062"/>
        <w:gridCol w:w="2905"/>
      </w:tblGrid>
      <w:tr w:rsidR="004F641C" w:rsidRPr="00E413DF" w:rsidTr="004F641C">
        <w:trPr>
          <w:tblHeader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Обозначение и наименование стандарта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18 и </w:t>
            </w:r>
            <w:r w:rsidRPr="00E413DF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20-32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раздела VI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ГОСТ 9.905-82 «Единая система защиты от коррозии и старения. Методы коррозионных испытаний. Общие требования»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 5 СТБ ЕН 1176-1-2006 «Оборудование детских игровых площадок. Часть 1. Общие требования безопасности и методы испытаний»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приложения В и С СТБ ЕН 1176-2-2006 «Оборудование детских игровых площадок. Часть 2. Дополнительные требования безопасности и методы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испытаний качелей»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приложения А и В СТБ ЕН 1176-4-2006 «Оборудование детских игровых площадок. Часть 4. Дополнительные требования безопасности и методы испытаний канатных дорог»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99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приложение А СТБ ЕН 1176-5-2006 «Оборудование детских игровых площадок. Часть 5. Дополнительные требования безопасности и методы испытаний каруселей»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приложения В, С и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СТБ ЕН 1176-6-2006 «Оборудование детских игровых площадок. Часть 6. Дополнительные требования безопасности и методы испытаний качалок»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 6 СТ РК ГОСТ Р ЕН 1177-2010 «Покрытия травмобезопасные. Требования к проектированию и строительству спортивных, игровых, школьных и дворовых площадок»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 4 ГОСТ Р ЕН 1177-2013 «Покрытия игровых площадок ударопоглощающие. Определение критической высоты падения»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 6 СТБ ЕН 1177-2007 «Покрытия ударопоглощающие игровых площадок. Требования безопасности и методы испытаний»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раздел 6 ГОСТ Р 52167-2012 «Оборудование и покрытия детских игровых площадок. Безопасность конструкции и методы испытаний качелей.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Общие требования»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 6 ГОСТ Р 52168-2012 «Оборудование и покрытия детских игровых площадок. Безопасность конструкции и методы испытаний горок. Общие требования»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 5 ГОСТ Р 52169-2012 «Оборудование и покрытия детских игровых площадок. Безопасность конструкции и методы испытаний. Общие требования»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 7 ГОСТ Р 52299-2013 «Оборудование и покрытия детских игровых площадок. Безопасность конструкции и методы испытаний качалок. Общие требования»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299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 7 ГОСТ Р 52300-2013 «Оборудование и покрытия детских игровых площадок. Безопасность конструкции и методы испытаний каруселей. Общие требования»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 6 ГОСТ Р 54847-2011 «Оборудование и покрытия детских игровых площадок. Безопасность конструкции и методы испытаний канатных дорог. Общие требования»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 6 ГОСТ Р 55871-2013 «Оборудование и покрытия детских игровых площадок. Безопасность конструкции и методы испытаний оборудования, устанавливаемого в помещениях. Общие требования»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 5 ГОСТ Р 55872-2013 «Оборудование и покрытия детских игровых площадок. Безопасность конструкции и методы испытаний пространственных игровых сетей. Общие требования»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 1</w:t>
            </w:r>
          </w:p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приложения № 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 2 ГОСТ 22648-77 «Пластмассы. Методы определения гигиенических показателей»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 2</w:t>
            </w:r>
          </w:p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приложения № 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разделы 4-6 ГОСТ 32995-2014 «Материалы текстильные. Методика измерения напряженности»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СанПиН № 9-29.7-95 «Методика измерения напряженности электростатического поля»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4F641C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 3</w:t>
            </w:r>
          </w:p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приложения № 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90525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Инструкция 2.1.2.10-12-38-2006 «Гигиеническая оценка полимерных и полимерсодержащих материалов, изделий и конструкций, предназначенных для применения в промышленном и гражданском строительстве»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разработки соответствующего межгосударственного</w:t>
            </w:r>
            <w:r w:rsidR="0045514C" w:rsidRPr="00E413DF">
              <w:rPr>
                <w:rStyle w:val="Bodytext211pt"/>
                <w:rFonts w:ascii="Sylfaen" w:hAnsi="Sylfaen"/>
                <w:sz w:val="24"/>
                <w:szCs w:val="24"/>
              </w:rPr>
              <w:t xml:space="preserve"> стандарта и включения его в настоящий перечень</w:t>
            </w:r>
          </w:p>
        </w:tc>
      </w:tr>
      <w:tr w:rsidR="0090525F" w:rsidRPr="00E413DF" w:rsidTr="004F641C">
        <w:trPr>
          <w:trHeight w:val="193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25F" w:rsidRPr="00E413DF" w:rsidRDefault="0090525F" w:rsidP="005977E2">
            <w:pPr>
              <w:pStyle w:val="Bodytext20"/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25F" w:rsidRPr="00E413DF" w:rsidRDefault="0090525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25F" w:rsidRPr="00E413DF" w:rsidRDefault="0090525F" w:rsidP="00E413DF">
            <w:pPr>
              <w:pStyle w:val="Bodytext20"/>
              <w:jc w:val="left"/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Инструкция по применению № 056-2009 «Гигиеническая оценка лакокрасочных материалов»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25F" w:rsidRPr="00E413DF" w:rsidRDefault="0090525F" w:rsidP="0090525F">
            <w:pPr>
              <w:pStyle w:val="Bodytext20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 4</w:t>
            </w:r>
          </w:p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приложения № 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ГОСТ 30108-94 «Материалы и изделия строительные. Определение удельной эффективной активности естественных радионуклидов»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ГОСТ 33795-2016 «Древесное сырье, лесоматериалы, полуфабрикаты и изделия из древесины и древесных материалов. Допустимая удельная активность радионуклидов, отбор проб и методы измерения удельной активности радионуклидов»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 5</w:t>
            </w:r>
          </w:p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приложения № 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Инструкция по применению № 016-1211 «Методы оценки гигиенической безопасности отдельных видов продукции для детей»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пункт 6</w:t>
            </w:r>
          </w:p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приложения № 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Инструкция 1.1.11-12-35-2004 «Требования к постановке экспериментальных исследований для первичной токсикологической оценки и гигиенической регламентации веществ»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применяется до разработки соответствующего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межгосударственного стандарта и включения его в настоящий перечень</w:t>
            </w: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МУ 1.1.037-95 «Биотестирование продукции из полимерных и других материалов»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5977E2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МР № 2 ФЦ/2688-03 «Экспресс-метод оценки токсичности проб воздуха по водорастворимым компонентам с использованием в качестве тест- объекта спермы крупного рогатого скота»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A605F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графа 4 таблицы приложения № 2 (в части формальдегида, акрилонитрила, стирола, метилметакрилата, винилацетата)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ГОСТ 22648-77 «Пластмассы. Методы определения гигиенических показателей»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A605F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графа 3 таблицы приложения № 2 (в части формальдегида, стирола, винилацетата)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ГОСТ 22648-77 «Пластмассы. Методы определения гигиенических показателей»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A605F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графа 3 таблицы приложения № 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ГОСТ 30255-2014 «Мебель, древесные и полимерные материалы. Метод определения выделения формальдегида и других вредных летучих химических веществ в климатических камерах»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A605F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2999" w:type="dxa"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(в части формальдегида, аммиака, фенола)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КМС 752:2013 «Мебель, древесные и полимерные материалы. Метод определения выделения формальдегида и других вредных летучих химических веществ из мебели, древесных и полимерных материалов в воздух закрытых камер. Общие требования»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A605F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графа 4 таблицы приложения № 2 (в части капролактама)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ГОСТ 30351-2001 «Полиамиды, волокна, ткани, пленки полиамидные. Определение массовой доли остаточных количеств капролактама и низкомолекулярных соединений и их концентрации миграции в воду. Методы жидкостной и газожидкостной хроматографии»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A605F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графа 3 таблицы приложения № 2 (в части гексаметилендиамина)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ГОСТ 32533-2013 «Гексаметилендиамин. Определение содержания в воздушной среде»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A605F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 xml:space="preserve">графа 3 таблицы приложения № 2 (в части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ангидрида фосфорного)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ГОСТ 34039-2016 «Мебель, древесные и полимерные материалы. Метод определения выделения фосфорного ангидрида в климатических камерах»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A605F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графа 3 таблицы приложения № 2 (в части водорода цианистого)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ГОСТ 34040-2016 «Мебель, древесные и полимерные материалы. Метод определения выделения цианистого водорода в климатических камерах»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</w:tr>
      <w:tr w:rsidR="00A605FB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5FB" w:rsidRPr="00E413DF" w:rsidRDefault="00A605FB" w:rsidP="00A605F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05FB" w:rsidRPr="00E413DF" w:rsidRDefault="00A605FB" w:rsidP="002D6BCD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графа 3 таблицы приложения № 2 (в части хлористого водорода)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5FB" w:rsidRPr="00E413DF" w:rsidRDefault="00A605FB" w:rsidP="002D6BCD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ГОСТ 34041-2016 «Мебель, древесные и полимерные материалы. Метод определения выделения водорода хлористого в климатических камерах»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5FB" w:rsidRPr="00E413DF" w:rsidRDefault="00A605FB" w:rsidP="002D6BCD">
            <w:pPr>
              <w:spacing w:after="120"/>
            </w:pPr>
          </w:p>
        </w:tc>
      </w:tr>
      <w:tr w:rsidR="00A605FB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5FB" w:rsidRPr="00E413DF" w:rsidRDefault="00A605FB" w:rsidP="00A605F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05FB" w:rsidRPr="00E413DF" w:rsidRDefault="00A605FB" w:rsidP="002D6BCD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графа 3 таблицы приложения № 2 (в части диоксида серы)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5FB" w:rsidRPr="00E413DF" w:rsidRDefault="00A605FB" w:rsidP="002D6BCD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ГОСТ 34042-2016 «Мебель, древесные и полимерные материалы. Метод определения выделения диоксида серы в климатических камерах»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5FB" w:rsidRPr="00E413DF" w:rsidRDefault="00A605FB" w:rsidP="002D6BCD">
            <w:pPr>
              <w:spacing w:after="120"/>
            </w:pPr>
          </w:p>
        </w:tc>
      </w:tr>
      <w:tr w:rsidR="00A605FB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5FB" w:rsidRPr="00E413DF" w:rsidRDefault="00A605FB" w:rsidP="00A605F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05FB" w:rsidRPr="00E413DF" w:rsidRDefault="00A605FB" w:rsidP="002D6BCD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графа 3 таблицы приложения № 2 (в части фталевого ангидрида)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5FB" w:rsidRPr="00E413DF" w:rsidRDefault="00A605FB" w:rsidP="002D6BCD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ГОСТ 32457-2013 «Фталевый ангидрид. Определение содержания в воздушной среде методом газовой хроматографии масс-спектрометрии»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5FB" w:rsidRPr="00E413DF" w:rsidRDefault="00A605FB" w:rsidP="002D6BCD">
            <w:pPr>
              <w:spacing w:after="120"/>
            </w:pPr>
          </w:p>
        </w:tc>
      </w:tr>
      <w:tr w:rsidR="00A605FB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5FB" w:rsidRPr="00E413DF" w:rsidRDefault="00A605FB" w:rsidP="00A605F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05FB" w:rsidRPr="00E413DF" w:rsidRDefault="00A605FB" w:rsidP="00A605F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графа 4 таблицы приложения № 2 (в части бензола, спирта метилового,</w:t>
            </w:r>
            <w:r w:rsidRPr="00A605F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 xml:space="preserve">акрилонитрила, стирола, ксилолов (смеси изомеров), спирта бутилового, бутилацетата, спирта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изопропилового, ацетальдегида, спирта изобутилового, ацетона)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5FB" w:rsidRPr="00E413DF" w:rsidRDefault="00A605FB" w:rsidP="002D6BCD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МУК 4.1.3166-14 «Газохроматографическое определение гексана, гептана, ацетальдегида, ацетона, метилацетата, этилацетата, метанола, изо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 xml:space="preserve">пропанола, акрилонитрила, н-пропанола, н-пропилацетата, бутилацетата, изо-бутанола, н-бутанола, бензола, толуола, этилбензола, н-, о- и п-ксилолов, изопропилбензола, стирола, а-метилстирола в воде и водных вытяжках из материалов различного состава» (свидетельство об аттестации № 01.00282-2008/0153.16.01.13 от 16.01.2013, номер в реестре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ФР.1.31.2013.16740)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5FB" w:rsidRPr="00E413DF" w:rsidRDefault="00A605FB" w:rsidP="002D6BCD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применяется до</w:t>
            </w:r>
            <w:r w:rsidRPr="00065D0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Pr="00065D0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Pr="00065D0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Pr="00065D0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стандарта и включения</w:t>
            </w:r>
            <w:r w:rsidRPr="00065D0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Pr="00065D0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графа 3 таблицы приложения № 2 (в части стирола)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МУК 4.1.3167-14 «Газохроматографическое определение гексана, гептана, бензола, толуола, этилбензола, м-, о- и п-ксилолов, изопропилбензола, н-пропилбензола, стирола, а-метилстирола, бензальдегида в атмосферном воздухе, воздухе испытательной камеры и замкнутых помещений» (свидетельство об аттестации № 01.00282-2008/0155.16.01.13 от 16.01.2013, номер в реестре ФР. 1.31.2013.16742)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графа 3 таблицы приложения № 2 (в части дибутилфталата, диоктилфталата, диметилтерефталата)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МУК 4.1.3168-14 «Газохроматографическое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помещений» (свидетельство об аттестации № 01.00282-2008/0146.14.12.12 от 14.12.2012, номер в реестре ФР. 1.31.2013.16763)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98F" w:rsidRPr="00E413DF" w:rsidRDefault="0053098F" w:rsidP="00E413DF">
            <w:pPr>
              <w:spacing w:after="120"/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МВИ. МН 1402-2000 «Методика выполнения измерений концентраций дибутилфталата (ДБФ) и диоктифталата (ДОФ) в водной и водно</w:t>
            </w: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спиртовых средах, имитирующих алкогольные напитки, методом газовой хроматографии 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графа 4 таблицы приложения № 2 (в части дибутилфталата)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МУК 4.1.3169-14 «Газохроматографическое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состава» (свидетельство об аттестации № 01.00282-2008/0147.16.01.13 от 16.01.2013, номер в реестре ФР. 1.31.2013.16764)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45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графа 3 таблицы приложения № 2 (в части спирта метилового, спирта бутилового, бутилацетата, спирта изопропилового, ацетальдегида, спирта изобутилового)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МУК 4.1.3170-14 «Газохроматографическое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помещений» (свидетельство об аттестации № 01.00282-2008/0154.16.01.13 от 16.01.2013, номер в реестре ФР. 1.31.2013.16741)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53098F" w:rsidRPr="00E413DF" w:rsidTr="004F641C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46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графа 4 таблицы приложения № 2 (в части метилметакрилата, ацетона)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МУК 4.1.3171 -14 «Газохроматографическое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а-метилстирола в воде и водных вытяжках из материалов различного состава» (свидетельство об аттестации № 01.00282-2008/0160.19.03.13 от 19.03.2013, номер в реестре ФР. 1.31.2013.16751)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98F" w:rsidRPr="00E413DF" w:rsidRDefault="00E413DF" w:rsidP="00E413D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13DF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</w:tbl>
    <w:p w:rsidR="0053098F" w:rsidRPr="00E413DF" w:rsidRDefault="0053098F" w:rsidP="00E413DF">
      <w:pPr>
        <w:spacing w:after="120"/>
      </w:pPr>
    </w:p>
    <w:sectPr w:rsidR="0053098F" w:rsidRPr="00E413DF" w:rsidSect="003E020B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F6E" w:rsidRDefault="00420F6E" w:rsidP="0053098F">
      <w:r>
        <w:separator/>
      </w:r>
    </w:p>
  </w:endnote>
  <w:endnote w:type="continuationSeparator" w:id="0">
    <w:p w:rsidR="00420F6E" w:rsidRDefault="00420F6E" w:rsidP="0053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F6E" w:rsidRDefault="00420F6E"/>
  </w:footnote>
  <w:footnote w:type="continuationSeparator" w:id="0">
    <w:p w:rsidR="00420F6E" w:rsidRDefault="00420F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521C"/>
    <w:multiLevelType w:val="multilevel"/>
    <w:tmpl w:val="2A289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98F"/>
    <w:rsid w:val="00030B37"/>
    <w:rsid w:val="00065D0E"/>
    <w:rsid w:val="00285521"/>
    <w:rsid w:val="003E020B"/>
    <w:rsid w:val="00420F6E"/>
    <w:rsid w:val="0045514C"/>
    <w:rsid w:val="004F641C"/>
    <w:rsid w:val="0053098F"/>
    <w:rsid w:val="005977E2"/>
    <w:rsid w:val="008A39C9"/>
    <w:rsid w:val="008D394A"/>
    <w:rsid w:val="0090525F"/>
    <w:rsid w:val="00915ACA"/>
    <w:rsid w:val="00A605FB"/>
    <w:rsid w:val="00D0591E"/>
    <w:rsid w:val="00E413DF"/>
    <w:rsid w:val="00E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782F9-66E3-44AB-9C39-89EC14ED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3098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098F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3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53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53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Not Bold"/>
    <w:basedOn w:val="Bodytext2"/>
    <w:rsid w:val="0053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basedOn w:val="Bodytext2"/>
    <w:rsid w:val="0053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53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aliases w:val="Bold,Spacing 2 pt"/>
    <w:basedOn w:val="Bodytext3"/>
    <w:rsid w:val="0053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53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aliases w:val="Not Bold"/>
    <w:basedOn w:val="Bodytext2"/>
    <w:rsid w:val="0053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aliases w:val="Not Bold,Spacing 1 pt"/>
    <w:basedOn w:val="Bodytext2"/>
    <w:rsid w:val="0053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53098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3098F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5309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53098F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2018-10-02T06:05:00Z</dcterms:created>
  <dcterms:modified xsi:type="dcterms:W3CDTF">2019-09-20T08:08:00Z</dcterms:modified>
</cp:coreProperties>
</file>