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</w:p>
    <w:p w:rsidR="00C06104" w:rsidRDefault="00C06104" w:rsidP="00C06104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</w:p>
    <w:p w:rsidR="00C06104" w:rsidRDefault="00C06104" w:rsidP="00C06104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ПРИЛОЖЕНИЕ N 2 </w:t>
      </w:r>
    </w:p>
    <w:p w:rsidR="00C06104" w:rsidRDefault="00C06104" w:rsidP="00C06104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proofErr w:type="gram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к</w:t>
      </w:r>
      <w:proofErr w:type="gram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Таможенному</w:t>
      </w:r>
      <w:proofErr w:type="spell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кодексу</w:t>
      </w:r>
      <w:proofErr w:type="spell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</w:p>
    <w:p w:rsidR="00C06104" w:rsidRDefault="00C06104" w:rsidP="00C06104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proofErr w:type="spell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Евразийского</w:t>
      </w:r>
      <w:proofErr w:type="spell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экономического</w:t>
      </w:r>
      <w:proofErr w:type="spell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>союза</w:t>
      </w:r>
      <w:proofErr w:type="spellEnd"/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</w:p>
    <w:p w:rsidR="00C06104" w:rsidRDefault="00C06104" w:rsidP="00C06104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9"/>
          <w:szCs w:val="19"/>
        </w:rPr>
      </w:pPr>
      <w:r>
        <w:rPr>
          <w:rFonts w:ascii="GHEA Grapalat" w:hAnsi="GHEA Grapalat" w:cs="GHEA Grapalat"/>
          <w:b/>
          <w:bCs/>
          <w:color w:val="000000"/>
          <w:sz w:val="19"/>
          <w:szCs w:val="19"/>
        </w:rPr>
        <w:t xml:space="preserve">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before="113" w:after="57" w:line="300" w:lineRule="atLeast"/>
        <w:jc w:val="center"/>
        <w:textAlignment w:val="center"/>
        <w:rPr>
          <w:rFonts w:ascii="Minion Pro" w:hAnsi="Minion Pro" w:cs="Minion Pro"/>
          <w:b/>
          <w:bCs/>
          <w:color w:val="000000"/>
          <w:spacing w:val="5"/>
          <w:sz w:val="26"/>
          <w:szCs w:val="26"/>
        </w:rPr>
      </w:pPr>
      <w:r>
        <w:rPr>
          <w:rFonts w:ascii="Minion Pro" w:hAnsi="Minion Pro" w:cs="Minion Pro"/>
          <w:b/>
          <w:bCs/>
          <w:color w:val="000000"/>
          <w:spacing w:val="5"/>
          <w:sz w:val="26"/>
          <w:szCs w:val="26"/>
        </w:rPr>
        <w:t xml:space="preserve">ПЕРЕЧЕНЬ </w:t>
      </w:r>
    </w:p>
    <w:p w:rsidR="00C06104" w:rsidRPr="0082439D" w:rsidRDefault="00C06104" w:rsidP="0082439D">
      <w:pPr>
        <w:autoSpaceDE w:val="0"/>
        <w:autoSpaceDN w:val="0"/>
        <w:adjustRightInd w:val="0"/>
        <w:spacing w:before="113" w:after="57" w:line="260" w:lineRule="atLeast"/>
        <w:jc w:val="center"/>
        <w:textAlignment w:val="center"/>
        <w:rPr>
          <w:rFonts w:ascii="Minion Pro" w:hAnsi="Minion Pro" w:cs="Minion Pro"/>
          <w:b/>
          <w:bCs/>
          <w:color w:val="000000"/>
          <w:sz w:val="21"/>
          <w:szCs w:val="21"/>
        </w:rPr>
      </w:pPr>
      <w:r>
        <w:rPr>
          <w:rFonts w:ascii="Minion Pro" w:hAnsi="Minion Pro" w:cs="Minion Pro"/>
          <w:b/>
          <w:bCs/>
          <w:color w:val="000000"/>
          <w:sz w:val="21"/>
          <w:szCs w:val="21"/>
          <w:lang w:val="ru-RU"/>
        </w:rPr>
        <w:t xml:space="preserve">сведений для обмена информацией на регулярной основе </w:t>
      </w:r>
      <w:bookmarkStart w:id="0" w:name="_GoBack"/>
      <w:bookmarkEnd w:id="0"/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1. Перечень сведений из декларации на товары и документов, указанных в пункте 4 статьи 52 и абзаце втором пункта 4 статьи 277 Таможенного кодекса Евразийского экономического союза: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1) регистрационный номер декларации на товары;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2) направление перемещения товаров через таможенную границу Евразийского экономического союза (далее – Союз);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3) общее число товаров;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4) общее количество грузовых мест, соответствующее декларируемым товарам и указанное в транспортных (перевозочных) документах;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5) заявленная таможенная процедура;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6) предшествующая таможенная процедура;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7) страна отправления;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8) происхождение товаров;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9) страна назначения;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10) торгующая страна;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11) вид транспорта, которым осуществляется перевозка (транспортировка) товаров через таможенную границу Союза, и вид транспорта, которым осуществляется перевозка (транспортировка) товаров по таможенной территории Союза;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12) номер транспортного средства, которым осуществляется перевозка (транспортировка) товаров через таможенную границу Союза, и номер транспортного средства, которым осуществляется перевозка (транспортировка) товаров по таможенной территории Союза, либо иные идентифицирующие сведения о таких транспортных средствах;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13) страна регистрации транспортного средства, которым осуществляется перевозка (транспортировка) товаров через таможенную границу Союза;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14) место погрузки (разгрузки) товаров;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15) место нахождения товаров;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16) признак контейнерной перевозки;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17) валюта цены товаров;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18) курс валюты цены товаров;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19) общая стоимость товаров в валюте цены товаров;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20) номер товара в декларации на товары;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21) код товара в соответствии с единой Товарной номенклатурой внешнеэкономической деятельности Евразийского экономического союза;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22) грузовые места и описание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23) вес нетто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24) вес брутто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25) квота;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26) регистрационный номер таможенной декларации, поданной при помещении товаров под предшествующую таможенную процедуру;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27) стоимость товара в валюте цены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28) сведения о сроке действия таможенной процедуры и иные сведения, необходимые для помещения товаров под таможенную процедуру, документы, подтверждающие сведения, заявленные в декларации на </w:t>
      </w:r>
      <w:r>
        <w:rPr>
          <w:rFonts w:ascii="Sylfaen" w:hAnsi="Sylfaen" w:cs="Sylfaen"/>
          <w:color w:val="000000"/>
          <w:lang w:val="ru-RU"/>
        </w:rPr>
        <w:lastRenderedPageBreak/>
        <w:t xml:space="preserve">товары, за исключением сведений и документов, указываемых в декларации на товары в соответствии с законодательством государств-членов о таможенном регулировании;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29) дополнительная единица измерения в соответствии с единой Товарной номенклатурой внешнеэкономической деятельности Евразийского экономического союза;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30) количество товара в дополнительной единице измерения;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31) условия поставки (базис поставки и наименование географического пункта в соответствии с базисом поставки);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32) статистическая стоимость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33) номер таможенного документа, составленного по результатам таможенного контроля;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34) особенности выпуска товаров;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35) таможенная стоимость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36) метод определения таможенной стоимости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37) дополнительные начисления к цене, фактически уплаченной или подлежащей уплате (с детализацией по видам дополнительных начислений);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38) вычеты из цены, фактически уплаченной или подлежащей уплате (с детализацией по видам вычетов);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39) курс доллара США;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40) ставки таможенных платежей, специальных, антидемпинговых, компенсационных пошлин, а также иных пошлин, введенных в соответствии со статьей 50 Договора о Евразийском экономическом союзе от 29 мая 2014 года (далее – Договор о Союзе) (по видам платежей);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41) сведения об исчислении суммы ввозной таможенной пошлины, специальной, антидемпинговой, компенсационной пошлины, а также иной пошлины, введенной в соответствии со статьей 50 Договора о Союзе (вид платежа, база для исчисления, ставка, сумма, специфика платежа);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42) сведения об уплате сумм ввозной таможенной пошлины, специальной, антидемпинговой, компенсационной пошлины, а также иной пошлины, введенной в соответствии со статьей 50 Договора о Союзе, а также сумм пеней и процентов, начисленных в отношении таких платежей (вид платежа, сумма, способ уплаты);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43) предоставленная отсрочка (рассрочка) по уплате ввозной таможенной пошлины;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44) льготы и (или) тарифные преференции по уплате ввозной таможенной пошлины;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45) дата выпуска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46) регистрационный номер и дата регистрации корректировки декларации на товары;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47) тип корректировки декларации на товары;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48) дата внесения изменений (дополнений) в декларацию на товары при отсутствии корректировки декларации на товары;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49) регистрационный номер и дата регистрации таможенных документов, указанных в пункте 4 статьи 52 и абзаце втором пункта 4 статьи 277 Таможенного кодекса Евразийского экономического союза.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2. Перечень сведений из предварительного решения о классификации товара: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1) регистрационный номер предварительного решения о классификации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2) дата принятия предварительного решения о классификации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3) наименование товара, указанное в заявлении о принятии предварительного решения о классификации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4) код товара в соответствии с единой Товарной номенклатурой внешнеэкономической деятельности Евразийского экономического союза, указанный в предварительном решении о классификации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5) сведения о товаре, необходимые для классификации, указанные в заявлении о принятии предварительного решения о классификации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6) обоснование принятия предварительного решения о классификации товара;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7) служебные отметки (при наличии).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p w:rsidR="00C06104" w:rsidRDefault="00C06104" w:rsidP="00C06104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jc w:val="center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___________________</w:t>
      </w:r>
    </w:p>
    <w:p w:rsidR="00C06104" w:rsidRDefault="00C06104" w:rsidP="0082439D">
      <w:pPr>
        <w:tabs>
          <w:tab w:val="left" w:pos="4140"/>
        </w:tabs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Sylfaen" w:hAnsi="Sylfaen" w:cs="Sylfaen"/>
          <w:color w:val="000000"/>
          <w:lang w:val="ru-RU"/>
        </w:rPr>
      </w:pPr>
      <w:r>
        <w:rPr>
          <w:rFonts w:ascii="Sylfaen" w:hAnsi="Sylfaen" w:cs="Sylfaen"/>
          <w:color w:val="000000"/>
          <w:lang w:val="ru-RU"/>
        </w:rPr>
        <w:t xml:space="preserve"> </w:t>
      </w:r>
    </w:p>
    <w:sectPr w:rsidR="00C06104" w:rsidSect="00AB1A1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3E"/>
    <w:rsid w:val="000277AE"/>
    <w:rsid w:val="00172736"/>
    <w:rsid w:val="00482496"/>
    <w:rsid w:val="007D729A"/>
    <w:rsid w:val="007F4103"/>
    <w:rsid w:val="0082439D"/>
    <w:rsid w:val="00A61C3E"/>
    <w:rsid w:val="00AB1A1F"/>
    <w:rsid w:val="00C06104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277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277AE"/>
  </w:style>
  <w:style w:type="paragraph" w:customStyle="1" w:styleId="a">
    <w:name w:val="Ռուսերեն բաժին"/>
    <w:basedOn w:val="BasicParagraph"/>
    <w:uiPriority w:val="99"/>
    <w:rsid w:val="000277AE"/>
    <w:pPr>
      <w:tabs>
        <w:tab w:val="left" w:pos="4140"/>
      </w:tabs>
      <w:spacing w:before="113" w:after="57" w:line="300" w:lineRule="atLeast"/>
      <w:jc w:val="center"/>
    </w:pPr>
    <w:rPr>
      <w:rFonts w:ascii="Minion Pro" w:hAnsi="Minion Pro" w:cs="Minion Pro"/>
      <w:b/>
      <w:bCs/>
      <w:spacing w:val="5"/>
      <w:sz w:val="26"/>
      <w:szCs w:val="26"/>
    </w:rPr>
  </w:style>
  <w:style w:type="paragraph" w:customStyle="1" w:styleId="a0">
    <w:name w:val="Ռուսերեն հոդված"/>
    <w:basedOn w:val="BasicParagraph"/>
    <w:uiPriority w:val="99"/>
    <w:rsid w:val="000277AE"/>
    <w:pPr>
      <w:spacing w:before="113" w:after="57" w:line="260" w:lineRule="atLeast"/>
      <w:ind w:firstLine="397"/>
      <w:jc w:val="both"/>
    </w:pPr>
    <w:rPr>
      <w:rFonts w:ascii="Minion Pro" w:hAnsi="Minion Pro" w:cs="Minion Pro"/>
      <w:b/>
      <w:bCs/>
      <w:sz w:val="21"/>
      <w:szCs w:val="21"/>
      <w:lang w:val="ru-RU"/>
    </w:rPr>
  </w:style>
  <w:style w:type="paragraph" w:customStyle="1" w:styleId="a1">
    <w:name w:val="Ռուսերեն տեքստ"/>
    <w:basedOn w:val="BasicParagraph"/>
    <w:uiPriority w:val="99"/>
    <w:rsid w:val="000277AE"/>
    <w:pPr>
      <w:tabs>
        <w:tab w:val="left" w:pos="4140"/>
      </w:tabs>
      <w:spacing w:line="260" w:lineRule="atLeast"/>
      <w:ind w:firstLine="397"/>
      <w:jc w:val="both"/>
    </w:pPr>
    <w:rPr>
      <w:rFonts w:ascii="Sylfaen" w:hAnsi="Sylfaen" w:cs="Sylfaen"/>
      <w:sz w:val="22"/>
      <w:szCs w:val="22"/>
    </w:rPr>
  </w:style>
  <w:style w:type="paragraph" w:customStyle="1" w:styleId="a2">
    <w:name w:val="Ռուս. բաժին բով."/>
    <w:basedOn w:val="a"/>
    <w:uiPriority w:val="99"/>
    <w:rsid w:val="000277AE"/>
    <w:pPr>
      <w:spacing w:line="240" w:lineRule="atLeast"/>
    </w:pPr>
    <w:rPr>
      <w:spacing w:val="4"/>
      <w:sz w:val="22"/>
      <w:szCs w:val="22"/>
    </w:rPr>
  </w:style>
  <w:style w:type="paragraph" w:customStyle="1" w:styleId="a3">
    <w:name w:val="Հավելված"/>
    <w:basedOn w:val="BasicParagraph"/>
    <w:uiPriority w:val="99"/>
    <w:rsid w:val="000277AE"/>
    <w:pPr>
      <w:tabs>
        <w:tab w:val="left" w:pos="9923"/>
        <w:tab w:val="left" w:pos="10206"/>
      </w:tabs>
      <w:spacing w:line="240" w:lineRule="atLeast"/>
      <w:ind w:left="3685"/>
      <w:jc w:val="center"/>
    </w:pPr>
    <w:rPr>
      <w:rFonts w:ascii="GHEA Grapalat" w:hAnsi="GHEA Grapalat" w:cs="GHEA Grapalat"/>
      <w:b/>
      <w:bCs/>
      <w:sz w:val="19"/>
      <w:szCs w:val="19"/>
    </w:rPr>
  </w:style>
  <w:style w:type="paragraph" w:customStyle="1" w:styleId="a4">
    <w:name w:val="Ռուս բաժին"/>
    <w:basedOn w:val="a2"/>
    <w:uiPriority w:val="99"/>
    <w:rsid w:val="000277AE"/>
    <w:pPr>
      <w:spacing w:line="260" w:lineRule="atLeast"/>
    </w:pPr>
    <w:rPr>
      <w:spacing w:val="5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277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0277AE"/>
  </w:style>
  <w:style w:type="paragraph" w:customStyle="1" w:styleId="a">
    <w:name w:val="Ռուսերեն բաժին"/>
    <w:basedOn w:val="BasicParagraph"/>
    <w:uiPriority w:val="99"/>
    <w:rsid w:val="000277AE"/>
    <w:pPr>
      <w:tabs>
        <w:tab w:val="left" w:pos="4140"/>
      </w:tabs>
      <w:spacing w:before="113" w:after="57" w:line="300" w:lineRule="atLeast"/>
      <w:jc w:val="center"/>
    </w:pPr>
    <w:rPr>
      <w:rFonts w:ascii="Minion Pro" w:hAnsi="Minion Pro" w:cs="Minion Pro"/>
      <w:b/>
      <w:bCs/>
      <w:spacing w:val="5"/>
      <w:sz w:val="26"/>
      <w:szCs w:val="26"/>
    </w:rPr>
  </w:style>
  <w:style w:type="paragraph" w:customStyle="1" w:styleId="a0">
    <w:name w:val="Ռուսերեն հոդված"/>
    <w:basedOn w:val="BasicParagraph"/>
    <w:uiPriority w:val="99"/>
    <w:rsid w:val="000277AE"/>
    <w:pPr>
      <w:spacing w:before="113" w:after="57" w:line="260" w:lineRule="atLeast"/>
      <w:ind w:firstLine="397"/>
      <w:jc w:val="both"/>
    </w:pPr>
    <w:rPr>
      <w:rFonts w:ascii="Minion Pro" w:hAnsi="Minion Pro" w:cs="Minion Pro"/>
      <w:b/>
      <w:bCs/>
      <w:sz w:val="21"/>
      <w:szCs w:val="21"/>
      <w:lang w:val="ru-RU"/>
    </w:rPr>
  </w:style>
  <w:style w:type="paragraph" w:customStyle="1" w:styleId="a1">
    <w:name w:val="Ռուսերեն տեքստ"/>
    <w:basedOn w:val="BasicParagraph"/>
    <w:uiPriority w:val="99"/>
    <w:rsid w:val="000277AE"/>
    <w:pPr>
      <w:tabs>
        <w:tab w:val="left" w:pos="4140"/>
      </w:tabs>
      <w:spacing w:line="260" w:lineRule="atLeast"/>
      <w:ind w:firstLine="397"/>
      <w:jc w:val="both"/>
    </w:pPr>
    <w:rPr>
      <w:rFonts w:ascii="Sylfaen" w:hAnsi="Sylfaen" w:cs="Sylfaen"/>
      <w:sz w:val="22"/>
      <w:szCs w:val="22"/>
    </w:rPr>
  </w:style>
  <w:style w:type="paragraph" w:customStyle="1" w:styleId="a2">
    <w:name w:val="Ռուս. բաժին բով."/>
    <w:basedOn w:val="a"/>
    <w:uiPriority w:val="99"/>
    <w:rsid w:val="000277AE"/>
    <w:pPr>
      <w:spacing w:line="240" w:lineRule="atLeast"/>
    </w:pPr>
    <w:rPr>
      <w:spacing w:val="4"/>
      <w:sz w:val="22"/>
      <w:szCs w:val="22"/>
    </w:rPr>
  </w:style>
  <w:style w:type="paragraph" w:customStyle="1" w:styleId="a3">
    <w:name w:val="Հավելված"/>
    <w:basedOn w:val="BasicParagraph"/>
    <w:uiPriority w:val="99"/>
    <w:rsid w:val="000277AE"/>
    <w:pPr>
      <w:tabs>
        <w:tab w:val="left" w:pos="9923"/>
        <w:tab w:val="left" w:pos="10206"/>
      </w:tabs>
      <w:spacing w:line="240" w:lineRule="atLeast"/>
      <w:ind w:left="3685"/>
      <w:jc w:val="center"/>
    </w:pPr>
    <w:rPr>
      <w:rFonts w:ascii="GHEA Grapalat" w:hAnsi="GHEA Grapalat" w:cs="GHEA Grapalat"/>
      <w:b/>
      <w:bCs/>
      <w:sz w:val="19"/>
      <w:szCs w:val="19"/>
    </w:rPr>
  </w:style>
  <w:style w:type="paragraph" w:customStyle="1" w:styleId="a4">
    <w:name w:val="Ռուս բաժին"/>
    <w:basedOn w:val="a2"/>
    <w:uiPriority w:val="99"/>
    <w:rsid w:val="000277AE"/>
    <w:pPr>
      <w:spacing w:line="260" w:lineRule="atLeast"/>
    </w:pPr>
    <w:rPr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2018-03-19T07:40:00Z</dcterms:created>
  <dcterms:modified xsi:type="dcterms:W3CDTF">2018-03-21T08:22:00Z</dcterms:modified>
</cp:coreProperties>
</file>