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Проект</w:t>
      </w:r>
    </w:p>
    <w:p w:rsidR="008E4985" w:rsidRDefault="008E4985" w:rsidP="00B87430">
      <w:pPr>
        <w:pStyle w:val="Bodytext40"/>
        <w:shd w:val="clear" w:color="auto" w:fill="auto"/>
        <w:spacing w:after="120" w:line="240" w:lineRule="auto"/>
        <w:jc w:val="center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13C27" w:rsidRPr="00B87430" w:rsidRDefault="00823DD3" w:rsidP="00B87430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013C27" w:rsidRPr="006E7613" w:rsidRDefault="00823DD3" w:rsidP="00B87430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о принципах и подходах осуществления государственного контроля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(надзора) за соблюдением требований технических регламентов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Евразийского экономического союза в целях гармонизации</w:t>
      </w:r>
      <w:r w:rsidR="00433A44">
        <w:rPr>
          <w:rFonts w:ascii="Sylfaen" w:hAnsi="Sylfaen"/>
          <w:sz w:val="24"/>
          <w:szCs w:val="24"/>
        </w:rPr>
        <w:t xml:space="preserve"> </w:t>
      </w:r>
      <w:r w:rsidR="006E7613">
        <w:rPr>
          <w:rFonts w:ascii="Sylfaen" w:hAnsi="Sylfaen"/>
          <w:sz w:val="24"/>
          <w:szCs w:val="24"/>
        </w:rPr>
        <w:t>законодательства государств-</w:t>
      </w:r>
      <w:r w:rsidRPr="00B87430">
        <w:rPr>
          <w:rFonts w:ascii="Sylfaen" w:hAnsi="Sylfaen"/>
          <w:sz w:val="24"/>
          <w:szCs w:val="24"/>
        </w:rPr>
        <w:t>членов Евразийского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экономического союза в указанной сфере</w:t>
      </w:r>
    </w:p>
    <w:p w:rsidR="008E4985" w:rsidRPr="006E7613" w:rsidRDefault="008E4985" w:rsidP="00B87430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6E761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Государства-</w:t>
      </w:r>
      <w:r w:rsidR="00823DD3" w:rsidRPr="00B87430">
        <w:rPr>
          <w:rFonts w:ascii="Sylfaen" w:hAnsi="Sylfaen"/>
          <w:sz w:val="24"/>
          <w:szCs w:val="24"/>
        </w:rPr>
        <w:t>члены Евразийского экономического союза, именуемые в дальнейшем государствами-членами,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в соответствии с абзацем вторым пункта 4 статьи 53 Договора о Евразийском экономическом союзе от 29 мая 2014 года,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признавая необходимость сближения законодательства государств-членов в сфере государственного контроля (надзора) за соблюдением требований технических регламентов Евразийского экономического союза (далее - Союз),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придавая важное значение производству и обращению на территориях государств-членов безопасной продукции,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согласились о нижеследующем:</w:t>
      </w:r>
    </w:p>
    <w:p w:rsidR="008E4985" w:rsidRPr="006E7613" w:rsidRDefault="008E4985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6E7613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1</w:t>
      </w:r>
    </w:p>
    <w:p w:rsidR="008E4985" w:rsidRPr="006E7613" w:rsidRDefault="008E4985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Настоящее Соглашение определяет принципы и подходы осуществления в государствах-членах государственного контроля (надзора) за соблюдением требований технических регламентов Союза (далее соответственно - государственный контроль (надзор), технические регламенты Союза) в целях гармонизации законодательства государств-членов в указанной сфере.</w:t>
      </w:r>
    </w:p>
    <w:p w:rsidR="008E4985" w:rsidRPr="006E7613" w:rsidRDefault="008E4985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6E7613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2</w:t>
      </w:r>
    </w:p>
    <w:p w:rsidR="008E4985" w:rsidRPr="006E7613" w:rsidRDefault="008E4985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Соблюдение юридическими лицами и физическими лицами, зарегистрированными в качестве индивидуальных предпринимателей (далее - индивидуальные предприниматели), обязательных требований, установленных техническими регламентами Союза в отношении продукции и (или) связанных с требованиями к продукции процессов производства, хранения, перевозки, реализации и утилизации, подлежит государственному контролю (надзору).</w:t>
      </w:r>
    </w:p>
    <w:p w:rsidR="00013C27" w:rsidRPr="00B87430" w:rsidRDefault="00013C27" w:rsidP="00B87430">
      <w:pPr>
        <w:spacing w:after="120"/>
      </w:pPr>
    </w:p>
    <w:p w:rsidR="008E4985" w:rsidRPr="006E7613" w:rsidRDefault="008E4985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lastRenderedPageBreak/>
        <w:t>Статья 3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 xml:space="preserve">Государственный контроль (надзор) проводится органами государственного контроля (надзора) государств-членов, уполномоченными в соответствии </w:t>
      </w:r>
      <w:r w:rsidR="006E7613">
        <w:rPr>
          <w:rFonts w:ascii="Sylfaen" w:hAnsi="Sylfaen"/>
          <w:sz w:val="24"/>
          <w:szCs w:val="24"/>
        </w:rPr>
        <w:t>с законодательством государств-</w:t>
      </w:r>
      <w:r w:rsidRPr="00B87430">
        <w:rPr>
          <w:rFonts w:ascii="Sylfaen" w:hAnsi="Sylfaen"/>
          <w:sz w:val="24"/>
          <w:szCs w:val="24"/>
        </w:rPr>
        <w:t>членов (далее - органы государственного контроля (надзора)), на основе следующих принципов: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презумпция добросовестности юридических лиц и индивидуальных предпринимателей;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гласность деятельности органов государственного контроля (надзора);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обеспечение защиты прав потребителей;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системность проведения государственного контроля (надзора);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профессионализм и компетентность должностных лиц органов государственного контроля (надзора);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соблюдение прав и законных интересов проверяемых юридических лиц и индивидуальных предпринимателей;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соблюдение законности при назначении и проведении мероприятий по государственному контролю (надзору), вынесении решений по их результатам;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независимость органов государственного контроля (надзора) от изготовителей, продавцов, исполнителей и приобретателей (в том числе потребителей);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недопустимость совмещения органом государственного контроля (надзора) полномочий по государственному контролю (надзору) с полномочиями по аккредитации, за исключением осуществления контроля за деятельностью аккредитованных органов по оценке соответствия государств-членов (в том числе органов по сертификации, испытательных лабораторий (центров)), и (или) по подтверждению соответствия объектов технического регулирования требованиям технических регламентов Союза;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объективность и беспристрастность должностных лиц органов государственного контроля (надзора);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государственное финансирование деятельности органов государственного контроля (надзора);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приоритетность предупреждения правонарушения перед наказанием (за исключением случаев, когда непринятие мер по выявлению и пресечению распространения продукции, не соответствующей требованиям технических регламентов Союза, может привести к причинению вреда жизни и (или) здоровью человека, жизни и (или) здоровью животных и растений, вреда окружающей среде);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оценка риска нарушения требований, установленных техническими регламентами Союза;</w:t>
      </w:r>
    </w:p>
    <w:p w:rsidR="00013C27" w:rsidRPr="00B87430" w:rsidRDefault="00823DD3" w:rsidP="008E498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 xml:space="preserve">недопустимость проведения в отношении одного юридического лица или </w:t>
      </w:r>
      <w:r w:rsidRPr="00B87430">
        <w:rPr>
          <w:rFonts w:ascii="Sylfaen" w:hAnsi="Sylfaen"/>
          <w:sz w:val="24"/>
          <w:szCs w:val="24"/>
        </w:rPr>
        <w:lastRenderedPageBreak/>
        <w:t>индивидуального предпринимателя проверок исполнения одних и тех же обязательных требований, установленных техническими регламентами Союза, несколькими органами государственного контроля (надзора) государства-члена.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B87430">
        <w:rPr>
          <w:rFonts w:ascii="Sylfaen" w:hAnsi="Sylfaen"/>
          <w:sz w:val="24"/>
          <w:szCs w:val="24"/>
        </w:rPr>
        <w:t>Статья 4</w:t>
      </w:r>
    </w:p>
    <w:p w:rsidR="00BB648D" w:rsidRPr="00BB648D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 целях оптимизации и повышения эффективности осуществления государственного контроля (надзора) в государствах- членах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применяется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риск-ориентированный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подход, предусматривающий осуществление государственного контроля (надзора) на основе оценки риска нарушения требований, установленных техническими регламентами Союза, по результатам которой осуществляется выбор интенсивности (формы, продолжительности, периодичности) проведения мероприятий по государственному контролю (надзору).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Правила оценки риска в целях выбора интенсивности (формы, продолжительности, периодичности) проведения мероприятий по государственному контролю (надзору) определяются в соответствии с законодательством государств-членов.</w:t>
      </w:r>
    </w:p>
    <w:p w:rsidR="00013C27" w:rsidRPr="00B87430" w:rsidRDefault="00013C27" w:rsidP="00BB648D">
      <w:pPr>
        <w:spacing w:after="120"/>
        <w:ind w:firstLine="567"/>
        <w:jc w:val="both"/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5</w:t>
      </w:r>
    </w:p>
    <w:p w:rsidR="00013C27" w:rsidRPr="00B87430" w:rsidRDefault="00013C27" w:rsidP="00B87430">
      <w:pPr>
        <w:spacing w:after="120"/>
      </w:pP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Государственный контроль (надзор) осуществляется с учетом положений настоящего Соглашения на основе анализа и прогнозирования исполнения требований технических регламентов Союза и принятия мер по предупреждению, выявлению, пресечению обращения на территориях государств-членов продукции, не соответствующей требованиям технических регламентов Союза, и (или) устранению негативных последствий нарушения требований технических регламентов Союза посредством проведения мероприятий по государственному контролю (надзору), в том числе проверок, предусмотренных законодательством государств-членов.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Анализ и прогнозирование соблюдения требований технических регламентов Союза включают в себя изучение и обобщение: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сведений о юридических лицах и индивидуальных предпринимателях, являющихся заявителями при оценке соответствия объектов технического регулирования требованиям технических регламентов Союза, в том числе исследований (испытаний) и измерений;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информации, полученной по результатам проведения мероприятий по государственному контролю (надзору);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информации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об объектах технического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 xml:space="preserve">регулирования, не соответствующих требованиям технических регламентов Союза, а также о случаях причинения вреда </w:t>
      </w:r>
      <w:r w:rsidR="00823DD3" w:rsidRPr="00B87430">
        <w:rPr>
          <w:rFonts w:ascii="Sylfaen" w:hAnsi="Sylfaen"/>
          <w:sz w:val="24"/>
          <w:szCs w:val="24"/>
        </w:rPr>
        <w:lastRenderedPageBreak/>
        <w:t>жизни и (или) здоровью человека, жизни и (или) здоровью животных и растений, вреда окружающей среде, выявленных в соответствии с законодательством государств- членов.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6E7613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6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823DD3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 xml:space="preserve">1. При проведении мероприятий по государственному контролю (надзору) органы государственного контроля (надзора) не вправе требовать от юридического лица или индивидуального предпринимателя представления информации, которая была представлена ранее в соответствии </w:t>
      </w:r>
      <w:r w:rsidR="006E7613">
        <w:rPr>
          <w:rFonts w:ascii="Sylfaen" w:hAnsi="Sylfaen"/>
          <w:sz w:val="24"/>
          <w:szCs w:val="24"/>
        </w:rPr>
        <w:t>с законодательством государств-</w:t>
      </w:r>
      <w:r w:rsidRPr="00B87430">
        <w:rPr>
          <w:rFonts w:ascii="Sylfaen" w:hAnsi="Sylfaen"/>
          <w:sz w:val="24"/>
          <w:szCs w:val="24"/>
        </w:rPr>
        <w:t>членов или которая может быть получена органами государственного контроля (надзора) в соответствии с законодательством государств-членов из государственных информационных систем, реестров и регистров, сформированных и действующих в соответствии с международными договорами и актами, составляющими право Союза, и законодательством государств-членов.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Исследования (испытания) и измерения в рамках государственного контроля (надзора) проводятся в собственных аккредитованных испытательных лабораториях (центрах) органа государственного контроля (надзора) или в аккредитованных в соответствии с законодательством государств-членов испытательных лабораториях (центрах).</w:t>
      </w:r>
    </w:p>
    <w:p w:rsidR="00013C27" w:rsidRPr="00B87430" w:rsidRDefault="00823DD3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Не допускается в рамках государственного контроля (надзора) проведение исследований (испытаний) и измерений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образцов продукции в испытательной лаборатории (центре), в которой данная продукция оценивалась (подтверждалась) на соответствие требованиям технических регламентов Союза, за исключением случаев, когда на территории государства-члена зарегистрирована в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качестве юридического лица только одна испытательная лаборатория (центр), осуществляющая необходимые для государственного</w:t>
      </w:r>
      <w:r w:rsidR="00433A44">
        <w:rPr>
          <w:rFonts w:ascii="Sylfaen" w:hAnsi="Sylfaen"/>
          <w:sz w:val="24"/>
          <w:szCs w:val="24"/>
        </w:rPr>
        <w:t xml:space="preserve"> </w:t>
      </w:r>
      <w:r w:rsidRPr="00B87430">
        <w:rPr>
          <w:rFonts w:ascii="Sylfaen" w:hAnsi="Sylfaen"/>
          <w:sz w:val="24"/>
          <w:szCs w:val="24"/>
        </w:rPr>
        <w:t>контроля (надзора) испытания.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Органы государственного контроля (надзора) вправе привлекать к проведению мероприятий по государственному контролю (надзору) экспертов и экспертные организации в порядке, установленном законодательством государств-членов. Указанные мероприятия осуществляются с учетом принципа независимости указанных экспертов и экспертных организаций от изготовителей, продавцов, исполнителей и приобретателей (в том числе потребителей).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4.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Внеплановые проверки могут проводиться органами государственного контроля (надзора) в следующих случаях: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получение органом государственного контроля (надзора) информации от государственных органов, юридических лиц и индивидуальных предпринимателей, общественных объединений потребителей (ассоциаций, союзов), из средств массовой информации и от граждан о нарушениях требований технических регламентов Союза;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lastRenderedPageBreak/>
        <w:t>2)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возникновение угрозы причинения и (или) причинение вреда жизни и (или) здоровью человека, жизни и (или) здоровью животных и растений,</w:t>
      </w:r>
      <w:bookmarkStart w:id="0" w:name="_GoBack"/>
      <w:bookmarkEnd w:id="0"/>
      <w:r w:rsidR="00823DD3" w:rsidRPr="00B87430">
        <w:rPr>
          <w:rFonts w:ascii="Sylfaen" w:hAnsi="Sylfaen"/>
          <w:sz w:val="24"/>
          <w:szCs w:val="24"/>
        </w:rPr>
        <w:t xml:space="preserve"> вреда окружающей среде;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по истечении установленного срока исполнения юридическими лицами и индивидуальными предпринимателями ранее выданного предписания об устранении выявленных нарушений требований технических регламентов Союза;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4)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 иных случаях, предусмотренных законодательством государств-членов.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5.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Если основанием для проведения внеплановой проверки является причинение вреда жизни и (или) здоровью человека, жизни и (или) здоровью животных и растений, вреда окружающей среде, органы государственного контроля (надзора) вправе незамедлительно приступить к проведению внеплановой проверки, уведомив об этом лицо, в отношении которого она проводится.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6E7613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7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Государства-члены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 целях организации проведения государственного контроля (надзора) и предотвращения выпуска в обращение на территориях государств-членов продукции, не соответствующей требованиям технических регламентов Союза, обеспечивают взаимодействие органов государственного контроля (надзора), в том числе путем систематического обмена информацией, организации обмена опытом проведения государственного контроля (надзора) и проведения совместных проверок.</w:t>
      </w:r>
    </w:p>
    <w:p w:rsidR="00013C27" w:rsidRPr="00B87430" w:rsidRDefault="00B87430" w:rsidP="00BB6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Органы государственного контроля (надзора) в целях обеспечения информационного обмена и взаимодействия при проведении государственного контроля (надзора) используют интегрированную информационную систему Союза.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6E7613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8</w:t>
      </w:r>
    </w:p>
    <w:p w:rsidR="00BB648D" w:rsidRPr="006E7613" w:rsidRDefault="00BB648D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 целях оперативного взаимодействия органов государственного контроля (надзора) и иных уполномоченных органов государств-членов в рамках реализации общих процессов в рамках Союза с использованием интегрированной информационной системы Союза обеспечивается функционирование системы информирования об опасной продукции (далее - система информирования).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В рамках функционирования системы информирования осуществляется формирование, ведение и использование общих информационных ресурсов, а также обмен, в том числе следующими сведениями: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 xml:space="preserve">о выявленной продукции, не соответствующей требованиям технических регламентов Союза, а также о принятых мерах по предупреждению, выявлению и </w:t>
      </w:r>
      <w:r w:rsidR="00823DD3" w:rsidRPr="00B87430">
        <w:rPr>
          <w:rFonts w:ascii="Sylfaen" w:hAnsi="Sylfaen"/>
          <w:sz w:val="24"/>
          <w:szCs w:val="24"/>
        </w:rPr>
        <w:lastRenderedPageBreak/>
        <w:t>пресечению обращения на территориях государств-членов такой продукции и (или) устранению негативных последствий выявленных нарушений;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о выявленных случаях реализ</w:t>
      </w:r>
      <w:r w:rsidR="006E7613">
        <w:rPr>
          <w:rFonts w:ascii="Sylfaen" w:hAnsi="Sylfaen"/>
          <w:sz w:val="24"/>
          <w:szCs w:val="24"/>
        </w:rPr>
        <w:t>ации на территории государства-</w:t>
      </w:r>
      <w:r w:rsidR="00823DD3" w:rsidRPr="00B87430">
        <w:rPr>
          <w:rFonts w:ascii="Sylfaen" w:hAnsi="Sylfaen"/>
          <w:sz w:val="24"/>
          <w:szCs w:val="24"/>
        </w:rPr>
        <w:t>члена продукции, подлежащей обязательной оценке соответствия требованиям технических регламентов Союза, без документов об оценке соответствия или сведений о ее проведении;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3)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о выявленных фактах нарушения требований технических регламентов Союза в части оценки соответствия продукции, включая факты нарушения правил выполнения работ по сертификации и факты представления недостоверных результатов исследований (испытаний) и измерений.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Порядок представления, сбора и обобщения сведений, их состав, порядок их размещения в общих информационных ресурсах интегрированной информационной системы Союза, а также правила функционирования системы информирования определяются Евразийской экономической комиссией.</w:t>
      </w:r>
    </w:p>
    <w:p w:rsidR="00013C27" w:rsidRPr="00B87430" w:rsidRDefault="00013C27" w:rsidP="00345B0F">
      <w:pPr>
        <w:spacing w:after="120"/>
        <w:ind w:firstLine="567"/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9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Органы государственного контроля (надзора) осуществляют взаимодействие в целях:</w:t>
      </w: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предотвращения обращения на территориях государств-членов продукции, не соответствующей требованиям технических регламентов Союза;</w:t>
      </w: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выявления на территории одного из государств-членов продукции, не соответствующей требованиям технических регламентов Союза и выпущенной в обращение на территории другого государства-члена либо в отношении которой выдан документ об оценке соответствия органом по оценке соответствия другого государства-члена (в том числе в целях принятия решения о выдаче предписания о необходимости приостановления или прекращения действия (признания недействительным) документа об оценке соответствия органу, выдавшему этот документ, либо обжалования такого решения), а также предотвращения выпуска и обращ</w:t>
      </w:r>
      <w:r w:rsidR="006E7613">
        <w:rPr>
          <w:rFonts w:ascii="Sylfaen" w:hAnsi="Sylfaen"/>
          <w:sz w:val="24"/>
          <w:szCs w:val="24"/>
        </w:rPr>
        <w:t>ения на территориях государств-</w:t>
      </w:r>
      <w:r w:rsidRPr="00B87430">
        <w:rPr>
          <w:rFonts w:ascii="Sylfaen" w:hAnsi="Sylfaen"/>
          <w:sz w:val="24"/>
          <w:szCs w:val="24"/>
        </w:rPr>
        <w:t>членов такой продукции.</w:t>
      </w: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Порядок указанного взаимодействия определяется Советом Евразийской экономической комиссии.</w:t>
      </w:r>
    </w:p>
    <w:p w:rsidR="00013C27" w:rsidRPr="00B87430" w:rsidRDefault="00013C27" w:rsidP="00345B0F">
      <w:pPr>
        <w:spacing w:after="120"/>
        <w:ind w:firstLine="567"/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10</w:t>
      </w:r>
    </w:p>
    <w:p w:rsidR="00013C27" w:rsidRPr="00B87430" w:rsidRDefault="00013C27" w:rsidP="00B87430">
      <w:pPr>
        <w:spacing w:after="120"/>
      </w:pP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 xml:space="preserve">Государства-члены обеспечивают представление в Евразийскую экономическую комиссию информации об органах государственного контроля (надзора) с указанием нормативных правовых актов, наделяющих эти органы </w:t>
      </w:r>
      <w:r w:rsidR="00823DD3" w:rsidRPr="00B87430">
        <w:rPr>
          <w:rFonts w:ascii="Sylfaen" w:hAnsi="Sylfaen"/>
          <w:sz w:val="24"/>
          <w:szCs w:val="24"/>
        </w:rPr>
        <w:lastRenderedPageBreak/>
        <w:t>соответствующими полномочиями, а также информации о нормативных правовых актах, определяющих порядок проведения государственного контроля (надзора) в государствах- членах.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Евразийская экономическая комиссия обеспечивает размещение информации, указанной в пункте 1 настоящей статьи, на официальном сайте Союза.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11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Споры, связанные с применением и (или) толкованием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B8743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Статья 12</w:t>
      </w:r>
    </w:p>
    <w:p w:rsidR="00013C27" w:rsidRPr="00B87430" w:rsidRDefault="00013C27" w:rsidP="00B87430">
      <w:pPr>
        <w:spacing w:after="120"/>
      </w:pP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1. Настоящее Соглашение является международным договором, заключенным в рамках Союза, и входит в право Союза.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2.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013C27" w:rsidRPr="00B87430" w:rsidRDefault="00B87430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3.</w:t>
      </w:r>
      <w:r w:rsidR="00433A44">
        <w:rPr>
          <w:rFonts w:ascii="Sylfaen" w:hAnsi="Sylfaen"/>
          <w:sz w:val="24"/>
          <w:szCs w:val="24"/>
        </w:rPr>
        <w:t xml:space="preserve"> </w:t>
      </w:r>
      <w:r w:rsidR="00823DD3" w:rsidRPr="00B87430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345B0F" w:rsidRPr="006E7613" w:rsidRDefault="00345B0F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45B0F" w:rsidRPr="006E7613" w:rsidRDefault="00345B0F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45B0F" w:rsidRPr="006E7613" w:rsidRDefault="00345B0F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13C27" w:rsidRPr="00B87430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Совершено в городе _______________</w:t>
      </w:r>
      <w:r w:rsidRPr="00B8743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7430">
        <w:rPr>
          <w:rFonts w:ascii="Sylfaen" w:hAnsi="Sylfaen"/>
          <w:sz w:val="24"/>
          <w:szCs w:val="24"/>
        </w:rPr>
        <w:t>«_____»</w:t>
      </w:r>
      <w:r w:rsidRPr="00B87430">
        <w:rPr>
          <w:rFonts w:ascii="Sylfaen" w:hAnsi="Sylfaen"/>
          <w:sz w:val="24"/>
          <w:szCs w:val="24"/>
          <w:lang w:eastAsia="en-US" w:bidi="en-US"/>
        </w:rPr>
        <w:t xml:space="preserve"> _______________</w:t>
      </w:r>
      <w:r w:rsidRPr="00B87430">
        <w:rPr>
          <w:rFonts w:ascii="Sylfaen" w:hAnsi="Sylfaen"/>
          <w:sz w:val="24"/>
          <w:szCs w:val="24"/>
        </w:rPr>
        <w:t xml:space="preserve"> 2017 года</w:t>
      </w:r>
      <w:r w:rsidRPr="00B8743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7430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013C27" w:rsidRPr="006E7613" w:rsidRDefault="00823DD3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7430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345B0F" w:rsidRPr="006E7613" w:rsidRDefault="00345B0F" w:rsidP="00345B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2088"/>
        <w:gridCol w:w="2236"/>
        <w:gridCol w:w="2268"/>
        <w:gridCol w:w="2027"/>
      </w:tblGrid>
      <w:tr w:rsidR="00013C27" w:rsidRPr="00B87430" w:rsidTr="00B87430">
        <w:trPr>
          <w:jc w:val="center"/>
        </w:trPr>
        <w:tc>
          <w:tcPr>
            <w:tcW w:w="2326" w:type="dxa"/>
            <w:shd w:val="clear" w:color="auto" w:fill="FFFFFF"/>
            <w:vAlign w:val="center"/>
          </w:tcPr>
          <w:p w:rsidR="00013C27" w:rsidRPr="00B87430" w:rsidRDefault="00823DD3" w:rsidP="00345B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743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13C27" w:rsidRPr="00B87430" w:rsidRDefault="00823DD3" w:rsidP="00345B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743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013C27" w:rsidRPr="00B87430" w:rsidRDefault="00823DD3" w:rsidP="00345B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7430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13C27" w:rsidRPr="00B87430" w:rsidRDefault="00823DD3" w:rsidP="00345B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7430">
              <w:rPr>
                <w:rStyle w:val="Bodytext2Bold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027" w:type="dxa"/>
            <w:shd w:val="clear" w:color="auto" w:fill="FFFFFF"/>
            <w:vAlign w:val="bottom"/>
          </w:tcPr>
          <w:p w:rsidR="00013C27" w:rsidRPr="00B87430" w:rsidRDefault="00823DD3" w:rsidP="00345B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87430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013C27" w:rsidRPr="00B87430" w:rsidRDefault="00013C27" w:rsidP="00B87430">
      <w:pPr>
        <w:spacing w:after="120"/>
      </w:pPr>
    </w:p>
    <w:sectPr w:rsidR="00013C27" w:rsidRPr="00B87430" w:rsidSect="00B8743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51" w:rsidRDefault="00AF0951" w:rsidP="00013C27">
      <w:r>
        <w:separator/>
      </w:r>
    </w:p>
  </w:endnote>
  <w:endnote w:type="continuationSeparator" w:id="0">
    <w:p w:rsidR="00AF0951" w:rsidRDefault="00AF0951" w:rsidP="000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51" w:rsidRDefault="00AF0951"/>
  </w:footnote>
  <w:footnote w:type="continuationSeparator" w:id="0">
    <w:p w:rsidR="00AF0951" w:rsidRDefault="00AF09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31"/>
    <w:multiLevelType w:val="multilevel"/>
    <w:tmpl w:val="FDE4C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531D8"/>
    <w:multiLevelType w:val="multilevel"/>
    <w:tmpl w:val="D73CB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A2B8A"/>
    <w:multiLevelType w:val="multilevel"/>
    <w:tmpl w:val="156C1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451F4"/>
    <w:multiLevelType w:val="multilevel"/>
    <w:tmpl w:val="7CAEB8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51CDC"/>
    <w:multiLevelType w:val="multilevel"/>
    <w:tmpl w:val="CBB0C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27A33"/>
    <w:multiLevelType w:val="multilevel"/>
    <w:tmpl w:val="8752E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459A8"/>
    <w:multiLevelType w:val="multilevel"/>
    <w:tmpl w:val="78EA1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787902"/>
    <w:multiLevelType w:val="multilevel"/>
    <w:tmpl w:val="1D0EE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637CC"/>
    <w:multiLevelType w:val="multilevel"/>
    <w:tmpl w:val="A2EE1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12246A"/>
    <w:multiLevelType w:val="multilevel"/>
    <w:tmpl w:val="82489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D50922"/>
    <w:multiLevelType w:val="multilevel"/>
    <w:tmpl w:val="0D8287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27"/>
    <w:rsid w:val="00013C27"/>
    <w:rsid w:val="00345B0F"/>
    <w:rsid w:val="00433A44"/>
    <w:rsid w:val="006E7613"/>
    <w:rsid w:val="00823DD3"/>
    <w:rsid w:val="008E4985"/>
    <w:rsid w:val="008E5E74"/>
    <w:rsid w:val="00AD6FE9"/>
    <w:rsid w:val="00AF0951"/>
    <w:rsid w:val="00B87430"/>
    <w:rsid w:val="00B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DDDB"/>
  <w15:docId w15:val="{5EFAD65C-0186-47B9-A6F2-BE9D405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3C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3C27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013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13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Spacing4pt">
    <w:name w:val="Body text (4) + Spacing 4 pt"/>
    <w:basedOn w:val="Bodytext4"/>
    <w:rsid w:val="00013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13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013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13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013C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13C27"/>
    <w:pPr>
      <w:shd w:val="clear" w:color="auto" w:fill="FFFFFF"/>
      <w:spacing w:before="6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13C2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2019-01-30T08:51:00Z</dcterms:created>
  <dcterms:modified xsi:type="dcterms:W3CDTF">2020-05-04T13:42:00Z</dcterms:modified>
</cp:coreProperties>
</file>