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left="5529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F313FD">
        <w:rPr>
          <w:rFonts w:ascii="Sylfaen" w:hAnsi="Sylfaen"/>
          <w:sz w:val="24"/>
          <w:szCs w:val="24"/>
        </w:rPr>
        <w:t>УТВЕРЖДЕНА</w:t>
      </w:r>
    </w:p>
    <w:p w:rsidR="00CD5702" w:rsidRDefault="00CE3AA2" w:rsidP="008E3C49">
      <w:pPr>
        <w:pStyle w:val="Bodytext20"/>
        <w:shd w:val="clear" w:color="auto" w:fill="auto"/>
        <w:spacing w:before="0" w:after="120" w:line="240" w:lineRule="auto"/>
        <w:ind w:left="5529" w:firstLine="0"/>
        <w:jc w:val="center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Решением Евразийского межправительственного совета от 13 апреля</w:t>
      </w:r>
      <w:r w:rsidRPr="00F313F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313FD">
        <w:rPr>
          <w:rFonts w:ascii="Sylfaen" w:hAnsi="Sylfaen"/>
          <w:sz w:val="24"/>
          <w:szCs w:val="24"/>
        </w:rPr>
        <w:t>2016 г. № 1</w:t>
      </w:r>
    </w:p>
    <w:p w:rsidR="008E3C49" w:rsidRPr="00F313FD" w:rsidRDefault="008E3C49" w:rsidP="008E3C49">
      <w:pPr>
        <w:pStyle w:val="Bodytext20"/>
        <w:shd w:val="clear" w:color="auto" w:fill="auto"/>
        <w:spacing w:before="0" w:after="120" w:line="240" w:lineRule="auto"/>
        <w:ind w:left="5529" w:firstLine="0"/>
        <w:jc w:val="center"/>
        <w:rPr>
          <w:rFonts w:ascii="Sylfaen" w:hAnsi="Sylfaen"/>
          <w:sz w:val="24"/>
          <w:szCs w:val="24"/>
        </w:rPr>
      </w:pPr>
    </w:p>
    <w:p w:rsidR="00CD5702" w:rsidRPr="00F313FD" w:rsidRDefault="00CE3AA2" w:rsidP="008E3C49">
      <w:pPr>
        <w:pStyle w:val="Heading10"/>
        <w:shd w:val="clear" w:color="auto" w:fill="auto"/>
        <w:spacing w:before="0" w:after="120" w:line="240" w:lineRule="auto"/>
        <w:ind w:left="1418" w:right="1276" w:firstLine="0"/>
        <w:rPr>
          <w:rFonts w:ascii="Sylfaen" w:hAnsi="Sylfaen"/>
          <w:sz w:val="24"/>
          <w:szCs w:val="24"/>
        </w:rPr>
      </w:pPr>
      <w:bookmarkStart w:id="1" w:name="bookmark2"/>
      <w:r w:rsidRPr="00F313FD">
        <w:rPr>
          <w:rStyle w:val="Heading1Spacing2pt"/>
          <w:rFonts w:ascii="Sylfaen" w:hAnsi="Sylfaen"/>
          <w:b/>
          <w:bCs/>
          <w:spacing w:val="0"/>
          <w:sz w:val="24"/>
          <w:szCs w:val="24"/>
        </w:rPr>
        <w:t>КОНЦЕПЦИЯ</w:t>
      </w:r>
      <w:bookmarkEnd w:id="1"/>
    </w:p>
    <w:p w:rsidR="00CD5702" w:rsidRDefault="00CE3AA2" w:rsidP="008E3C49">
      <w:pPr>
        <w:pStyle w:val="Heading10"/>
        <w:shd w:val="clear" w:color="auto" w:fill="auto"/>
        <w:spacing w:before="0" w:after="120" w:line="240" w:lineRule="auto"/>
        <w:ind w:left="1418" w:right="1276" w:firstLine="0"/>
        <w:rPr>
          <w:rFonts w:ascii="Sylfaen" w:hAnsi="Sylfaen"/>
          <w:sz w:val="24"/>
          <w:szCs w:val="24"/>
        </w:rPr>
      </w:pPr>
      <w:bookmarkStart w:id="2" w:name="bookmark3"/>
      <w:r w:rsidRPr="00F313FD">
        <w:rPr>
          <w:rFonts w:ascii="Sylfaen" w:hAnsi="Sylfaen"/>
          <w:sz w:val="24"/>
          <w:szCs w:val="24"/>
        </w:rPr>
        <w:t>создания Евразийского инжинирингового центра</w:t>
      </w:r>
      <w:r w:rsidR="008E3C49">
        <w:rPr>
          <w:rFonts w:ascii="Sylfaen" w:hAnsi="Sylfaen"/>
          <w:sz w:val="24"/>
          <w:szCs w:val="24"/>
        </w:rPr>
        <w:t xml:space="preserve"> </w:t>
      </w:r>
      <w:r w:rsidRPr="00F313FD">
        <w:rPr>
          <w:rFonts w:ascii="Sylfaen" w:hAnsi="Sylfaen"/>
          <w:sz w:val="24"/>
          <w:szCs w:val="24"/>
        </w:rPr>
        <w:t>по станкостроению</w:t>
      </w:r>
      <w:bookmarkEnd w:id="2"/>
    </w:p>
    <w:p w:rsidR="008E3C49" w:rsidRPr="00F313FD" w:rsidRDefault="008E3C49" w:rsidP="008E3C49">
      <w:pPr>
        <w:pStyle w:val="Heading10"/>
        <w:shd w:val="clear" w:color="auto" w:fill="auto"/>
        <w:spacing w:before="0" w:after="120" w:line="240" w:lineRule="auto"/>
        <w:ind w:left="1418" w:right="1276" w:firstLine="0"/>
        <w:rPr>
          <w:rFonts w:ascii="Sylfaen" w:hAnsi="Sylfaen"/>
          <w:sz w:val="24"/>
          <w:szCs w:val="24"/>
        </w:rPr>
      </w:pP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right="1" w:firstLine="0"/>
        <w:jc w:val="center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I. Общие положения</w:t>
      </w:r>
    </w:p>
    <w:p w:rsidR="00CD5702" w:rsidRPr="00F313FD" w:rsidRDefault="00CE3AA2" w:rsidP="00F313FD">
      <w:pPr>
        <w:pStyle w:val="Bodytext20"/>
        <w:shd w:val="clear" w:color="auto" w:fill="auto"/>
        <w:spacing w:before="0" w:after="120" w:line="240" w:lineRule="auto"/>
        <w:ind w:left="420" w:firstLine="700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Настоящая Концепция разработана в целях реализации распоряжения Евразийского межправительственного совета</w:t>
      </w:r>
    </w:p>
    <w:p w:rsidR="00CD5702" w:rsidRPr="00F313FD" w:rsidRDefault="00CE3AA2" w:rsidP="00F313FD">
      <w:pPr>
        <w:pStyle w:val="Bodytext20"/>
        <w:shd w:val="clear" w:color="auto" w:fill="auto"/>
        <w:spacing w:before="0" w:after="120" w:line="240" w:lineRule="auto"/>
        <w:ind w:left="420" w:firstLine="0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от 6 февраля 2015 г. № 5 «О разработке концепции создания Евразийского инжинирингового центра по станкостроению».</w:t>
      </w:r>
    </w:p>
    <w:p w:rsidR="00CD5702" w:rsidRPr="00F313FD" w:rsidRDefault="00CE3AA2" w:rsidP="00F313FD">
      <w:pPr>
        <w:pStyle w:val="Bodytext20"/>
        <w:shd w:val="clear" w:color="auto" w:fill="auto"/>
        <w:spacing w:before="0" w:after="120" w:line="240" w:lineRule="auto"/>
        <w:ind w:left="420" w:firstLine="700"/>
        <w:jc w:val="left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Правовой основой создания Евразийского инжинирингового центра по станкостроению (далее - Инжиниринговый центр) являются: Решение Евразийского межправительственного совета</w:t>
      </w:r>
    </w:p>
    <w:p w:rsidR="00CD5702" w:rsidRPr="00F313FD" w:rsidRDefault="00CE3AA2" w:rsidP="00F313FD">
      <w:pPr>
        <w:pStyle w:val="Bodytext20"/>
        <w:shd w:val="clear" w:color="auto" w:fill="auto"/>
        <w:spacing w:before="0" w:after="120" w:line="240" w:lineRule="auto"/>
        <w:ind w:left="420" w:firstLine="0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от 8 сентября 2015 г. № 9 «Об основных направлениях промышленного сотрудничества в рамках Евразийского экономического союза»;</w:t>
      </w:r>
    </w:p>
    <w:p w:rsidR="00CD5702" w:rsidRPr="00F313FD" w:rsidRDefault="00CE3AA2" w:rsidP="00F313FD">
      <w:pPr>
        <w:pStyle w:val="Bodytext20"/>
        <w:shd w:val="clear" w:color="auto" w:fill="auto"/>
        <w:spacing w:before="0" w:after="120" w:line="240" w:lineRule="auto"/>
        <w:ind w:left="420" w:firstLine="700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подпункт 5 пункта 4 и подпункты 2 и 4 пункта 9 статьи 92 Договора о Евразийском экономическом союзе от 29 мая 2014 года.</w:t>
      </w:r>
    </w:p>
    <w:p w:rsidR="00CD5702" w:rsidRPr="00F313FD" w:rsidRDefault="00CE3AA2" w:rsidP="00F313FD">
      <w:pPr>
        <w:pStyle w:val="Bodytext20"/>
        <w:shd w:val="clear" w:color="auto" w:fill="auto"/>
        <w:spacing w:before="0" w:after="120" w:line="240" w:lineRule="auto"/>
        <w:ind w:left="420" w:firstLine="700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Для целей настоящей Концепции понятие «инжиниринговые услуги» используется в значении, определенном в приложении № 18 к Договору о Евразийском экономическом союзе от 29 мая 2014 года.</w:t>
      </w:r>
    </w:p>
    <w:p w:rsidR="00CD5702" w:rsidRDefault="00CE3AA2" w:rsidP="00F313FD">
      <w:pPr>
        <w:pStyle w:val="Bodytext20"/>
        <w:shd w:val="clear" w:color="auto" w:fill="auto"/>
        <w:spacing w:before="0" w:after="120" w:line="240" w:lineRule="auto"/>
        <w:ind w:left="420" w:firstLine="700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Инжиниринговый центр открыт для присоединения к нему государств - членов Евразийского экономического союза.</w:t>
      </w:r>
    </w:p>
    <w:p w:rsidR="008E3C49" w:rsidRPr="00F313FD" w:rsidRDefault="008E3C49" w:rsidP="00F313FD">
      <w:pPr>
        <w:pStyle w:val="Bodytext20"/>
        <w:shd w:val="clear" w:color="auto" w:fill="auto"/>
        <w:spacing w:before="0" w:after="120" w:line="240" w:lineRule="auto"/>
        <w:ind w:left="420" w:firstLine="700"/>
        <w:rPr>
          <w:rFonts w:ascii="Sylfaen" w:hAnsi="Sylfaen"/>
          <w:sz w:val="24"/>
          <w:szCs w:val="24"/>
        </w:rPr>
      </w:pPr>
    </w:p>
    <w:p w:rsidR="00CD5702" w:rsidRPr="00F313FD" w:rsidRDefault="00F313FD" w:rsidP="008E3C49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II.</w:t>
      </w:r>
      <w:r>
        <w:rPr>
          <w:rFonts w:ascii="Sylfaen" w:hAnsi="Sylfaen"/>
          <w:sz w:val="24"/>
          <w:szCs w:val="24"/>
        </w:rPr>
        <w:t xml:space="preserve"> </w:t>
      </w:r>
      <w:r w:rsidR="00CE3AA2" w:rsidRPr="00F313FD">
        <w:rPr>
          <w:rFonts w:ascii="Sylfaen" w:hAnsi="Sylfaen"/>
          <w:sz w:val="24"/>
          <w:szCs w:val="24"/>
        </w:rPr>
        <w:t>Обоснование целесообразности создания Инжинирингового центра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Деятельность Инжинирингового центра направлена на</w:t>
      </w:r>
      <w:r w:rsidR="008E3C49">
        <w:rPr>
          <w:rFonts w:ascii="Sylfaen" w:hAnsi="Sylfaen"/>
          <w:sz w:val="24"/>
          <w:szCs w:val="24"/>
        </w:rPr>
        <w:t xml:space="preserve"> </w:t>
      </w:r>
      <w:r w:rsidRPr="00F313FD">
        <w:rPr>
          <w:rFonts w:ascii="Sylfaen" w:hAnsi="Sylfaen"/>
          <w:sz w:val="24"/>
          <w:szCs w:val="24"/>
        </w:rPr>
        <w:t>формирование инновационных решений в производственных процессах в целях обеспечения содействия переходу к новому технологическому укладу промышленности государств - членов Евразийского</w:t>
      </w:r>
      <w:r w:rsidR="008E3C49">
        <w:rPr>
          <w:rFonts w:ascii="Sylfaen" w:hAnsi="Sylfaen"/>
          <w:sz w:val="24"/>
          <w:szCs w:val="24"/>
        </w:rPr>
        <w:t xml:space="preserve"> </w:t>
      </w:r>
      <w:r w:rsidRPr="00F313FD">
        <w:rPr>
          <w:rFonts w:ascii="Sylfaen" w:hAnsi="Sylfaen"/>
          <w:sz w:val="24"/>
          <w:szCs w:val="24"/>
        </w:rPr>
        <w:t>экономического союза (далее соответственно - государства-члены, Союз), а также сервис-ориентированной модели промышленного производства.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Необходимость создания Инжинирингового центра обусловлена потребностью обеспечения устойчивого социально-экономического развития государств-членов.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lastRenderedPageBreak/>
        <w:t>Высокий уровень развития средств производства обеспечивает технологический уровень развития, инновационноемкость и конкурентоспособность машиностроения.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Необходимость развития конструкторско-технологического потенциала государств-членов обусловлена значительной степенью износа оборудования в отрасли машиностроения, который в среднем по Союзу достигает 70 процентов.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В государствах-членах на модернизацию промышленности привлекаются существенные объемы средств.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В 2015 - 2020 годах программными документами</w:t>
      </w:r>
      <w:r w:rsidR="008E3C49">
        <w:rPr>
          <w:rFonts w:ascii="Sylfaen" w:hAnsi="Sylfaen"/>
          <w:sz w:val="24"/>
          <w:szCs w:val="24"/>
        </w:rPr>
        <w:t xml:space="preserve"> </w:t>
      </w:r>
      <w:r w:rsidRPr="00F313FD">
        <w:rPr>
          <w:rFonts w:ascii="Sylfaen" w:hAnsi="Sylfaen"/>
          <w:sz w:val="24"/>
          <w:szCs w:val="24"/>
        </w:rPr>
        <w:t>государств-членов на развитие машиностроительного производства предусматривается выделение из государственных бюджетов около 32 млрд, долларов США, из которых на закупку средств производства для машиностроения планируется направлять ежегодно более 2 млрд, долларов США.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Вместе с тем в настоящее время потребность промышленных предприятий государств-членов в оборудовании удовлетворяется преимущественно за счет импорта. Так, продукция иностранных производителей составляет 90 процентов закупаемого станочного оборудования.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Экспорт товаров и технологий двойного назначения из развитых стран ограничен Вассенаарскими договоренностями, которые сдерживают поставку более 30 позиций станочного оборудования, обладающего наиболее современными по точности, производительности и новизне технологий характеристиками. Запрет на экспорт также регламентируется национальными документами в рамках экспортного контроля и Регламентом Совета (ЕС) от 19 апреля 2012 г. № 388/2012. Ограничение распространяется на «сложные» станки следующих групп: токарные и фрезерные станки с точностью выше 6 микрометров, шлифовальные станки с точностью выше 3 микрометров, синхронные пятикоординатные станки, а также на программное обеспечение к указанным категориям станков.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В промышленно развитых странах обновление средств производства происходит каждые 7 - 10 лет, что обеспечивает своевременный переход промышленности на очередной новый технологический уклад.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Стратегические инициативы мировых лидеров, таких как Германия и Китай направлены на усиление конкурентных преимуществ экономик этих двух государств путем трансформации их промышленных комплексов в будущий технологический уклад - «цифровую промышленность» путем развития инжиниринга и взаимного трансфера технологий.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 xml:space="preserve">В настоящее время уже достигнуто соглашение между Германией и Китаем о базовых принципах сопряжения национальных промышленных стратегий </w:t>
      </w:r>
      <w:r w:rsidRPr="00F313FD">
        <w:rPr>
          <w:rFonts w:ascii="Sylfaen" w:hAnsi="Sylfaen"/>
          <w:sz w:val="24"/>
          <w:szCs w:val="24"/>
          <w:lang w:eastAsia="en-US" w:bidi="en-US"/>
        </w:rPr>
        <w:t>«</w:t>
      </w:r>
      <w:r w:rsidRPr="00F313FD">
        <w:rPr>
          <w:rFonts w:ascii="Sylfaen" w:hAnsi="Sylfaen"/>
          <w:sz w:val="24"/>
          <w:szCs w:val="24"/>
          <w:lang w:val="en-US" w:eastAsia="en-US" w:bidi="en-US"/>
        </w:rPr>
        <w:t>Industry</w:t>
      </w:r>
      <w:r w:rsidRPr="00F313F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313FD">
        <w:rPr>
          <w:rFonts w:ascii="Sylfaen" w:hAnsi="Sylfaen"/>
          <w:sz w:val="24"/>
          <w:szCs w:val="24"/>
        </w:rPr>
        <w:t xml:space="preserve">4.0» (Германия) и </w:t>
      </w:r>
      <w:r w:rsidRPr="00F313FD">
        <w:rPr>
          <w:rFonts w:ascii="Sylfaen" w:hAnsi="Sylfaen"/>
          <w:sz w:val="24"/>
          <w:szCs w:val="24"/>
          <w:lang w:eastAsia="en-US" w:bidi="en-US"/>
        </w:rPr>
        <w:t>«</w:t>
      </w:r>
      <w:r w:rsidRPr="00F313FD">
        <w:rPr>
          <w:rFonts w:ascii="Sylfaen" w:hAnsi="Sylfaen"/>
          <w:sz w:val="24"/>
          <w:szCs w:val="24"/>
          <w:lang w:val="en-US" w:eastAsia="en-US" w:bidi="en-US"/>
        </w:rPr>
        <w:t>Made</w:t>
      </w:r>
      <w:r w:rsidRPr="00F313F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313FD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F313F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313FD">
        <w:rPr>
          <w:rFonts w:ascii="Sylfaen" w:hAnsi="Sylfaen"/>
          <w:sz w:val="24"/>
          <w:szCs w:val="24"/>
          <w:lang w:val="en-US" w:eastAsia="en-US" w:bidi="en-US"/>
        </w:rPr>
        <w:t>China</w:t>
      </w:r>
      <w:r w:rsidRPr="00F313F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313FD">
        <w:rPr>
          <w:rFonts w:ascii="Sylfaen" w:hAnsi="Sylfaen"/>
          <w:sz w:val="24"/>
          <w:szCs w:val="24"/>
        </w:rPr>
        <w:t xml:space="preserve">2025» (Китай). Данное соглашение предполагает совместные действия стран по повышению эффективности защиты каналов передачи данных и защите прав на интеллектуальную собственность, а также совместную работу государственных органов Германии и Китая по созданию единых стандартов будущего технологического уклада. В рамках вышеуказанных национальных </w:t>
      </w:r>
      <w:r w:rsidRPr="00F313FD">
        <w:rPr>
          <w:rFonts w:ascii="Sylfaen" w:hAnsi="Sylfaen"/>
          <w:sz w:val="24"/>
          <w:szCs w:val="24"/>
        </w:rPr>
        <w:lastRenderedPageBreak/>
        <w:t>программ предусмотрена поддержка развития и освоения критических технологий, в качестве которых определены программное обеспечение, облачные базы данных, робототехника, радиочастотная идентификация, сенсоры.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По итогам 2014 года объем мирового рынка инжиниринговых услуг составил 783 млрд, долларов США (75 процентов - доля строительного инжиниринга, 25 процентов - консультационный, технологический и иные виды инжиниринга).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Совокупная доля государств-членов в мировом рынке технологического инжиниринга составляет 1 процент. При этом рынок инжиниринговых услуг Союза в целом, включая строительный инжиниринг, составляет примерно 5 процентов. В настоящее время потребности государств-членов в комплексном инжиниринге</w:t>
      </w:r>
      <w:r w:rsidR="008E3C49">
        <w:rPr>
          <w:rFonts w:ascii="Sylfaen" w:hAnsi="Sylfaen"/>
          <w:sz w:val="24"/>
          <w:szCs w:val="24"/>
        </w:rPr>
        <w:t xml:space="preserve"> </w:t>
      </w:r>
      <w:r w:rsidRPr="00F313FD">
        <w:rPr>
          <w:rFonts w:ascii="Sylfaen" w:hAnsi="Sylfaen"/>
          <w:sz w:val="24"/>
          <w:szCs w:val="24"/>
        </w:rPr>
        <w:t>удовлетворяются преимущественно иностранными компаниями.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Недостаточное инвестирование в разработки в отрасли</w:t>
      </w:r>
      <w:r w:rsidR="008E3C49">
        <w:rPr>
          <w:rFonts w:ascii="Sylfaen" w:hAnsi="Sylfaen"/>
          <w:sz w:val="24"/>
          <w:szCs w:val="24"/>
        </w:rPr>
        <w:t xml:space="preserve"> </w:t>
      </w:r>
      <w:r w:rsidRPr="00F313FD">
        <w:rPr>
          <w:rFonts w:ascii="Sylfaen" w:hAnsi="Sylfaen"/>
          <w:sz w:val="24"/>
          <w:szCs w:val="24"/>
        </w:rPr>
        <w:t>станкостроения в течение последних лет обусловило критическое отставание в развитии отрасли станкостроения и смежных отраслей в государствах-членах. Разработки, полученные в результате реализации государственных программ, могут внедряться частными компаниями только при получении соответствующего разрешения</w:t>
      </w:r>
      <w:r w:rsidR="008E3C49">
        <w:rPr>
          <w:rFonts w:ascii="Sylfaen" w:hAnsi="Sylfaen"/>
          <w:sz w:val="24"/>
          <w:szCs w:val="24"/>
        </w:rPr>
        <w:t xml:space="preserve"> </w:t>
      </w:r>
      <w:r w:rsidRPr="00F313FD">
        <w:rPr>
          <w:rFonts w:ascii="Sylfaen" w:hAnsi="Sylfaen"/>
          <w:sz w:val="24"/>
          <w:szCs w:val="24"/>
        </w:rPr>
        <w:t>государства-члена, поскольку их правообладателем является</w:t>
      </w:r>
      <w:r w:rsidR="008E3C49">
        <w:rPr>
          <w:rFonts w:ascii="Sylfaen" w:hAnsi="Sylfaen"/>
          <w:sz w:val="24"/>
          <w:szCs w:val="24"/>
        </w:rPr>
        <w:t xml:space="preserve"> </w:t>
      </w:r>
      <w:r w:rsidRPr="00F313FD">
        <w:rPr>
          <w:rFonts w:ascii="Sylfaen" w:hAnsi="Sylfaen"/>
          <w:sz w:val="24"/>
          <w:szCs w:val="24"/>
        </w:rPr>
        <w:t>государство.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Анализ государственных программ государств-членов показал, что выделение средств на научно-исследовательские</w:t>
      </w:r>
      <w:r w:rsidR="008E3C49">
        <w:rPr>
          <w:rFonts w:ascii="Sylfaen" w:hAnsi="Sylfaen"/>
          <w:sz w:val="24"/>
          <w:szCs w:val="24"/>
        </w:rPr>
        <w:t xml:space="preserve"> </w:t>
      </w:r>
      <w:r w:rsidRPr="00F313FD">
        <w:rPr>
          <w:rFonts w:ascii="Sylfaen" w:hAnsi="Sylfaen"/>
          <w:sz w:val="24"/>
          <w:szCs w:val="24"/>
        </w:rPr>
        <w:t>и опытно-конструкторские разработки в сфере станкостроения осуществляется государствами-членами следующим образом: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в Республике Беларусь с 2013 по 2015 годы выделено 14 млрд, белорусских рублей;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в Российской Федерации с 2014 по 2016 годы предусмотрено бюджетное финансирование около 0,7 млрд, российских рублей;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в Республике Армения не предусмотрено выделение средств на развитие отрасли станкостроения. Программой мероприятий в секторе точного машиностроения на 2012 - 2015 годы по реализации стратегии промышленной политики Республики Армения предусмотрено 6 стратегических направлений, включая содействие инновациям и развитие возможностей. Содействие инновациям включает в себя мероприятия по усовершенствованию системы защиты интеллектуальной собственности;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в Республике Казахстан Государственной программой индустриально-инновационного развития Республики Казахстан на 2015 - 2019 годы, утвержденной Указом Президента Республики Казахстан от 1 августа 2014 г. № 874, не предусмотрено выделение средств на развитие отрасли станкостроения, в то же время отдается приоритет развитию сервисных и инжиниринговых услуг на базе малого и среднего бизнеса в приоритетных секторах (агрохимия, автомобилестроение, электрооборудование, сельскохозяйственное машиностроение, железнодорожное машиностроение, производство машин и оборудования для горнодобывающей промышленности,</w:t>
      </w:r>
      <w:r w:rsidR="008E3C49">
        <w:rPr>
          <w:rFonts w:ascii="Sylfaen" w:hAnsi="Sylfaen"/>
          <w:sz w:val="24"/>
          <w:szCs w:val="24"/>
        </w:rPr>
        <w:t xml:space="preserve"> </w:t>
      </w:r>
      <w:r w:rsidRPr="00F313FD">
        <w:rPr>
          <w:rFonts w:ascii="Sylfaen" w:hAnsi="Sylfaen"/>
          <w:sz w:val="24"/>
          <w:szCs w:val="24"/>
        </w:rPr>
        <w:t xml:space="preserve">нефтегазовое машиностроение). В том числе планируется создание следующих кластеров в рамках научного парка кластера </w:t>
      </w:r>
      <w:r w:rsidRPr="00F313FD">
        <w:rPr>
          <w:rFonts w:ascii="Sylfaen" w:hAnsi="Sylfaen"/>
          <w:sz w:val="24"/>
          <w:szCs w:val="24"/>
        </w:rPr>
        <w:lastRenderedPageBreak/>
        <w:t>«Назарбаев Университет»: геологический кластер, кластер информационно-коммуникационных технологий, кластер инжиниринга (возобновляемая энергетика, космические технологии), биомедицинский кластер.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 xml:space="preserve">В настоящее время на пространстве Союза отсутствуют действующие программы развития промышленной робототехники (российские программы </w:t>
      </w:r>
      <w:r w:rsidRPr="00F313FD">
        <w:rPr>
          <w:rFonts w:ascii="Sylfaen" w:hAnsi="Sylfaen"/>
          <w:sz w:val="24"/>
          <w:szCs w:val="24"/>
          <w:lang w:eastAsia="en-US" w:bidi="en-US"/>
        </w:rPr>
        <w:t>«</w:t>
      </w:r>
      <w:proofErr w:type="spellStart"/>
      <w:r w:rsidRPr="00F313FD">
        <w:rPr>
          <w:rFonts w:ascii="Sylfaen" w:hAnsi="Sylfaen"/>
          <w:sz w:val="24"/>
          <w:szCs w:val="24"/>
          <w:lang w:val="en-US" w:eastAsia="en-US" w:bidi="en-US"/>
        </w:rPr>
        <w:t>AutoNet</w:t>
      </w:r>
      <w:proofErr w:type="spellEnd"/>
      <w:r w:rsidRPr="00F313FD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F313FD">
        <w:rPr>
          <w:rFonts w:ascii="Sylfaen" w:hAnsi="Sylfaen"/>
          <w:sz w:val="24"/>
          <w:szCs w:val="24"/>
        </w:rPr>
        <w:t xml:space="preserve">и </w:t>
      </w:r>
      <w:r w:rsidRPr="00F313FD">
        <w:rPr>
          <w:rFonts w:ascii="Sylfaen" w:hAnsi="Sylfaen"/>
          <w:sz w:val="24"/>
          <w:szCs w:val="24"/>
          <w:lang w:eastAsia="en-US" w:bidi="en-US"/>
        </w:rPr>
        <w:t>«</w:t>
      </w:r>
      <w:proofErr w:type="spellStart"/>
      <w:r w:rsidRPr="00F313FD">
        <w:rPr>
          <w:rFonts w:ascii="Sylfaen" w:hAnsi="Sylfaen"/>
          <w:sz w:val="24"/>
          <w:szCs w:val="24"/>
          <w:lang w:val="en-US" w:eastAsia="en-US" w:bidi="en-US"/>
        </w:rPr>
        <w:t>AeroNet</w:t>
      </w:r>
      <w:proofErr w:type="spellEnd"/>
      <w:r w:rsidRPr="00F313FD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F313FD">
        <w:rPr>
          <w:rFonts w:ascii="Sylfaen" w:hAnsi="Sylfaen"/>
          <w:sz w:val="24"/>
          <w:szCs w:val="24"/>
        </w:rPr>
        <w:t>направлены на сегмент сервисных роботов). В тоже время согласно программным документам государств-членов робототехника является приоритетным направлением развития промышленности для Республики Армения, Республики Беларусь, Республики Казахстан и Российской Федерации.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Восстановление полномасштабного научного и производственного потенциала требует значительных финансовых и интеллектуальных усилий и является актуальным для всех государств-членов. При этом возникает необходимость концентрации имеющихся ресурсов государств-членов и их максимально эффективного использования.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Инжиниринговый центр призван объединить инновационный потенциал государств-членов для обеспечения отрасли машиностроения средствами производства, оптимизации доступа промышленных предприятий государств-членов к имеющимся в государствах-членах технологиям, а также для использования возможностей государств-членов для обеспечения доступа к наиболее современным мировым технологиям и разработкам.</w:t>
      </w:r>
    </w:p>
    <w:p w:rsidR="008E3C49" w:rsidRDefault="008E3C49" w:rsidP="00F313FD">
      <w:pPr>
        <w:pStyle w:val="Bodytext20"/>
        <w:shd w:val="clear" w:color="auto" w:fill="auto"/>
        <w:spacing w:before="0" w:after="120" w:line="240" w:lineRule="auto"/>
        <w:ind w:left="2900" w:right="1940"/>
        <w:jc w:val="left"/>
        <w:rPr>
          <w:rFonts w:ascii="Sylfaen" w:hAnsi="Sylfaen"/>
          <w:sz w:val="24"/>
          <w:szCs w:val="24"/>
        </w:rPr>
      </w:pPr>
    </w:p>
    <w:p w:rsidR="00CD5702" w:rsidRPr="00F313FD" w:rsidRDefault="00F313FD" w:rsidP="008E3C49">
      <w:pPr>
        <w:pStyle w:val="Bodytext20"/>
        <w:shd w:val="clear" w:color="auto" w:fill="auto"/>
        <w:spacing w:before="0" w:after="120" w:line="240" w:lineRule="auto"/>
        <w:ind w:left="2268" w:right="2269" w:hanging="48"/>
        <w:jc w:val="center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III.</w:t>
      </w:r>
      <w:r>
        <w:rPr>
          <w:rFonts w:ascii="Sylfaen" w:hAnsi="Sylfaen"/>
          <w:sz w:val="24"/>
          <w:szCs w:val="24"/>
        </w:rPr>
        <w:t xml:space="preserve"> </w:t>
      </w:r>
      <w:r w:rsidR="00CE3AA2" w:rsidRPr="00F313FD">
        <w:rPr>
          <w:rFonts w:ascii="Sylfaen" w:hAnsi="Sylfaen"/>
          <w:sz w:val="24"/>
          <w:szCs w:val="24"/>
        </w:rPr>
        <w:t>Цели и задачи Инжинирингового центра, а также механизмы их реализации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Инжиниринговый центр оказывает инжиниринговые услуги.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Государства-члены создают Инжиниринговый центр и его элементы (центры компетенций) исходя из своих национальных приоритетов.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В деятельности Инжинирингового центра должен максимально использоваться научный и производственный потенциал государств-членов.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Основными целями деятельности Инжинирингового центра являются разработка инновационных технологических решений и содействие их внедрению в производственные процессы машиностроительных комплексов государств-членов.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Основными задачами деятельности Инжинирингового центра являются: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долгосрочное прогнозирование и выработка предложений по направлениям развития отрасли станкостроения и смежных отраслей;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содействие внедрению современных и инновационных</w:t>
      </w:r>
      <w:r w:rsidR="008E3C49">
        <w:rPr>
          <w:rFonts w:ascii="Sylfaen" w:hAnsi="Sylfaen"/>
          <w:sz w:val="24"/>
          <w:szCs w:val="24"/>
        </w:rPr>
        <w:t xml:space="preserve"> </w:t>
      </w:r>
      <w:r w:rsidRPr="00F313FD">
        <w:rPr>
          <w:rFonts w:ascii="Sylfaen" w:hAnsi="Sylfaen"/>
          <w:sz w:val="24"/>
          <w:szCs w:val="24"/>
        </w:rPr>
        <w:t>технологий мирового уровня в производственные процессы машиностроительных предприятий государств-членов;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 xml:space="preserve">выработка предложений по эффективному использованию производственных мощностей государств-членов и технологическому оснащению новых </w:t>
      </w:r>
      <w:r w:rsidRPr="00F313FD">
        <w:rPr>
          <w:rFonts w:ascii="Sylfaen" w:hAnsi="Sylfaen"/>
          <w:sz w:val="24"/>
          <w:szCs w:val="24"/>
        </w:rPr>
        <w:lastRenderedPageBreak/>
        <w:t>машиностроительных предприятий для взаимовыгодного развития машиностроительных комплексов;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реализация совместных кооперационных проектов по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модернизации машиностроительных предприятий государств-членов и содействие трансферу современных и инновационных технологий из третьих стран и на территориях государств-членов;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совершенствование подходов по определению качества совместно произведенных предприятиями государств-членов средств производства для отрасли машиностроения;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развитие экспортного потенциала высокотехнологичной совместно произведенной продукции (создание конкурентоспособных средств производства на территориях государств-членов);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содействие развитию кадрового потенциала в отрасли станкостроения и смежных отраслях;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формирование сервис-ориентированной модели жизненного цикла продукции.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Для реализации указанных задач Инжиниринговый центр использует следующие механизмы: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аналитические исследования мировых тенденций, изменений внешней и внутренней рыночной конъюнктуры по конкретным товарам, отраслям, видам производств;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формирование обновляемого перечня перспективных технологических решений, востребованных в приоритетных отраслях экономики;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содействие обмену информацией между государствами-членами, разработка перспективных средств производства для машиностроения (включая научно-исследовательские и опытно-конструкторские разработки);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использование единого электронного банка данных освоенных (планируемых к разработке) технологий;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расширение взаимодействия и обмен опытом с заинтересованными производителями и объектами инновационной инфраструктуры, в том числе с мировыми технологическими лидерами, включая транснациональные корпорации;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оценка эффективности проектов по модернизации машиностроительных предприятий (технологический и энергетический аудит);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подготовка заключений Инжинирингового центра, включающих в себя предложения по оптимизации и повышению эффективности производства;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содействие увеличению доли машиностроительной продукции государств-членов на общем рынке Союза и поэтапному повышению локализации производства;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 xml:space="preserve">разработка рациональных кооперационных цепочек производства </w:t>
      </w:r>
      <w:r w:rsidRPr="00F313FD">
        <w:rPr>
          <w:rFonts w:ascii="Sylfaen" w:hAnsi="Sylfaen"/>
          <w:sz w:val="24"/>
          <w:szCs w:val="24"/>
        </w:rPr>
        <w:lastRenderedPageBreak/>
        <w:t>высокотехнологичной продукции с учетом потенциала машиностроительных предприятий при взаимодействии с объектами инновационной инфраструктуры и институтами развития;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содействие развитию системы субконтрактации промышленной продукции;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разработка и внедрение стандарта менеджмента качества для организаций, производящих компонентную базу, используемую в отрасли станкостроения и смежных отраслях, с учетом внедрения корпоративных стандартов проектного управления и управления рисками реализации научно-исследовательских и опытноконструкторских разработок;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использование инструментов и механизмов институтов развития для продвижения на экспорт совместно произведенной продукции, в том числе инструментов финансирования лизинговых операций, страхования и снижения валютных рисков;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участие в выставочно-ярмарочной и экспозиционной деятельности, маркетинговых и имиджевых мероприятиях в третьих странах;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выработка предложений по эффективному сотрудничеству предприятий отрасли станкостроения и смежных отраслей и технических образовательных учреждений, осуществляющих подготовку кадров для машиностроения, в том числе формирование профессиональных стандартов;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 xml:space="preserve">содействие развитию движения </w:t>
      </w:r>
      <w:r w:rsidRPr="00F313FD">
        <w:rPr>
          <w:rFonts w:ascii="Sylfaen" w:hAnsi="Sylfaen"/>
          <w:sz w:val="24"/>
          <w:szCs w:val="24"/>
          <w:lang w:eastAsia="en-US" w:bidi="en-US"/>
        </w:rPr>
        <w:t>«</w:t>
      </w:r>
      <w:proofErr w:type="spellStart"/>
      <w:r w:rsidRPr="00F313FD">
        <w:rPr>
          <w:rFonts w:ascii="Sylfaen" w:hAnsi="Sylfaen"/>
          <w:sz w:val="24"/>
          <w:szCs w:val="24"/>
          <w:lang w:val="en-US" w:eastAsia="en-US" w:bidi="en-US"/>
        </w:rPr>
        <w:t>WorldSkills</w:t>
      </w:r>
      <w:proofErr w:type="spellEnd"/>
      <w:r w:rsidRPr="00F313FD">
        <w:rPr>
          <w:rFonts w:ascii="Sylfaen" w:hAnsi="Sylfaen"/>
          <w:sz w:val="24"/>
          <w:szCs w:val="24"/>
          <w:lang w:eastAsia="en-US" w:bidi="en-US"/>
        </w:rPr>
        <w:t xml:space="preserve">»; </w:t>
      </w:r>
      <w:r w:rsidRPr="00F313FD">
        <w:rPr>
          <w:rFonts w:ascii="Sylfaen" w:hAnsi="Sylfaen"/>
          <w:sz w:val="24"/>
          <w:szCs w:val="24"/>
        </w:rPr>
        <w:t>унификация компонентной базы для разрабатываемых средств производства и ее адаптация к выпускаемому оборудованию;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использование механизмов локализации производства компонентной базы для средств производства; дистанционное оказание сервисных услуг; развитие сети сервисного обслуживания средств производства; создание единой программной среды и унифицированного программного обеспечения для систем числового программного управления в сфере станкостроения.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В целях обеспечения наиболее эффективной деятельности Инжинирингового центра по решению государств-членов могут корректироваться задачи и механизмы их реализации, применяться механизмы государственной поддержки.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Инжиниринговым центром осуществляется подготовка предложений по формированию перечня продукции, производимой на территориях государств-членов, ведение которого осуществляется Комиссией с использованием интегрированной информационной системы Союза.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В отношении продукции, включенной в указанный перечень, Инжиниринговым центром по запросу Комиссии или государств-членов осуществляется подготовка: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заключений о наличии на территории Союза производства аналогов ввозимой продукции;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lastRenderedPageBreak/>
        <w:t>заключений о целесообразности изменения ставок ввозных таможенных пошлин Единого таможенного тарифа Евразийского экономического союза;</w:t>
      </w:r>
    </w:p>
    <w:p w:rsidR="00CD5702" w:rsidRDefault="00CE3AA2" w:rsidP="008E3C4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предложений по учету государствами-членами возможностей производителей других государств-членов при реализации национальных программ модернизации производства.</w:t>
      </w:r>
    </w:p>
    <w:p w:rsidR="008E3C49" w:rsidRPr="00F313FD" w:rsidRDefault="008E3C49" w:rsidP="00F313FD">
      <w:pPr>
        <w:pStyle w:val="Bodytext20"/>
        <w:shd w:val="clear" w:color="auto" w:fill="auto"/>
        <w:spacing w:before="0" w:after="120" w:line="240" w:lineRule="auto"/>
        <w:ind w:left="320" w:right="220" w:firstLine="700"/>
        <w:rPr>
          <w:rFonts w:ascii="Sylfaen" w:hAnsi="Sylfaen"/>
          <w:sz w:val="24"/>
          <w:szCs w:val="24"/>
        </w:rPr>
      </w:pPr>
    </w:p>
    <w:p w:rsidR="00CD5702" w:rsidRPr="00F313FD" w:rsidRDefault="00F313FD" w:rsidP="008E3C49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IV.</w:t>
      </w:r>
      <w:r>
        <w:rPr>
          <w:rFonts w:ascii="Sylfaen" w:hAnsi="Sylfaen"/>
          <w:sz w:val="24"/>
          <w:szCs w:val="24"/>
        </w:rPr>
        <w:t xml:space="preserve"> </w:t>
      </w:r>
      <w:r w:rsidR="00CE3AA2" w:rsidRPr="00F313FD">
        <w:rPr>
          <w:rFonts w:ascii="Sylfaen" w:hAnsi="Sylfaen"/>
          <w:sz w:val="24"/>
          <w:szCs w:val="24"/>
        </w:rPr>
        <w:t>Ожидаемые результаты деятельности Инжинирингового центра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По итогам деятельности Инжинирингового центра планируется достижение следующих результатов: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обеспечение равных условий доступа предприятий государств-членов к разработанным Инжиниринговым центром технологиям и инновационной продукции;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увеличение доли высокотехнологичной продукции в общем объеме производства станочной продукции, в том числе комплектующих (числового программного управления, программного обеспечения, приводов), до 30 процентов;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рост объема инвестиций в отрасль станкостроения и смежных отраслей и повышение затрат на технологические инновации (уровень затрат на инновации в Союзе в настоящее время в среднем составляет 1,35 процента ВВП);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рост кадрового потенциала в отрасли станкостроения и смежных отраслях, прежде всего в сфере проектирования средств производства, обеспечение привлекательности работы в отрасли станкостроения для молодых специалистов;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повышение уровня загрузки имеющихся и создаваемых мощностей станкостроительных предприятий.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Таким образом, создание Инжинирингового центра направлено на решение ключевых проблем управления технологическими процессами развития промышленных производств, определяющих темпы технического прогресса высокотехнологичных отраслей промышленности, уровень конкурентоспособности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машиностроительной продукции государств-членов и степень независимости и устойчивости развития экономик государств-членов.</w:t>
      </w:r>
    </w:p>
    <w:p w:rsidR="00CD5702" w:rsidRDefault="00CE3AA2" w:rsidP="008E3C4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Создание Инжинирингового центра обеспечит развитие технологических возможностей отраслей промышленности государств-членов на длительную перспективу и создание технической основы для повышения качества машиностроительной продукции, экономического роста и конкурентоспособности на мировых рынках высокотехнологичной машиностроительной продукции. Деятельность Инжинирингового центра будет способствовать интеграции промышленных комплексов государств-членов.</w:t>
      </w:r>
    </w:p>
    <w:p w:rsidR="008E3C49" w:rsidRPr="00F313FD" w:rsidRDefault="008E3C49" w:rsidP="00F313FD">
      <w:pPr>
        <w:pStyle w:val="Bodytext20"/>
        <w:shd w:val="clear" w:color="auto" w:fill="auto"/>
        <w:spacing w:before="0" w:after="120" w:line="240" w:lineRule="auto"/>
        <w:ind w:left="320" w:right="220" w:firstLine="720"/>
        <w:rPr>
          <w:rFonts w:ascii="Sylfaen" w:hAnsi="Sylfaen"/>
          <w:sz w:val="24"/>
          <w:szCs w:val="24"/>
        </w:rPr>
      </w:pPr>
    </w:p>
    <w:p w:rsidR="00CD5702" w:rsidRDefault="00F313FD" w:rsidP="008E3C49">
      <w:pPr>
        <w:pStyle w:val="Bodytext20"/>
        <w:shd w:val="clear" w:color="auto" w:fill="auto"/>
        <w:spacing w:before="0" w:after="120" w:line="240" w:lineRule="auto"/>
        <w:ind w:left="2268" w:right="2269" w:firstLine="0"/>
        <w:jc w:val="center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lastRenderedPageBreak/>
        <w:t>V.</w:t>
      </w:r>
      <w:r>
        <w:rPr>
          <w:rFonts w:ascii="Sylfaen" w:hAnsi="Sylfaen"/>
          <w:sz w:val="24"/>
          <w:szCs w:val="24"/>
        </w:rPr>
        <w:t xml:space="preserve"> </w:t>
      </w:r>
      <w:r w:rsidR="00CE3AA2" w:rsidRPr="00F313FD">
        <w:rPr>
          <w:rFonts w:ascii="Sylfaen" w:hAnsi="Sylfaen"/>
          <w:sz w:val="24"/>
          <w:szCs w:val="24"/>
        </w:rPr>
        <w:t>Организационно-правовая форма Инжинирингового центра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Организационно-правовая форма, местонахождение, структура и штатная численность Инжинирингового центра определяются учредительными документами. Государства-члены самостоятельно определяют учредителей Инжинирингового центра.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Каждое государство-член определяет организацию (производственную или научную организацию), наделяемую функциями национального координатора (далее - национальный координатор), отвечающего за развитие инновационной деятельности в государстве-члене, принимающем участие в работе Инжинирингового</w:t>
      </w:r>
      <w:r w:rsidR="008E3C49">
        <w:rPr>
          <w:rFonts w:ascii="Sylfaen" w:hAnsi="Sylfaen"/>
          <w:sz w:val="24"/>
          <w:szCs w:val="24"/>
        </w:rPr>
        <w:t xml:space="preserve"> </w:t>
      </w:r>
      <w:r w:rsidRPr="00F313FD">
        <w:rPr>
          <w:rFonts w:ascii="Sylfaen" w:hAnsi="Sylfaen"/>
          <w:sz w:val="24"/>
          <w:szCs w:val="24"/>
        </w:rPr>
        <w:t>центра. Состав национальных координаторов закреплен в учредительных документах Инжинирингового центра.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Управляющий орган, определенный в соответствии с учредительными документами Инжинирингового центра, формирует стратегию деятельности Инжинирингового центра, определяет основные направления научно-технического сотрудничества и совместных разработок, обеспечивает мониторинг национальных и совместных программ научно-исследовательских и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опытно-конструкторских разработок в сфере станкостроения и смежных отраслей, а также выдачу заключений о наличии производства аналогов ввозимого оборудования.</w:t>
      </w:r>
    </w:p>
    <w:p w:rsidR="00CD5702" w:rsidRDefault="00CE3AA2" w:rsidP="008E3C4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Инжиниринговый центр взаимодействует с Евразийской экономической комиссией в рамках Консультативного комитета по промышленности, созданного при Евразийской экономической комиссии.</w:t>
      </w:r>
    </w:p>
    <w:p w:rsidR="008E3C49" w:rsidRPr="00F313FD" w:rsidRDefault="008E3C49" w:rsidP="00F313FD">
      <w:pPr>
        <w:pStyle w:val="Bodytext20"/>
        <w:shd w:val="clear" w:color="auto" w:fill="auto"/>
        <w:spacing w:before="0" w:after="120" w:line="240" w:lineRule="auto"/>
        <w:ind w:left="300" w:right="240" w:firstLine="700"/>
        <w:rPr>
          <w:rFonts w:ascii="Sylfaen" w:hAnsi="Sylfaen"/>
          <w:sz w:val="24"/>
          <w:szCs w:val="24"/>
        </w:rPr>
      </w:pPr>
    </w:p>
    <w:p w:rsidR="00CD5702" w:rsidRPr="00F313FD" w:rsidRDefault="00F313FD" w:rsidP="00F313FD">
      <w:pPr>
        <w:pStyle w:val="Bodytext20"/>
        <w:shd w:val="clear" w:color="auto" w:fill="auto"/>
        <w:spacing w:before="0" w:after="120" w:line="240" w:lineRule="auto"/>
        <w:ind w:left="2760" w:right="2320" w:hanging="400"/>
        <w:jc w:val="left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VI.</w:t>
      </w:r>
      <w:r>
        <w:rPr>
          <w:rFonts w:ascii="Sylfaen" w:hAnsi="Sylfaen"/>
          <w:sz w:val="24"/>
          <w:szCs w:val="24"/>
        </w:rPr>
        <w:t xml:space="preserve"> </w:t>
      </w:r>
      <w:r w:rsidR="00CE3AA2" w:rsidRPr="00F313FD">
        <w:rPr>
          <w:rFonts w:ascii="Sylfaen" w:hAnsi="Sylfaen"/>
          <w:sz w:val="24"/>
          <w:szCs w:val="24"/>
        </w:rPr>
        <w:t>Научно-техническое сотрудничество в рамках Инжинирингового центра</w:t>
      </w:r>
    </w:p>
    <w:p w:rsidR="00CD5702" w:rsidRPr="00F313FD" w:rsidRDefault="00CE3AA2" w:rsidP="00F313FD">
      <w:pPr>
        <w:pStyle w:val="Bodytext20"/>
        <w:shd w:val="clear" w:color="auto" w:fill="auto"/>
        <w:spacing w:before="0" w:after="120" w:line="240" w:lineRule="auto"/>
        <w:ind w:left="300" w:right="240" w:firstLine="700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Инжиниринговый центр прогнозирует потребности машиностроения и перспективные ниши для развития средств производства и предметов труда, формирует обновляемый перечень перспективных технологических решений, востребованных в приоритетных отраслях экономики.</w:t>
      </w: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left="300" w:right="240" w:firstLine="700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В целях обеспечения кооперации в научно-технической сфере формируются Евразийские технологические платформы. Совместная работа Инжинирингового центра как интегратора технологического развития в сфере станкостроения и технологических платформ как операторов научного сотрудничества должно позволить создаваемым</w:t>
      </w:r>
      <w:r w:rsidR="008E3C49">
        <w:rPr>
          <w:rFonts w:ascii="Sylfaen" w:hAnsi="Sylfaen"/>
          <w:sz w:val="24"/>
          <w:szCs w:val="24"/>
        </w:rPr>
        <w:t xml:space="preserve"> </w:t>
      </w:r>
      <w:r w:rsidRPr="00F313FD">
        <w:rPr>
          <w:rFonts w:ascii="Sylfaen" w:hAnsi="Sylfaen"/>
          <w:sz w:val="24"/>
          <w:szCs w:val="24"/>
        </w:rPr>
        <w:t>структурам более эффективно соответствовать существующим технологическим вызовам и в конечном итоге обеспечить промышленный комплекс Союза современными средствами производства.</w:t>
      </w:r>
    </w:p>
    <w:p w:rsidR="00CD5702" w:rsidRPr="00F313FD" w:rsidRDefault="00CD5702" w:rsidP="00F313FD">
      <w:pPr>
        <w:spacing w:after="120"/>
        <w:rPr>
          <w:rFonts w:ascii="Sylfaen" w:hAnsi="Sylfaen"/>
        </w:rPr>
        <w:sectPr w:rsidR="00CD5702" w:rsidRPr="00F313FD" w:rsidSect="00F313FD">
          <w:pgSz w:w="11909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CD5702" w:rsidRPr="00F313FD" w:rsidRDefault="00CE3AA2" w:rsidP="008E3C49">
      <w:pPr>
        <w:pStyle w:val="Bodytext20"/>
        <w:shd w:val="clear" w:color="auto" w:fill="auto"/>
        <w:spacing w:before="0" w:after="120" w:line="240" w:lineRule="auto"/>
        <w:ind w:left="10540" w:right="-30" w:firstLine="0"/>
        <w:jc w:val="center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lastRenderedPageBreak/>
        <w:t>ПРИЛОЖЕНИЕ</w:t>
      </w:r>
    </w:p>
    <w:p w:rsidR="00CD5702" w:rsidRDefault="00CE3AA2" w:rsidP="008E3C49">
      <w:pPr>
        <w:pStyle w:val="Bodytext20"/>
        <w:shd w:val="clear" w:color="auto" w:fill="auto"/>
        <w:spacing w:before="0" w:after="120" w:line="240" w:lineRule="auto"/>
        <w:ind w:left="10540" w:right="-30" w:firstLine="0"/>
        <w:jc w:val="center"/>
        <w:rPr>
          <w:rFonts w:ascii="Sylfaen" w:hAnsi="Sylfaen"/>
          <w:sz w:val="24"/>
          <w:szCs w:val="24"/>
        </w:rPr>
      </w:pPr>
      <w:r w:rsidRPr="00F313FD">
        <w:rPr>
          <w:rFonts w:ascii="Sylfaen" w:hAnsi="Sylfaen"/>
          <w:sz w:val="24"/>
          <w:szCs w:val="24"/>
        </w:rPr>
        <w:t>к Концепции создания Евразийского инжинирингового центра по станкостроению</w:t>
      </w:r>
    </w:p>
    <w:p w:rsidR="008E3C49" w:rsidRPr="00F313FD" w:rsidRDefault="008E3C49" w:rsidP="008E3C49">
      <w:pPr>
        <w:pStyle w:val="Bodytext20"/>
        <w:shd w:val="clear" w:color="auto" w:fill="auto"/>
        <w:spacing w:before="0" w:after="120" w:line="240" w:lineRule="auto"/>
        <w:ind w:left="10540" w:right="-30" w:firstLine="0"/>
        <w:jc w:val="center"/>
        <w:rPr>
          <w:rFonts w:ascii="Sylfaen" w:hAnsi="Sylfaen"/>
          <w:sz w:val="24"/>
          <w:szCs w:val="24"/>
        </w:rPr>
      </w:pPr>
    </w:p>
    <w:p w:rsidR="00CD5702" w:rsidRDefault="00CE3AA2" w:rsidP="008E3C49">
      <w:pPr>
        <w:pStyle w:val="Heading10"/>
        <w:shd w:val="clear" w:color="auto" w:fill="auto"/>
        <w:spacing w:before="0" w:after="120" w:line="240" w:lineRule="auto"/>
        <w:ind w:left="2835" w:right="2947" w:firstLine="0"/>
        <w:rPr>
          <w:rFonts w:ascii="Sylfaen" w:hAnsi="Sylfaen"/>
          <w:sz w:val="24"/>
          <w:szCs w:val="24"/>
        </w:rPr>
      </w:pPr>
      <w:bookmarkStart w:id="3" w:name="bookmark4"/>
      <w:r w:rsidRPr="00F313FD">
        <w:rPr>
          <w:rFonts w:ascii="Sylfaen" w:hAnsi="Sylfaen"/>
          <w:sz w:val="24"/>
          <w:szCs w:val="24"/>
        </w:rPr>
        <w:t>Задачи, механизмы их реализации и результаты</w:t>
      </w:r>
      <w:r w:rsidR="008E3C49">
        <w:rPr>
          <w:rFonts w:ascii="Sylfaen" w:hAnsi="Sylfaen"/>
          <w:sz w:val="24"/>
          <w:szCs w:val="24"/>
        </w:rPr>
        <w:t xml:space="preserve"> </w:t>
      </w:r>
      <w:r w:rsidRPr="00F313FD">
        <w:rPr>
          <w:rFonts w:ascii="Sylfaen" w:hAnsi="Sylfaen"/>
          <w:sz w:val="24"/>
          <w:szCs w:val="24"/>
        </w:rPr>
        <w:t>деятельности Евразийского инжинирингового центра по станкостроению</w:t>
      </w:r>
      <w:bookmarkEnd w:id="3"/>
    </w:p>
    <w:p w:rsidR="008E3C49" w:rsidRPr="00F313FD" w:rsidRDefault="008E3C49" w:rsidP="00F313FD">
      <w:pPr>
        <w:pStyle w:val="Heading10"/>
        <w:shd w:val="clear" w:color="auto" w:fill="auto"/>
        <w:spacing w:before="0" w:after="120" w:line="240" w:lineRule="auto"/>
        <w:ind w:right="60" w:firstLine="0"/>
        <w:rPr>
          <w:rFonts w:ascii="Sylfaen" w:hAnsi="Sylfaen"/>
          <w:sz w:val="24"/>
          <w:szCs w:val="24"/>
        </w:rPr>
      </w:pPr>
    </w:p>
    <w:tbl>
      <w:tblPr>
        <w:tblOverlap w:val="never"/>
        <w:tblW w:w="14292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566"/>
        <w:gridCol w:w="5417"/>
        <w:gridCol w:w="5261"/>
        <w:gridCol w:w="16"/>
        <w:gridCol w:w="12"/>
        <w:gridCol w:w="20"/>
      </w:tblGrid>
      <w:tr w:rsidR="001059C2" w:rsidRPr="001059C2" w:rsidTr="001059C2">
        <w:trPr>
          <w:gridAfter w:val="3"/>
          <w:wAfter w:w="48" w:type="dxa"/>
          <w:tblHeader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Задача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Механизм реализации задачи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Результат</w:t>
            </w:r>
          </w:p>
        </w:tc>
      </w:tr>
      <w:tr w:rsidR="001059C2" w:rsidRPr="001059C2" w:rsidTr="001059C2">
        <w:trPr>
          <w:gridAfter w:val="3"/>
          <w:wAfter w:w="48" w:type="dxa"/>
        </w:trPr>
        <w:tc>
          <w:tcPr>
            <w:tcW w:w="3566" w:type="dxa"/>
            <w:tcBorders>
              <w:top w:val="single" w:sz="4" w:space="0" w:color="auto"/>
            </w:tcBorders>
            <w:shd w:val="clear" w:color="auto" w:fill="FFFFFF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1. Долгосрочное прогнозирование и выработка предложений по направлениям развития отрасли станкостроения и смежных отраслей</w:t>
            </w:r>
          </w:p>
        </w:tc>
        <w:tc>
          <w:tcPr>
            <w:tcW w:w="5417" w:type="dxa"/>
            <w:tcBorders>
              <w:top w:val="single" w:sz="4" w:space="0" w:color="auto"/>
            </w:tcBorders>
            <w:shd w:val="clear" w:color="auto" w:fill="FFFFFF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аналитические исследования мировых тенденций, изменений внешней и внутренней рыночной конъюнктуры по конкретным товарам, отраслям, видам производств</w:t>
            </w:r>
          </w:p>
        </w:tc>
        <w:tc>
          <w:tcPr>
            <w:tcW w:w="52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прогноз развития отрасли станкостроения и смежных отраслей</w:t>
            </w:r>
          </w:p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предложения Евразийского инжинирингового центра (далее - Инжиниринговый центр) по развитию отрасли станкостроения и смежных отраслей</w:t>
            </w:r>
          </w:p>
        </w:tc>
      </w:tr>
      <w:tr w:rsidR="001059C2" w:rsidRPr="001059C2" w:rsidTr="001059C2">
        <w:trPr>
          <w:gridAfter w:val="3"/>
          <w:wAfter w:w="48" w:type="dxa"/>
        </w:trPr>
        <w:tc>
          <w:tcPr>
            <w:tcW w:w="3566" w:type="dxa"/>
            <w:shd w:val="clear" w:color="auto" w:fill="FFFFFF"/>
          </w:tcPr>
          <w:p w:rsidR="00CD5702" w:rsidRPr="001059C2" w:rsidRDefault="00CD5702" w:rsidP="00F313FD">
            <w:pPr>
              <w:spacing w:after="120"/>
              <w:rPr>
                <w:rFonts w:ascii="Sylfaen" w:hAnsi="Sylfaen"/>
                <w:sz w:val="23"/>
                <w:szCs w:val="23"/>
              </w:rPr>
            </w:pPr>
          </w:p>
        </w:tc>
        <w:tc>
          <w:tcPr>
            <w:tcW w:w="5417" w:type="dxa"/>
            <w:shd w:val="clear" w:color="auto" w:fill="FFFFFF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формирование обновляемого перечня перспективных технологических решений, востребованных в приоритетных отраслях экономики</w:t>
            </w:r>
          </w:p>
        </w:tc>
        <w:tc>
          <w:tcPr>
            <w:tcW w:w="5261" w:type="dxa"/>
            <w:shd w:val="clear" w:color="auto" w:fill="FFFFFF"/>
            <w:vAlign w:val="bottom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перечень перспективных научно- исследовательских и опытно-конструкторских разработок</w:t>
            </w:r>
          </w:p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перечень перспективных технологических решений, востребованных в приоритетных отраслях экономики</w:t>
            </w:r>
          </w:p>
        </w:tc>
      </w:tr>
      <w:tr w:rsidR="001059C2" w:rsidRPr="001059C2" w:rsidTr="001059C2">
        <w:trPr>
          <w:gridAfter w:val="1"/>
          <w:wAfter w:w="20" w:type="dxa"/>
        </w:trPr>
        <w:tc>
          <w:tcPr>
            <w:tcW w:w="3566" w:type="dxa"/>
            <w:shd w:val="clear" w:color="auto" w:fill="FFFFFF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 xml:space="preserve">2. Содействие внедрению современных и инновационных технологий мирового уровня в производственные процессы </w:t>
            </w: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lastRenderedPageBreak/>
              <w:t>машиностроительных предприятий государств-членов</w:t>
            </w:r>
          </w:p>
        </w:tc>
        <w:tc>
          <w:tcPr>
            <w:tcW w:w="5417" w:type="dxa"/>
            <w:shd w:val="clear" w:color="auto" w:fill="FFFFFF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lastRenderedPageBreak/>
              <w:t xml:space="preserve">содействие обмену информацией между государствами - членами Евразийского экономического союза (далее - государства-члены), разработка перспективных средств производства </w:t>
            </w: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lastRenderedPageBreak/>
              <w:t>для машиностроения (включая научно-исследовательские и опытно-конструкторские разработки)</w:t>
            </w:r>
          </w:p>
        </w:tc>
        <w:tc>
          <w:tcPr>
            <w:tcW w:w="5289" w:type="dxa"/>
            <w:gridSpan w:val="3"/>
            <w:shd w:val="clear" w:color="auto" w:fill="FFFFFF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lastRenderedPageBreak/>
              <w:t>количество заключений Инжинирингового центра об отсутствии дублирования</w:t>
            </w:r>
          </w:p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 xml:space="preserve">количество совместных научно- исследовательских и опытно-конструкторских </w:t>
            </w: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lastRenderedPageBreak/>
              <w:t>разработок и объем их финансирования</w:t>
            </w:r>
          </w:p>
        </w:tc>
      </w:tr>
      <w:tr w:rsidR="001059C2" w:rsidRPr="001059C2" w:rsidTr="001059C2">
        <w:trPr>
          <w:gridAfter w:val="1"/>
          <w:wAfter w:w="20" w:type="dxa"/>
        </w:trPr>
        <w:tc>
          <w:tcPr>
            <w:tcW w:w="3566" w:type="dxa"/>
            <w:shd w:val="clear" w:color="auto" w:fill="FFFFFF"/>
          </w:tcPr>
          <w:p w:rsidR="00CD5702" w:rsidRPr="001059C2" w:rsidRDefault="00CD5702" w:rsidP="00F313FD">
            <w:pPr>
              <w:spacing w:after="120"/>
              <w:rPr>
                <w:rFonts w:ascii="Sylfaen" w:hAnsi="Sylfaen"/>
                <w:sz w:val="23"/>
                <w:szCs w:val="23"/>
              </w:rPr>
            </w:pPr>
          </w:p>
        </w:tc>
        <w:tc>
          <w:tcPr>
            <w:tcW w:w="5417" w:type="dxa"/>
            <w:shd w:val="clear" w:color="auto" w:fill="FFFFFF"/>
            <w:vAlign w:val="center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использование единого электронного банка данных освоенных (планируемых к разработке) технологий</w:t>
            </w:r>
          </w:p>
        </w:tc>
        <w:tc>
          <w:tcPr>
            <w:tcW w:w="5289" w:type="dxa"/>
            <w:gridSpan w:val="3"/>
            <w:shd w:val="clear" w:color="auto" w:fill="FFFFFF"/>
          </w:tcPr>
          <w:p w:rsidR="00CD5702" w:rsidRPr="001059C2" w:rsidRDefault="00CD5702" w:rsidP="00F313FD">
            <w:pPr>
              <w:spacing w:after="120"/>
              <w:rPr>
                <w:rFonts w:ascii="Sylfaen" w:hAnsi="Sylfaen"/>
                <w:sz w:val="23"/>
                <w:szCs w:val="23"/>
              </w:rPr>
            </w:pPr>
          </w:p>
        </w:tc>
      </w:tr>
      <w:tr w:rsidR="001059C2" w:rsidRPr="001059C2" w:rsidTr="001059C2">
        <w:trPr>
          <w:gridAfter w:val="1"/>
          <w:wAfter w:w="20" w:type="dxa"/>
        </w:trPr>
        <w:tc>
          <w:tcPr>
            <w:tcW w:w="3566" w:type="dxa"/>
            <w:shd w:val="clear" w:color="auto" w:fill="FFFFFF"/>
          </w:tcPr>
          <w:p w:rsidR="00CD5702" w:rsidRPr="001059C2" w:rsidRDefault="00CD5702" w:rsidP="00F313FD">
            <w:pPr>
              <w:spacing w:after="120"/>
              <w:rPr>
                <w:rFonts w:ascii="Sylfaen" w:hAnsi="Sylfaen"/>
                <w:sz w:val="23"/>
                <w:szCs w:val="23"/>
              </w:rPr>
            </w:pPr>
          </w:p>
        </w:tc>
        <w:tc>
          <w:tcPr>
            <w:tcW w:w="5417" w:type="dxa"/>
            <w:shd w:val="clear" w:color="auto" w:fill="FFFFFF"/>
            <w:vAlign w:val="center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расширение взаимодействия и обмен опытом с заинтересованными производителями и объектами инновационной инфраструктуры, в том числе с мировыми технологическими лидерами, включая транснациональные корпорации</w:t>
            </w:r>
          </w:p>
        </w:tc>
        <w:tc>
          <w:tcPr>
            <w:tcW w:w="5289" w:type="dxa"/>
            <w:gridSpan w:val="3"/>
            <w:shd w:val="clear" w:color="auto" w:fill="FFFFFF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количество заключенных контрактов на модернизацию предприятий, в том числе при софинансировании институтов развития</w:t>
            </w:r>
          </w:p>
        </w:tc>
      </w:tr>
      <w:tr w:rsidR="001059C2" w:rsidRPr="001059C2" w:rsidTr="001059C2">
        <w:trPr>
          <w:gridAfter w:val="1"/>
          <w:wAfter w:w="20" w:type="dxa"/>
        </w:trPr>
        <w:tc>
          <w:tcPr>
            <w:tcW w:w="3566" w:type="dxa"/>
            <w:shd w:val="clear" w:color="auto" w:fill="FFFFFF"/>
            <w:vAlign w:val="bottom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3. Выработка предложений по эффективному использованию производственных мощностей государств-членов и технологическому оснащению</w:t>
            </w:r>
          </w:p>
        </w:tc>
        <w:tc>
          <w:tcPr>
            <w:tcW w:w="5417" w:type="dxa"/>
            <w:shd w:val="clear" w:color="auto" w:fill="FFFFFF"/>
            <w:vAlign w:val="center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оценка эффективности проектов по модернизации машиностроительных предприятий (технологический и энергетический аудит)</w:t>
            </w:r>
          </w:p>
        </w:tc>
        <w:tc>
          <w:tcPr>
            <w:tcW w:w="5289" w:type="dxa"/>
            <w:gridSpan w:val="3"/>
            <w:shd w:val="clear" w:color="auto" w:fill="FFFFFF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сумма оптимизированных расходов по итогам оценки эффективности</w:t>
            </w:r>
          </w:p>
        </w:tc>
      </w:tr>
      <w:tr w:rsidR="001059C2" w:rsidRPr="001059C2" w:rsidTr="001059C2">
        <w:trPr>
          <w:gridAfter w:val="2"/>
          <w:wAfter w:w="32" w:type="dxa"/>
        </w:trPr>
        <w:tc>
          <w:tcPr>
            <w:tcW w:w="3566" w:type="dxa"/>
            <w:shd w:val="clear" w:color="auto" w:fill="FFFFFF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новых машиностроительных предприятий для взаимовыгодного развития машиностроительных комплексов</w:t>
            </w:r>
          </w:p>
        </w:tc>
        <w:tc>
          <w:tcPr>
            <w:tcW w:w="5417" w:type="dxa"/>
            <w:shd w:val="clear" w:color="auto" w:fill="FFFFFF"/>
            <w:vAlign w:val="center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подготовка заключений Инжинирингового центра, включающих в себя предложения по оптимизации и повышению эффективности производства</w:t>
            </w:r>
          </w:p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содействие увеличению доли машиностроительной продукции государств-членов на общем рынке Союза и поэтапному повышению локализации производства</w:t>
            </w:r>
          </w:p>
        </w:tc>
        <w:tc>
          <w:tcPr>
            <w:tcW w:w="5277" w:type="dxa"/>
            <w:gridSpan w:val="2"/>
            <w:shd w:val="clear" w:color="auto" w:fill="FFFFFF"/>
            <w:vAlign w:val="center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количество заключений Инжинирингового центра</w:t>
            </w:r>
          </w:p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количество заключений о наличии на территориях государств-членов производства продукции в соответствии с перечнем продукции, производимой на территориях государств-членов</w:t>
            </w:r>
          </w:p>
        </w:tc>
      </w:tr>
      <w:tr w:rsidR="001059C2" w:rsidRPr="001059C2" w:rsidTr="001059C2">
        <w:trPr>
          <w:gridAfter w:val="2"/>
          <w:wAfter w:w="32" w:type="dxa"/>
        </w:trPr>
        <w:tc>
          <w:tcPr>
            <w:tcW w:w="3566" w:type="dxa"/>
            <w:shd w:val="clear" w:color="auto" w:fill="FFFFFF"/>
          </w:tcPr>
          <w:p w:rsidR="00CD5702" w:rsidRPr="001059C2" w:rsidRDefault="00CD5702" w:rsidP="00F313FD">
            <w:pPr>
              <w:spacing w:after="120"/>
              <w:rPr>
                <w:rFonts w:ascii="Sylfaen" w:hAnsi="Sylfaen"/>
                <w:sz w:val="23"/>
                <w:szCs w:val="23"/>
              </w:rPr>
            </w:pPr>
          </w:p>
        </w:tc>
        <w:tc>
          <w:tcPr>
            <w:tcW w:w="5417" w:type="dxa"/>
            <w:shd w:val="clear" w:color="auto" w:fill="FFFFFF"/>
          </w:tcPr>
          <w:p w:rsidR="00CD5702" w:rsidRPr="001059C2" w:rsidRDefault="00CD5702" w:rsidP="00F313FD">
            <w:pPr>
              <w:spacing w:after="120"/>
              <w:rPr>
                <w:rFonts w:ascii="Sylfaen" w:hAnsi="Sylfaen"/>
                <w:sz w:val="23"/>
                <w:szCs w:val="23"/>
              </w:rPr>
            </w:pPr>
          </w:p>
        </w:tc>
        <w:tc>
          <w:tcPr>
            <w:tcW w:w="5277" w:type="dxa"/>
            <w:gridSpan w:val="2"/>
            <w:shd w:val="clear" w:color="auto" w:fill="FFFFFF"/>
            <w:vAlign w:val="center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 xml:space="preserve">предложения Инжинирингового центра для включения в план мероприятий по поддержке промышленных производств государств-членов (в </w:t>
            </w: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lastRenderedPageBreak/>
              <w:t>том числе за счет использования таких инструментов, как государственные и корпоративные закупки, размещение долгосрочных контрактов, развитие перспективных форм взаимовыгодной промышленной кооперации и субконтрактации, различных инструментов финансовой поддержки, развития индустриальной инновационной инфраструктуры)</w:t>
            </w:r>
          </w:p>
        </w:tc>
      </w:tr>
      <w:tr w:rsidR="001059C2" w:rsidRPr="001059C2" w:rsidTr="001059C2">
        <w:trPr>
          <w:gridAfter w:val="2"/>
          <w:wAfter w:w="32" w:type="dxa"/>
        </w:trPr>
        <w:tc>
          <w:tcPr>
            <w:tcW w:w="3566" w:type="dxa"/>
            <w:shd w:val="clear" w:color="auto" w:fill="FFFFFF"/>
          </w:tcPr>
          <w:p w:rsidR="00CD5702" w:rsidRPr="001059C2" w:rsidRDefault="00CD5702" w:rsidP="00F313FD">
            <w:pPr>
              <w:spacing w:after="120"/>
              <w:rPr>
                <w:rFonts w:ascii="Sylfaen" w:hAnsi="Sylfaen"/>
                <w:sz w:val="23"/>
                <w:szCs w:val="23"/>
              </w:rPr>
            </w:pPr>
          </w:p>
        </w:tc>
        <w:tc>
          <w:tcPr>
            <w:tcW w:w="5417" w:type="dxa"/>
            <w:shd w:val="clear" w:color="auto" w:fill="FFFFFF"/>
          </w:tcPr>
          <w:p w:rsidR="00CD5702" w:rsidRPr="001059C2" w:rsidRDefault="00CD5702" w:rsidP="00F313FD">
            <w:pPr>
              <w:spacing w:after="120"/>
              <w:rPr>
                <w:rFonts w:ascii="Sylfaen" w:hAnsi="Sylfaen"/>
                <w:sz w:val="23"/>
                <w:szCs w:val="23"/>
              </w:rPr>
            </w:pPr>
          </w:p>
        </w:tc>
        <w:tc>
          <w:tcPr>
            <w:tcW w:w="5277" w:type="dxa"/>
            <w:gridSpan w:val="2"/>
            <w:shd w:val="clear" w:color="auto" w:fill="FFFFFF"/>
            <w:vAlign w:val="bottom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количество заключений о целесообразности изменения ставок ввозных таможенных пошлин Единого таможенного тарифа Евразийского экономического союза, подготовленных по запросу Евразийской экономической комиссии или государств-членов</w:t>
            </w:r>
          </w:p>
        </w:tc>
      </w:tr>
      <w:tr w:rsidR="001059C2" w:rsidRPr="001059C2" w:rsidTr="001059C2">
        <w:tc>
          <w:tcPr>
            <w:tcW w:w="3566" w:type="dxa"/>
            <w:vMerge w:val="restart"/>
            <w:shd w:val="clear" w:color="auto" w:fill="FFFFFF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4. Реализация совместных кооперационных проектов по модернизации машиностроительных предприятий государств-членов и содействие трансферту современных и инновационных технологий из третьих стран и на территориях государств- членов</w:t>
            </w:r>
          </w:p>
        </w:tc>
        <w:tc>
          <w:tcPr>
            <w:tcW w:w="5417" w:type="dxa"/>
            <w:vMerge w:val="restart"/>
            <w:shd w:val="clear" w:color="auto" w:fill="FFFFFF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разработка рациональных кооперационных цепочек производства высокотехнологичной продукции с учетом потенциала машиностроительных предприятий при взаимодействии с объектами инновационной инфраструктуры и институтами развития</w:t>
            </w:r>
          </w:p>
        </w:tc>
        <w:tc>
          <w:tcPr>
            <w:tcW w:w="5309" w:type="dxa"/>
            <w:gridSpan w:val="4"/>
            <w:shd w:val="clear" w:color="auto" w:fill="FFFFFF"/>
            <w:vAlign w:val="center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количество реализованных совместных проектов по модернизации машиностроительных предприятий</w:t>
            </w:r>
          </w:p>
        </w:tc>
      </w:tr>
      <w:tr w:rsidR="001059C2" w:rsidRPr="001059C2" w:rsidTr="001059C2">
        <w:tc>
          <w:tcPr>
            <w:tcW w:w="3566" w:type="dxa"/>
            <w:vMerge/>
            <w:shd w:val="clear" w:color="auto" w:fill="FFFFFF"/>
          </w:tcPr>
          <w:p w:rsidR="00CD5702" w:rsidRPr="001059C2" w:rsidRDefault="00CD5702" w:rsidP="00F313FD">
            <w:pPr>
              <w:spacing w:after="120"/>
              <w:rPr>
                <w:rFonts w:ascii="Sylfaen" w:hAnsi="Sylfaen"/>
                <w:sz w:val="23"/>
                <w:szCs w:val="23"/>
              </w:rPr>
            </w:pPr>
          </w:p>
        </w:tc>
        <w:tc>
          <w:tcPr>
            <w:tcW w:w="5417" w:type="dxa"/>
            <w:vMerge/>
            <w:shd w:val="clear" w:color="auto" w:fill="FFFFFF"/>
          </w:tcPr>
          <w:p w:rsidR="00CD5702" w:rsidRPr="001059C2" w:rsidRDefault="00CD5702" w:rsidP="00F313FD">
            <w:pPr>
              <w:spacing w:after="120"/>
              <w:rPr>
                <w:rFonts w:ascii="Sylfaen" w:hAnsi="Sylfaen"/>
                <w:sz w:val="23"/>
                <w:szCs w:val="23"/>
              </w:rPr>
            </w:pPr>
          </w:p>
        </w:tc>
        <w:tc>
          <w:tcPr>
            <w:tcW w:w="5309" w:type="dxa"/>
            <w:gridSpan w:val="4"/>
            <w:shd w:val="clear" w:color="auto" w:fill="FFFFFF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рост затрат на модернизацию машиностроительных предприятий</w:t>
            </w:r>
          </w:p>
        </w:tc>
      </w:tr>
      <w:tr w:rsidR="001059C2" w:rsidRPr="001059C2" w:rsidTr="001059C2">
        <w:tc>
          <w:tcPr>
            <w:tcW w:w="3566" w:type="dxa"/>
            <w:vMerge/>
            <w:shd w:val="clear" w:color="auto" w:fill="FFFFFF"/>
          </w:tcPr>
          <w:p w:rsidR="00CD5702" w:rsidRPr="001059C2" w:rsidRDefault="00CD5702" w:rsidP="00F313FD">
            <w:pPr>
              <w:spacing w:after="120"/>
              <w:rPr>
                <w:rFonts w:ascii="Sylfaen" w:hAnsi="Sylfaen"/>
                <w:sz w:val="23"/>
                <w:szCs w:val="23"/>
              </w:rPr>
            </w:pPr>
          </w:p>
        </w:tc>
        <w:tc>
          <w:tcPr>
            <w:tcW w:w="5417" w:type="dxa"/>
            <w:shd w:val="clear" w:color="auto" w:fill="FFFFFF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содействие развитию системы субконтрактации промышленной продукции</w:t>
            </w:r>
          </w:p>
        </w:tc>
        <w:tc>
          <w:tcPr>
            <w:tcW w:w="5309" w:type="dxa"/>
            <w:gridSpan w:val="4"/>
            <w:shd w:val="clear" w:color="auto" w:fill="FFFFFF"/>
            <w:vAlign w:val="center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Style w:val="Bodytext212pt"/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рост количества машиностроительных предприятий, использующих систему субконтрактации</w:t>
            </w:r>
          </w:p>
          <w:p w:rsidR="001059C2" w:rsidRPr="001059C2" w:rsidRDefault="001059C2" w:rsidP="00F313F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динамика объемов заключаемых контрактов в рамках системы субконтрактации</w:t>
            </w:r>
          </w:p>
        </w:tc>
      </w:tr>
      <w:tr w:rsidR="001059C2" w:rsidRPr="001059C2" w:rsidTr="001059C2">
        <w:tc>
          <w:tcPr>
            <w:tcW w:w="3566" w:type="dxa"/>
            <w:shd w:val="clear" w:color="auto" w:fill="FFFFFF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lastRenderedPageBreak/>
              <w:t>5. Совершенствование подходов по определению качества совместно произведенных предприятиями государств-членов средств производства для отрасли машиностроения</w:t>
            </w:r>
          </w:p>
        </w:tc>
        <w:tc>
          <w:tcPr>
            <w:tcW w:w="5417" w:type="dxa"/>
            <w:shd w:val="clear" w:color="auto" w:fill="FFFFFF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разработка и внедрение стандарта менеджмента качества для организаций, производящих компонентную базу, используемую в отрасли станкостроения и смежных отраслях, с учетом внедрения корпоративных стандартов проектного управления и управления рисками реализации научно-исследовательских и опытно-конструкторских разработок</w:t>
            </w:r>
          </w:p>
        </w:tc>
        <w:tc>
          <w:tcPr>
            <w:tcW w:w="5309" w:type="dxa"/>
            <w:gridSpan w:val="4"/>
            <w:shd w:val="clear" w:color="auto" w:fill="FFFFFF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система добровольной сертификации</w:t>
            </w:r>
          </w:p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количество сертифицированных машиностроительных производств (выданных сертификатов)</w:t>
            </w:r>
          </w:p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количество обращений предприятий для выдачи сертификатов</w:t>
            </w:r>
          </w:p>
        </w:tc>
      </w:tr>
      <w:tr w:rsidR="001059C2" w:rsidRPr="001059C2" w:rsidTr="001059C2">
        <w:tc>
          <w:tcPr>
            <w:tcW w:w="3566" w:type="dxa"/>
            <w:shd w:val="clear" w:color="auto" w:fill="FFFFFF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6. Развитие экспортного потенциала высокотехнологичной совместно произведенной продукции (создание конкурентоспособных средств производства на территориях государств-членов)</w:t>
            </w:r>
          </w:p>
        </w:tc>
        <w:tc>
          <w:tcPr>
            <w:tcW w:w="5417" w:type="dxa"/>
            <w:shd w:val="clear" w:color="auto" w:fill="FFFFFF"/>
            <w:vAlign w:val="center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использование инструментов и механизмов институтов развития для продвижения на экспорт совместно произведенной продукции, в том числе инструментов финансирования лизинговых операций, страхования и снижения валютных рисков</w:t>
            </w:r>
          </w:p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участие в выставочно-ярмарочной и экспозиционной деятельности, маркетинговых и имиджевых мероприятиях в третьих странах</w:t>
            </w:r>
          </w:p>
        </w:tc>
        <w:tc>
          <w:tcPr>
            <w:tcW w:w="5309" w:type="dxa"/>
            <w:gridSpan w:val="4"/>
            <w:shd w:val="clear" w:color="auto" w:fill="FFFFFF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количество проектов, одобренных институтами развития</w:t>
            </w:r>
          </w:p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количество выставок, ярмарок и иных мероприятий в третьих странах</w:t>
            </w:r>
          </w:p>
        </w:tc>
      </w:tr>
      <w:tr w:rsidR="001059C2" w:rsidRPr="001059C2" w:rsidTr="001059C2">
        <w:tc>
          <w:tcPr>
            <w:tcW w:w="3566" w:type="dxa"/>
            <w:shd w:val="clear" w:color="auto" w:fill="FFFFFF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7. Содействие развитию кадрового потенциала в отрасли станкостроения и смежных отраслях</w:t>
            </w:r>
          </w:p>
        </w:tc>
        <w:tc>
          <w:tcPr>
            <w:tcW w:w="5417" w:type="dxa"/>
            <w:shd w:val="clear" w:color="auto" w:fill="FFFFFF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выработка предложений по эффективному сотрудничеству предприятий отрасли станкостроения и смежных отраслей и технических образовательных учреждений, осуществляющих подготовку кадров для машиностроения, в том числе формирование профессиональных стандартов</w:t>
            </w:r>
          </w:p>
        </w:tc>
        <w:tc>
          <w:tcPr>
            <w:tcW w:w="5309" w:type="dxa"/>
            <w:gridSpan w:val="4"/>
            <w:shd w:val="clear" w:color="auto" w:fill="FFFFFF"/>
            <w:vAlign w:val="center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количество заключенных соглашений о сотрудничестве</w:t>
            </w:r>
          </w:p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количество персонала, прошедшего подготовку и переподготовку в образовательных учреждениях</w:t>
            </w:r>
          </w:p>
          <w:p w:rsidR="001059C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Style w:val="Bodytext212pt"/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динамика производительности труда в отрасли станкостроения и смежных отраслях</w:t>
            </w:r>
          </w:p>
          <w:p w:rsidR="00CD5702" w:rsidRPr="001059C2" w:rsidRDefault="001059C2" w:rsidP="00F313F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динамика производительности труда на модернизированных предприятиях</w:t>
            </w:r>
          </w:p>
        </w:tc>
      </w:tr>
      <w:tr w:rsidR="001059C2" w:rsidRPr="001059C2" w:rsidTr="001059C2">
        <w:tc>
          <w:tcPr>
            <w:tcW w:w="3566" w:type="dxa"/>
            <w:shd w:val="clear" w:color="auto" w:fill="FFFFFF"/>
          </w:tcPr>
          <w:p w:rsidR="00CD5702" w:rsidRPr="001059C2" w:rsidRDefault="00CD5702" w:rsidP="00F313FD">
            <w:pPr>
              <w:spacing w:after="120"/>
              <w:rPr>
                <w:rFonts w:ascii="Sylfaen" w:hAnsi="Sylfaen"/>
                <w:sz w:val="23"/>
                <w:szCs w:val="23"/>
              </w:rPr>
            </w:pPr>
          </w:p>
        </w:tc>
        <w:tc>
          <w:tcPr>
            <w:tcW w:w="5417" w:type="dxa"/>
            <w:shd w:val="clear" w:color="auto" w:fill="FFFFFF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 xml:space="preserve">содействие развитию движения </w:t>
            </w:r>
            <w:r w:rsidRPr="001059C2">
              <w:rPr>
                <w:rStyle w:val="Bodytext212pt"/>
                <w:rFonts w:ascii="Sylfaen" w:hAnsi="Sylfaen"/>
                <w:sz w:val="23"/>
                <w:szCs w:val="23"/>
                <w:lang w:val="en-US" w:eastAsia="en-US" w:bidi="en-US"/>
              </w:rPr>
              <w:t>«</w:t>
            </w:r>
            <w:proofErr w:type="spellStart"/>
            <w:r w:rsidRPr="001059C2">
              <w:rPr>
                <w:rStyle w:val="Bodytext212pt"/>
                <w:rFonts w:ascii="Sylfaen" w:hAnsi="Sylfaen"/>
                <w:sz w:val="23"/>
                <w:szCs w:val="23"/>
                <w:lang w:val="en-US" w:eastAsia="en-US" w:bidi="en-US"/>
              </w:rPr>
              <w:t>WorldSkills</w:t>
            </w:r>
            <w:proofErr w:type="spellEnd"/>
            <w:r w:rsidRPr="001059C2">
              <w:rPr>
                <w:rStyle w:val="Bodytext212pt"/>
                <w:rFonts w:ascii="Sylfaen" w:hAnsi="Sylfaen"/>
                <w:sz w:val="23"/>
                <w:szCs w:val="23"/>
                <w:lang w:val="en-US" w:eastAsia="en-US" w:bidi="en-US"/>
              </w:rPr>
              <w:t>»</w:t>
            </w:r>
          </w:p>
        </w:tc>
        <w:tc>
          <w:tcPr>
            <w:tcW w:w="5309" w:type="dxa"/>
            <w:gridSpan w:val="4"/>
            <w:shd w:val="clear" w:color="auto" w:fill="FFFFFF"/>
            <w:vAlign w:val="center"/>
          </w:tcPr>
          <w:p w:rsidR="001059C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Style w:val="Bodytext212pt"/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количество унифицированных профессиональных стандартов, в том числе международных</w:t>
            </w:r>
          </w:p>
          <w:p w:rsidR="00CD5702" w:rsidRPr="001059C2" w:rsidRDefault="001059C2" w:rsidP="00F313F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 xml:space="preserve">количество участников движения </w:t>
            </w:r>
            <w:r w:rsidRPr="001059C2">
              <w:rPr>
                <w:rStyle w:val="Bodytext212pt"/>
                <w:rFonts w:ascii="Sylfaen" w:hAnsi="Sylfaen"/>
                <w:sz w:val="23"/>
                <w:szCs w:val="23"/>
                <w:lang w:eastAsia="en-US" w:bidi="en-US"/>
              </w:rPr>
              <w:t>«</w:t>
            </w:r>
            <w:proofErr w:type="spellStart"/>
            <w:r w:rsidRPr="001059C2">
              <w:rPr>
                <w:rStyle w:val="Bodytext212pt"/>
                <w:rFonts w:ascii="Sylfaen" w:hAnsi="Sylfaen"/>
                <w:sz w:val="23"/>
                <w:szCs w:val="23"/>
                <w:lang w:val="en-US" w:eastAsia="en-US" w:bidi="en-US"/>
              </w:rPr>
              <w:t>Worldskills</w:t>
            </w:r>
            <w:proofErr w:type="spellEnd"/>
            <w:r w:rsidRPr="001059C2">
              <w:rPr>
                <w:rStyle w:val="Bodytext212pt"/>
                <w:rFonts w:ascii="Sylfaen" w:hAnsi="Sylfaen"/>
                <w:sz w:val="23"/>
                <w:szCs w:val="23"/>
                <w:lang w:eastAsia="en-US" w:bidi="en-US"/>
              </w:rPr>
              <w:t>»</w:t>
            </w:r>
          </w:p>
        </w:tc>
      </w:tr>
      <w:tr w:rsidR="00CD5702" w:rsidRPr="001059C2" w:rsidTr="001059C2">
        <w:trPr>
          <w:gridAfter w:val="2"/>
          <w:wAfter w:w="32" w:type="dxa"/>
        </w:trPr>
        <w:tc>
          <w:tcPr>
            <w:tcW w:w="3566" w:type="dxa"/>
            <w:shd w:val="clear" w:color="auto" w:fill="FFFFFF"/>
            <w:vAlign w:val="center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8. Формирование сервис-ориентированной модели жизненного цикла продукции</w:t>
            </w:r>
          </w:p>
        </w:tc>
        <w:tc>
          <w:tcPr>
            <w:tcW w:w="5417" w:type="dxa"/>
            <w:shd w:val="clear" w:color="auto" w:fill="FFFFFF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унификация компонентной базы для разрабатываемых средств производства и ее адаптация к выпускаемому оборудованию</w:t>
            </w:r>
          </w:p>
        </w:tc>
        <w:tc>
          <w:tcPr>
            <w:tcW w:w="5277" w:type="dxa"/>
            <w:gridSpan w:val="2"/>
            <w:shd w:val="clear" w:color="auto" w:fill="FFFFFF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перечень унифицированных комплектующих</w:t>
            </w:r>
          </w:p>
        </w:tc>
      </w:tr>
      <w:tr w:rsidR="00CD5702" w:rsidRPr="001059C2" w:rsidTr="001059C2">
        <w:trPr>
          <w:gridAfter w:val="2"/>
          <w:wAfter w:w="32" w:type="dxa"/>
        </w:trPr>
        <w:tc>
          <w:tcPr>
            <w:tcW w:w="3566" w:type="dxa"/>
            <w:shd w:val="clear" w:color="auto" w:fill="FFFFFF"/>
          </w:tcPr>
          <w:p w:rsidR="00CD5702" w:rsidRPr="001059C2" w:rsidRDefault="00CD5702" w:rsidP="00F313FD">
            <w:pPr>
              <w:spacing w:after="120"/>
              <w:rPr>
                <w:rFonts w:ascii="Sylfaen" w:hAnsi="Sylfaen"/>
                <w:sz w:val="23"/>
                <w:szCs w:val="23"/>
              </w:rPr>
            </w:pPr>
          </w:p>
        </w:tc>
        <w:tc>
          <w:tcPr>
            <w:tcW w:w="5417" w:type="dxa"/>
            <w:shd w:val="clear" w:color="auto" w:fill="FFFFFF"/>
            <w:vAlign w:val="center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использование механизмов локализации производства компонентной базы для средств производства</w:t>
            </w:r>
          </w:p>
        </w:tc>
        <w:tc>
          <w:tcPr>
            <w:tcW w:w="5277" w:type="dxa"/>
            <w:gridSpan w:val="2"/>
            <w:shd w:val="clear" w:color="auto" w:fill="FFFFFF"/>
          </w:tcPr>
          <w:p w:rsidR="00CD5702" w:rsidRPr="001059C2" w:rsidRDefault="00CD5702" w:rsidP="00F313FD">
            <w:pPr>
              <w:spacing w:after="120"/>
              <w:rPr>
                <w:rFonts w:ascii="Sylfaen" w:hAnsi="Sylfaen"/>
                <w:sz w:val="23"/>
                <w:szCs w:val="23"/>
              </w:rPr>
            </w:pPr>
          </w:p>
        </w:tc>
      </w:tr>
      <w:tr w:rsidR="00CD5702" w:rsidRPr="001059C2" w:rsidTr="001059C2">
        <w:trPr>
          <w:gridAfter w:val="2"/>
          <w:wAfter w:w="32" w:type="dxa"/>
        </w:trPr>
        <w:tc>
          <w:tcPr>
            <w:tcW w:w="3566" w:type="dxa"/>
            <w:shd w:val="clear" w:color="auto" w:fill="FFFFFF"/>
          </w:tcPr>
          <w:p w:rsidR="00CD5702" w:rsidRPr="001059C2" w:rsidRDefault="00CD5702" w:rsidP="00F313FD">
            <w:pPr>
              <w:spacing w:after="120"/>
              <w:rPr>
                <w:rFonts w:ascii="Sylfaen" w:hAnsi="Sylfaen"/>
                <w:sz w:val="23"/>
                <w:szCs w:val="23"/>
              </w:rPr>
            </w:pPr>
          </w:p>
        </w:tc>
        <w:tc>
          <w:tcPr>
            <w:tcW w:w="5417" w:type="dxa"/>
            <w:shd w:val="clear" w:color="auto" w:fill="FFFFFF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дистанционное оказание сервисных услуг</w:t>
            </w:r>
          </w:p>
        </w:tc>
        <w:tc>
          <w:tcPr>
            <w:tcW w:w="5277" w:type="dxa"/>
            <w:gridSpan w:val="2"/>
            <w:shd w:val="clear" w:color="auto" w:fill="FFFFFF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количество дистанционно оказанных услуг</w:t>
            </w:r>
          </w:p>
        </w:tc>
      </w:tr>
      <w:tr w:rsidR="00CD5702" w:rsidRPr="001059C2" w:rsidTr="001059C2">
        <w:trPr>
          <w:gridAfter w:val="2"/>
          <w:wAfter w:w="32" w:type="dxa"/>
        </w:trPr>
        <w:tc>
          <w:tcPr>
            <w:tcW w:w="3566" w:type="dxa"/>
            <w:shd w:val="clear" w:color="auto" w:fill="FFFFFF"/>
          </w:tcPr>
          <w:p w:rsidR="00CD5702" w:rsidRPr="001059C2" w:rsidRDefault="00CD5702" w:rsidP="00F313FD">
            <w:pPr>
              <w:spacing w:after="120"/>
              <w:rPr>
                <w:rFonts w:ascii="Sylfaen" w:hAnsi="Sylfaen"/>
                <w:sz w:val="23"/>
                <w:szCs w:val="23"/>
              </w:rPr>
            </w:pPr>
          </w:p>
        </w:tc>
        <w:tc>
          <w:tcPr>
            <w:tcW w:w="5417" w:type="dxa"/>
            <w:shd w:val="clear" w:color="auto" w:fill="FFFFFF"/>
            <w:vAlign w:val="center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развитие сети сервисного обслуживания средств производства</w:t>
            </w:r>
          </w:p>
        </w:tc>
        <w:tc>
          <w:tcPr>
            <w:tcW w:w="5277" w:type="dxa"/>
            <w:gridSpan w:val="2"/>
            <w:shd w:val="clear" w:color="auto" w:fill="FFFFFF"/>
            <w:vAlign w:val="center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количество сервисных центров (развитость сети обслуживания)</w:t>
            </w:r>
          </w:p>
        </w:tc>
      </w:tr>
      <w:tr w:rsidR="00CD5702" w:rsidRPr="001059C2" w:rsidTr="001059C2">
        <w:trPr>
          <w:gridAfter w:val="2"/>
          <w:wAfter w:w="32" w:type="dxa"/>
        </w:trPr>
        <w:tc>
          <w:tcPr>
            <w:tcW w:w="3566" w:type="dxa"/>
            <w:shd w:val="clear" w:color="auto" w:fill="FFFFFF"/>
          </w:tcPr>
          <w:p w:rsidR="00CD5702" w:rsidRPr="001059C2" w:rsidRDefault="00CD5702" w:rsidP="00F313FD">
            <w:pPr>
              <w:spacing w:after="120"/>
              <w:rPr>
                <w:rFonts w:ascii="Sylfaen" w:hAnsi="Sylfaen"/>
                <w:sz w:val="23"/>
                <w:szCs w:val="23"/>
              </w:rPr>
            </w:pPr>
          </w:p>
        </w:tc>
        <w:tc>
          <w:tcPr>
            <w:tcW w:w="5417" w:type="dxa"/>
            <w:shd w:val="clear" w:color="auto" w:fill="FFFFFF"/>
            <w:vAlign w:val="bottom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создание единой программной среды и унифицированного программного обеспечения</w:t>
            </w:r>
          </w:p>
        </w:tc>
        <w:tc>
          <w:tcPr>
            <w:tcW w:w="5277" w:type="dxa"/>
            <w:gridSpan w:val="2"/>
            <w:shd w:val="clear" w:color="auto" w:fill="FFFFFF"/>
            <w:vAlign w:val="bottom"/>
          </w:tcPr>
          <w:p w:rsidR="00CD5702" w:rsidRPr="001059C2" w:rsidRDefault="00CE3AA2" w:rsidP="00F313FD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3"/>
                <w:szCs w:val="23"/>
              </w:rPr>
            </w:pPr>
            <w:r w:rsidRPr="001059C2">
              <w:rPr>
                <w:rStyle w:val="Bodytext212pt"/>
                <w:rFonts w:ascii="Sylfaen" w:hAnsi="Sylfaen"/>
                <w:sz w:val="23"/>
                <w:szCs w:val="23"/>
              </w:rPr>
              <w:t>перечень унифицированного программного обеспечения</w:t>
            </w:r>
          </w:p>
        </w:tc>
      </w:tr>
    </w:tbl>
    <w:p w:rsidR="00CD5702" w:rsidRPr="00F313FD" w:rsidRDefault="00CD5702" w:rsidP="00F313FD">
      <w:pPr>
        <w:spacing w:after="120"/>
        <w:rPr>
          <w:rFonts w:ascii="Sylfaen" w:hAnsi="Sylfaen"/>
        </w:rPr>
      </w:pPr>
    </w:p>
    <w:sectPr w:rsidR="00CD5702" w:rsidRPr="00F313FD" w:rsidSect="00F313FD">
      <w:pgSz w:w="16840" w:h="11909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93" w:rsidRDefault="00EF5D93" w:rsidP="00CD5702">
      <w:r>
        <w:separator/>
      </w:r>
    </w:p>
  </w:endnote>
  <w:endnote w:type="continuationSeparator" w:id="0">
    <w:p w:rsidR="00EF5D93" w:rsidRDefault="00EF5D93" w:rsidP="00CD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93" w:rsidRDefault="00EF5D93"/>
  </w:footnote>
  <w:footnote w:type="continuationSeparator" w:id="0">
    <w:p w:rsidR="00EF5D93" w:rsidRDefault="00EF5D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4365"/>
    <w:multiLevelType w:val="multilevel"/>
    <w:tmpl w:val="06625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F86846"/>
    <w:multiLevelType w:val="multilevel"/>
    <w:tmpl w:val="02FE444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02"/>
    <w:rsid w:val="001059C2"/>
    <w:rsid w:val="002628A0"/>
    <w:rsid w:val="003B67FE"/>
    <w:rsid w:val="005F6AD0"/>
    <w:rsid w:val="008E3C49"/>
    <w:rsid w:val="00CD5702"/>
    <w:rsid w:val="00CE3AA2"/>
    <w:rsid w:val="00DA2566"/>
    <w:rsid w:val="00EF5D93"/>
    <w:rsid w:val="00F313FD"/>
    <w:rsid w:val="00F5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570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5702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sid w:val="00CD5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sid w:val="00CD57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CD5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">
    <w:name w:val="Body text (2) + 13 pt"/>
    <w:aliases w:val="Bold1"/>
    <w:basedOn w:val="Bodytext2"/>
    <w:rsid w:val="00CD5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CD5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CD5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Spacing2pt">
    <w:name w:val="Heading #1 + Spacing 2 pt"/>
    <w:basedOn w:val="Heading1"/>
    <w:rsid w:val="00CD5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CD57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10">
    <w:name w:val="Heading #1"/>
    <w:basedOn w:val="Normal"/>
    <w:link w:val="Heading1"/>
    <w:rsid w:val="00CD5702"/>
    <w:pPr>
      <w:shd w:val="clear" w:color="auto" w:fill="FFFFFF"/>
      <w:spacing w:before="180" w:after="1020" w:line="0" w:lineRule="atLeast"/>
      <w:ind w:hanging="16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D5702"/>
    <w:pPr>
      <w:shd w:val="clear" w:color="auto" w:fill="FFFFFF"/>
      <w:spacing w:before="420" w:after="420" w:line="0" w:lineRule="atLeast"/>
      <w:ind w:hanging="6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CD57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570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5702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sid w:val="00CD5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sid w:val="00CD57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CD5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">
    <w:name w:val="Body text (2) + 13 pt"/>
    <w:aliases w:val="Bold1"/>
    <w:basedOn w:val="Bodytext2"/>
    <w:rsid w:val="00CD5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CD5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CD5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Spacing2pt">
    <w:name w:val="Heading #1 + Spacing 2 pt"/>
    <w:basedOn w:val="Heading1"/>
    <w:rsid w:val="00CD5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CD57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10">
    <w:name w:val="Heading #1"/>
    <w:basedOn w:val="Normal"/>
    <w:link w:val="Heading1"/>
    <w:rsid w:val="00CD5702"/>
    <w:pPr>
      <w:shd w:val="clear" w:color="auto" w:fill="FFFFFF"/>
      <w:spacing w:before="180" w:after="1020" w:line="0" w:lineRule="atLeast"/>
      <w:ind w:hanging="16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D5702"/>
    <w:pPr>
      <w:shd w:val="clear" w:color="auto" w:fill="FFFFFF"/>
      <w:spacing w:before="420" w:after="420" w:line="0" w:lineRule="atLeast"/>
      <w:ind w:hanging="6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CD57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3830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Vahagn Karamyan</cp:lastModifiedBy>
  <cp:revision>2</cp:revision>
  <dcterms:created xsi:type="dcterms:W3CDTF">2017-05-26T06:12:00Z</dcterms:created>
  <dcterms:modified xsi:type="dcterms:W3CDTF">2017-05-26T06:12:00Z</dcterms:modified>
</cp:coreProperties>
</file>