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15" w:rsidRDefault="00791215">
      <w:pPr>
        <w:rPr>
          <w:rFonts w:ascii="Sylfaen" w:hAnsi="Sylfaen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right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Проект</w:t>
      </w:r>
    </w:p>
    <w:p w:rsidR="00165FEF" w:rsidRPr="00791215" w:rsidRDefault="00C067E5" w:rsidP="00791215">
      <w:pPr>
        <w:pStyle w:val="Heading20"/>
        <w:shd w:val="clear" w:color="auto" w:fill="auto"/>
        <w:spacing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165FEF" w:rsidRDefault="00C067E5" w:rsidP="00791215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о маркировке товаров средствами идентификации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в Евразийском экономическом союзе</w:t>
      </w:r>
    </w:p>
    <w:p w:rsidR="00791215" w:rsidRPr="00791215" w:rsidRDefault="00791215" w:rsidP="00791215">
      <w:pPr>
        <w:pStyle w:val="Bodytext3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руководствуясь Договором о Евразийском экономическом союзе от 29 мая 2014 года, стремлением к проведению согласованной, скоординированной политики в сфере маркировки товаров средствами идентификации,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и в целях обеспечения законного оборота товаров в рамках Евразийского экономического союза (далее - Союз), защиты прав потребителей и предупреждения действий, вводящих их в заблуждение, согласились о нижеследующем: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«единый реестр средств идентификации» - общий информационный ресурс, включающий в себя описание средств идентификации, используемых для маркировки товаров в Союзе, сведения об их характеристиках, составе и структуре содержащейся в средствах идентификации информации;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«компетентные (уполномоченные) органы государства-члена» - органы исполнительной власти государства-члена, уполномоченные в соответствии с законодательством этого государства обеспечивать контроль за оборотом товаров и (или) межведомственную координацию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деятельности органов исполнительной власти государства-члена по контролю за оборотом товаров, в отношении которых принято решение о введении их маркировки средствами идентификации, и (или) обеспечивать функционирование национального компонента информационной системы маркировки товаров и (или) координацию деятельности по обеспечению его функционирования;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«контрольный (идентификационный) знак» - бланк строгой отчетности (документ) с элементами (средствами) защиты от подделки (защищенная полиграфическая продукция), содержащий средство идентификации и предназначенный для маркировки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«маркированные товары» - товары, на которые нанесены средства идентификации с соблюдением установленных требований и достоверные сведения о которых (в том числе сведения о нанесенных на них средствах идентификации и </w:t>
      </w:r>
      <w:r w:rsidRPr="00791215">
        <w:rPr>
          <w:rFonts w:ascii="Sylfaen" w:hAnsi="Sylfaen"/>
          <w:sz w:val="24"/>
          <w:szCs w:val="24"/>
        </w:rPr>
        <w:lastRenderedPageBreak/>
        <w:t>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«материальный носитель» -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«оборот товаров» - ввоз на таможенную территорию Союза, хранение, транспортировка, получение и передача товаров, в том числе их приобретение и реализация (продажа) на территориях государств-членов;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«оптовая торговля» - вид торговой деятельности, связанный с приобретением и продажей товаров для их использования в предпринимательской деятельности (в том числе для перепродажи)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или в иных целях, не связанных с личным, семейным, домашним и иным подобным использованием;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«остатки товаров, подлежащих маркировке» - товары, в отношении которых принято решение о введении маркировки и которые на дату введения маркировки находятся во владении, и (или) пользовании, и (или) распоряжении у юридических лиц и физических лиц, зарегистрированных в качестве индивидуальных предпринимателей (далее - индивидуальные предприниматели), осуществляющих производство и (или) оборот таких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«розничная торговля»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«средство идентификации» -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«трансграничная торговля» - оптовая торговля, осуществляемая в рамках взаимной торговли товарами с территории одного государства- члена на территорию другого государства-члена;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«эмитенты» - органы исполнительной власти государств-членов и (или) организации, осуществляющие изготовление, и (или) генерацию, и(или) реализацию (продажу) средств идентификации и (или) материальных носителей, содержащих средства идентификации.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 о Евразийском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экономическом союзе от 29 мая 2014 года и международными договорами в рамках Союза.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2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 xml:space="preserve">Настоящее Соглашение определяет порядок маркировки товаров </w:t>
      </w:r>
      <w:r w:rsidR="00C067E5" w:rsidRPr="00791215">
        <w:rPr>
          <w:rFonts w:ascii="Sylfaen" w:hAnsi="Sylfaen"/>
          <w:sz w:val="24"/>
          <w:szCs w:val="24"/>
        </w:rPr>
        <w:lastRenderedPageBreak/>
        <w:t>унифицированными в рамках Союза средствами идентификации (далее - маркировка товаров).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Действие настоящего Соглашения распространяется на юридических лиц и индивидуальных предпринимателей, осуществляющих производство и (или) оборот товаров, в отношении которых принято решение о введении маркировки, а также на эмитентов.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3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 xml:space="preserve"> В рамках Союза по решению Совета Евразийской экономической комиссии (далее - Совет Комиссии) может быть введена маркировка товаров.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Совет Комиссии принимает решение о введении маркировки товаров на основании представленных в Евразийскую экономическую комиссию (далее - Комиссия) государствами-членами предложений (с обоснованием), анализа целесообразности введения маркировки товаров (включая сведения об ожидаемых результатах государства- члена от введения маркировки, указание основных потребителей или групп потребителей таких товаров), информации о влиянии введения маркировки на условия ведения бизнеса (включая имеющиеся сведения о возможных затратах юридических лиц и индивидуальных предпринимателей, соотношение цены товара и стоимости средства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идентификации), наличия технологической возможности маркировки таких товаров, а также информации о действующих в отношении таких товаров иных систем контроля за оборотом товаров.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Товары маркируются путем нанесения на них и (или) на их упаковку средств идентификации или материальных носителей, содержащих средства идентификации.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Маркировка товаров путем нанесения средств идентификации на товары, их упаковку или на материальный носитель, не содержащий элементы (средства) защиты от подделки, допускается только при создании условий, исключающих возможность нахождения в законном обороте товаров, маркированных нелегальными средствами идентификации.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Информация о средствах идентификации вносится в единый реестр средств идентификации, формирование и ведение которого осуществляется Комиссией в электронном виде. Порядок формирования и ведения единого реестра средств идентификации определяется решением Комиссии.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4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 даты введения маркировки товаров: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запрещаются хранение, транспортировка, приобретение и реализация (продажа) на территориях государств-членов немаркированных товаров, </w:t>
      </w:r>
      <w:r w:rsidRPr="00791215">
        <w:rPr>
          <w:rFonts w:ascii="Sylfaen" w:hAnsi="Sylfaen"/>
          <w:sz w:val="24"/>
          <w:szCs w:val="24"/>
        </w:rPr>
        <w:lastRenderedPageBreak/>
        <w:t>подлежащих маркировке, за исключением приобретения и реализации (продажи) в целях вывоза за пределы таможенной территории Союза таких товаров, находящихся под таможенным контролем в зонах таможенного контроля, в случаях, определенных законодательством государств-членов, транспортировки</w:t>
      </w:r>
      <w:r w:rsidR="00791215">
        <w:rPr>
          <w:rFonts w:ascii="Sylfaen" w:hAnsi="Sylfaen"/>
        </w:rPr>
        <w:t xml:space="preserve"> </w:t>
      </w:r>
      <w:r w:rsidRPr="00791215">
        <w:rPr>
          <w:rFonts w:ascii="Sylfaen" w:hAnsi="Sylfaen"/>
          <w:sz w:val="24"/>
          <w:szCs w:val="24"/>
        </w:rPr>
        <w:t xml:space="preserve">немаркированных товаров, подлежащих маркировке, в складские помещения, определенные в соответствии с подпунктом «в» пункта </w:t>
      </w:r>
      <w:r w:rsidRPr="00791215">
        <w:rPr>
          <w:rStyle w:val="Bodytext23"/>
          <w:rFonts w:ascii="Sylfaen" w:hAnsi="Sylfaen"/>
          <w:sz w:val="24"/>
          <w:szCs w:val="24"/>
        </w:rPr>
        <w:t xml:space="preserve">1 </w:t>
      </w:r>
      <w:r w:rsidRPr="00791215">
        <w:rPr>
          <w:rFonts w:ascii="Sylfaen" w:hAnsi="Sylfaen"/>
          <w:sz w:val="24"/>
          <w:szCs w:val="24"/>
        </w:rPr>
        <w:t xml:space="preserve">статьи </w:t>
      </w:r>
      <w:r w:rsidRPr="00791215">
        <w:rPr>
          <w:rStyle w:val="Bodytext23"/>
          <w:rFonts w:ascii="Sylfaen" w:hAnsi="Sylfaen"/>
          <w:sz w:val="24"/>
          <w:szCs w:val="24"/>
        </w:rPr>
        <w:t>6</w:t>
      </w:r>
      <w:r w:rsidRPr="00791215">
        <w:rPr>
          <w:rFonts w:ascii="Sylfaen" w:hAnsi="Sylfaen"/>
          <w:sz w:val="24"/>
          <w:szCs w:val="24"/>
        </w:rPr>
        <w:t xml:space="preserve"> настоящего Соглашения, хранения указанных товаров в таких помещениях, а также за исключением товаров, указанных в статье </w:t>
      </w:r>
      <w:r w:rsidRPr="00791215">
        <w:rPr>
          <w:rStyle w:val="Bodytext23"/>
          <w:rFonts w:ascii="Sylfaen" w:hAnsi="Sylfaen"/>
          <w:sz w:val="24"/>
          <w:szCs w:val="24"/>
        </w:rPr>
        <w:t xml:space="preserve">8 </w:t>
      </w:r>
      <w:r w:rsidRPr="00791215">
        <w:rPr>
          <w:rFonts w:ascii="Sylfaen" w:hAnsi="Sylfaen"/>
          <w:sz w:val="24"/>
          <w:szCs w:val="24"/>
        </w:rPr>
        <w:t>настоящего Соглашения. Допускаются хранение, транспортировка, приобретение и реализация (продажа) немаркированных остатков товаров в случаях, если маркировка остатков товаров не предусмотрена;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маркировка товаров, ввозимых (ввезенных) на таможенную территорию Союза, осуществляется до помещения таких товаров под таможенные процедуры выпуска для внутреннего потребления или реимпорта, а также в случаях, предусмотренных законодательством государств-членов, - до помещения таких товаров под таможенную процедуру свободной таможенной зоны, за исключением товаров, указанных в статье </w:t>
      </w:r>
      <w:r w:rsidRPr="00791215">
        <w:rPr>
          <w:rStyle w:val="Bodytext23"/>
          <w:rFonts w:ascii="Sylfaen" w:hAnsi="Sylfaen"/>
          <w:sz w:val="24"/>
          <w:szCs w:val="24"/>
        </w:rPr>
        <w:t>8</w:t>
      </w:r>
      <w:r w:rsidRPr="00791215">
        <w:rPr>
          <w:rFonts w:ascii="Sylfaen" w:hAnsi="Sylfaen"/>
          <w:sz w:val="24"/>
          <w:szCs w:val="24"/>
        </w:rPr>
        <w:t xml:space="preserve"> настоящего Соглашения. Маркировка товаров может осуществляться после помещения под таможенные процедуры выпуска для внутреннего потребления или реимпорта в складских помещениях, определенных в соответствии с подпунктом «в» пункта </w:t>
      </w:r>
      <w:r w:rsidRPr="00791215">
        <w:rPr>
          <w:rStyle w:val="Bodytext23"/>
          <w:rFonts w:ascii="Sylfaen" w:hAnsi="Sylfaen"/>
          <w:sz w:val="24"/>
          <w:szCs w:val="24"/>
        </w:rPr>
        <w:t xml:space="preserve">1 </w:t>
      </w:r>
      <w:r w:rsidRPr="00791215">
        <w:rPr>
          <w:rFonts w:ascii="Sylfaen" w:hAnsi="Sylfaen"/>
          <w:sz w:val="24"/>
          <w:szCs w:val="24"/>
        </w:rPr>
        <w:t xml:space="preserve">статьи </w:t>
      </w:r>
      <w:r w:rsidRPr="00791215">
        <w:rPr>
          <w:rStyle w:val="Bodytext23"/>
          <w:rFonts w:ascii="Sylfaen" w:hAnsi="Sylfaen"/>
          <w:sz w:val="24"/>
          <w:szCs w:val="24"/>
        </w:rPr>
        <w:t>6</w:t>
      </w:r>
      <w:r w:rsidRPr="00791215">
        <w:rPr>
          <w:rFonts w:ascii="Sylfaen" w:hAnsi="Sylfaen"/>
          <w:sz w:val="24"/>
          <w:szCs w:val="24"/>
        </w:rPr>
        <w:t xml:space="preserve"> настоящего Соглашения, если возможность такой маркировки предусмотрена законодательством государства-члена;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допускается маркировка товаров за пределами таможенной территории Союза;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маркировка товаров юридическими лицами и индивидуальными предпринимателями, осуществляющими производство товаров, подлежащих маркировке, осуществляется до начала транспортировки и (или)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 xml:space="preserve">(продажи), за исключением товаров, указанных в статье </w:t>
      </w:r>
      <w:r w:rsidRPr="00791215">
        <w:rPr>
          <w:rStyle w:val="Bodytext23"/>
          <w:rFonts w:ascii="Sylfaen" w:hAnsi="Sylfaen"/>
          <w:sz w:val="24"/>
          <w:szCs w:val="24"/>
        </w:rPr>
        <w:t>8</w:t>
      </w:r>
      <w:r w:rsidRPr="00791215">
        <w:rPr>
          <w:rFonts w:ascii="Sylfaen" w:hAnsi="Sylfaen"/>
          <w:sz w:val="24"/>
          <w:szCs w:val="24"/>
        </w:rPr>
        <w:t xml:space="preserve"> настоящего Соглашения. Маркировка осуществляется в местах их производства, упаковки (переупаковки) и хранения.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5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При принятии решения о введении маркировки товаров Совет Комиссии в отношении таких товаров утверждает перечень товаров с указанием их кодов в соответствии с единой Товарной номенклатурой внешнеэкономической деятельности Евразийского экономического союза (далее - ТН ВЭД ЕАЭС) и одновременно определяет: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а)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 xml:space="preserve">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 (при их наличии), содержащихся в едином </w:t>
      </w:r>
      <w:r w:rsidRPr="00791215">
        <w:rPr>
          <w:rFonts w:ascii="Sylfaen" w:hAnsi="Sylfaen"/>
          <w:sz w:val="24"/>
          <w:szCs w:val="24"/>
        </w:rPr>
        <w:lastRenderedPageBreak/>
        <w:t>реестре средств идентификации;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б)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дату введения и порядок маркировки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в)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формат, состав и структуру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Комиссией, а также сроки передачи таких сведений;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г)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необходимость маркировки остатков товаров в государствах- членах, включая сроки введения и иные требования к маркировке остатков товаров, или отсутствие такой необходимости;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д)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национальных компонентов и интеграционного компонента информационной системы маркировки товаров.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Советом Комиссии для конкретных товаров или групп товаров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могут быть дополнены или отменены операции (этапы оборота), указанные в абзацах третьем - седьмом статьи 9 настоящего Соглашения, при осуществлении которых у юридических лиц и индивидуальных предпринимателей, осуществляющих оборот маркированных товаров, возникает обязанность по передаче сведений о таких товарах в компетентный (уполномоченный) орган государства-члена, на территории которого они зарегистрированы (аккредитованы).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Решение Совета Комиссии о введении маркировки товаров вступает в силу не позднее, чем по истечении 90 календарных дней с даты официального опубликования такого решения.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Государства-члены в срок, не превышающий 60 календарных дней с даты вступления в силу решения Совета Комиссии о введении маркировки товаров, информируют Комиссию о своих компетентных (уполномоченных) органах.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С даты введения маркировки в рамках Союза на товары, маркируемые в соответствии с законодательством государств-членов, такие государства-члены обеспечивают маркировку таких товаров на своих территориях в соответствии с требованиями, предусмотренными настоящим Соглашением и принятыми в соответствии с ним актами Комиссии.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Статья </w:t>
      </w:r>
      <w:r w:rsidRPr="00791215">
        <w:rPr>
          <w:rStyle w:val="Bodytext23"/>
          <w:rFonts w:ascii="Sylfaen" w:hAnsi="Sylfaen"/>
          <w:sz w:val="24"/>
          <w:szCs w:val="24"/>
        </w:rPr>
        <w:t>6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 Государства-члены в срок, не превышающий 120 календарных дней с даты вступления в силу решения Совета Комиссии о введении маркировки товаров, но не позднее наступления даты введения маркировки товаров: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а)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 xml:space="preserve">определяют порядок учета средств идентификации и (при необходимости) порядок реализации и учета материальных носителей, содержащих средства </w:t>
      </w:r>
      <w:r w:rsidRPr="00791215">
        <w:rPr>
          <w:rFonts w:ascii="Sylfaen" w:hAnsi="Sylfaen"/>
          <w:sz w:val="24"/>
          <w:szCs w:val="24"/>
        </w:rPr>
        <w:lastRenderedPageBreak/>
        <w:t>идентификации;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б)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формируют реестры эмитентов (при необходимости);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в)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устанавливают (при необходимости) требования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реимпорта, и (или) определяют (при необходимости) перечень таких складских помещений;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г)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определяют требования к формату, составу и структуре сведений, передаваемых юридическими лицами, индивидуальными предпринимателями, осуществляющими производство и оборот товаров, подлежащих маркировке, и эмитентами (при необходимости) в компетентные (уполномоченные) органы своих государств-членов, а также сроки передачи таких сведений дополнительно к требованиям, установленным Советом Комиссии;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д)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определяют (при необходимости) порядок маркировки остатков товаров, подлежащих маркировке, в случае принятия решения Совета Комиссии о необходимости маркировки остатков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е)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 xml:space="preserve">определяют (при необходимости) в дополнение к операциям (этапам оборота), указанным в абзацах третьем - седьмом статьи </w:t>
      </w:r>
      <w:r w:rsidRPr="00791215">
        <w:rPr>
          <w:rStyle w:val="Bodytext23"/>
          <w:rFonts w:ascii="Sylfaen" w:hAnsi="Sylfaen"/>
          <w:sz w:val="24"/>
          <w:szCs w:val="24"/>
        </w:rPr>
        <w:t xml:space="preserve">9 </w:t>
      </w:r>
      <w:r w:rsidRPr="00791215">
        <w:rPr>
          <w:rFonts w:ascii="Sylfaen" w:hAnsi="Sylfaen"/>
          <w:sz w:val="24"/>
          <w:szCs w:val="24"/>
        </w:rPr>
        <w:t>настоящего Соглашения, операции (этапы оборота), при осуществлении которых у юридических лиц и индивидуальных предпринимателей, осуществляющих оборот товаров, подлежащих маркировке, возникает обязанность по передаче сведений о таких товарах в компетентные (уполномоченные) органы своих государств-членов, а также требования к составу, структуре, формату и срокам передачи таких сведений, если иное не определено Советом Комиссии в соответствии с пунктом 2 статьи 5 настоящего Соглашения;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ж)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определяют (при необходимости) дополнительный состав сведений о маркированных товарах и средствах их идентификации, предоставление доступа к которым потребителей и иных заинтересованных лиц обеспечивается компетентными (уполномоченными) органами государств-членов и Комиссией,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з)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определяют иные требования и условия введения маркировки товаров, не противоречащие положениям настоящего Соглашения и принятым в соответствии с ним актам Комиссии.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7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1. Государства-члены уведомляют Комиссию о наличии намерений по введению на своих территориях маркировки товаров, не подлежащих маркировке в </w:t>
      </w:r>
      <w:r w:rsidRPr="00791215">
        <w:rPr>
          <w:rFonts w:ascii="Sylfaen" w:hAnsi="Sylfaen"/>
          <w:sz w:val="24"/>
          <w:szCs w:val="24"/>
        </w:rPr>
        <w:lastRenderedPageBreak/>
        <w:t>рамках Союза, а также представляют сведения о таких товарах и (если возможно) о средствах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идентификации, способах их нанесения на товары и дате введения маркировки товаров.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 xml:space="preserve">Комиссия в течение 10 календарных дней с даты получения указанного в пункте </w:t>
      </w:r>
      <w:r w:rsidR="00C067E5" w:rsidRPr="00791215">
        <w:rPr>
          <w:rStyle w:val="Bodytext23"/>
          <w:rFonts w:ascii="Sylfaen" w:hAnsi="Sylfaen"/>
          <w:sz w:val="24"/>
          <w:szCs w:val="24"/>
        </w:rPr>
        <w:t>1</w:t>
      </w:r>
      <w:r w:rsidR="00C067E5" w:rsidRPr="00791215">
        <w:rPr>
          <w:rFonts w:ascii="Sylfaen" w:hAnsi="Sylfaen"/>
          <w:sz w:val="24"/>
          <w:szCs w:val="24"/>
        </w:rPr>
        <w:t xml:space="preserve"> настоящей статьи уведомления от одного или нескольких государств-членов уведомляет об этом другие государства- члены и включает вопрос в повестку ближайшего заседания Совета Комиссии.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 xml:space="preserve">В случае если Советом Комиссии в течение трех месяцев с даты направления уведомления, указанного в пункте </w:t>
      </w:r>
      <w:r w:rsidR="00C067E5" w:rsidRPr="00791215">
        <w:rPr>
          <w:rStyle w:val="Bodytext23"/>
          <w:rFonts w:ascii="Sylfaen" w:hAnsi="Sylfaen"/>
          <w:sz w:val="24"/>
          <w:szCs w:val="24"/>
        </w:rPr>
        <w:t>2</w:t>
      </w:r>
      <w:r w:rsidR="00C067E5" w:rsidRPr="00791215">
        <w:rPr>
          <w:rFonts w:ascii="Sylfaen" w:hAnsi="Sylfaen"/>
          <w:sz w:val="24"/>
          <w:szCs w:val="24"/>
        </w:rPr>
        <w:t xml:space="preserve"> настоящей статьи, с учетом положений пункта </w:t>
      </w:r>
      <w:r w:rsidR="00C067E5" w:rsidRPr="00791215">
        <w:rPr>
          <w:rStyle w:val="Bodytext23"/>
          <w:rFonts w:ascii="Sylfaen" w:hAnsi="Sylfaen"/>
          <w:sz w:val="24"/>
          <w:szCs w:val="24"/>
        </w:rPr>
        <w:t>2</w:t>
      </w:r>
      <w:r w:rsidR="00C067E5" w:rsidRPr="00791215">
        <w:rPr>
          <w:rFonts w:ascii="Sylfaen" w:hAnsi="Sylfaen"/>
          <w:sz w:val="24"/>
          <w:szCs w:val="24"/>
        </w:rPr>
        <w:t xml:space="preserve"> статьи 3 настоящего Соглашения не принято решение о введении маркировки товаров, предусмотренное пунктом 1 статьи 5 настоящего Соглашения, государства-члены на своей территории могут применять маркировку товаров в соответствии со своим законодательством.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Положения абзаца 1 настоящего пункта не распространяются на маркировку товаров, применяемую государствами-членами на своей территории в соответствии со своим законодательством на дату вступления в силу настоящего Соглашения.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В случае наличия намерения двух и более государств-членов по введению маркировки в отношении одних и тех же товаров, а также наличия намерения руководствоваться при этом положениями настоящего Соглашения и осуществлять информационное взаимодействие между компетентными (уполномоченными) органами государства-члены могут направить в Комиссию запрос об использовании интегрированной информационной системы Союза для осуществления такого взаимодействия. При необходимости Коллегия Комиссии принимает соответствующие решения.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8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Требования к маркировке товаров не распространяются на: товары, помещенные под таможенные процедуры в целях их вывоза за пределы таможенной территории Союза;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находящиеся под таможенным контролем, при их транспортировке;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пробы и образцы товаров в необходимых количествах, предназначенные для проведения испытаний в целях оценки соответствия требованиям актов Союза, а также нормативных технических актов государств-членов в области стандартизации, при их хранении и транспортировке;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ввозимые на таможенную территорию Союза организаторами и участниками международных выставок и ярмарок в качестве образцов и экспонатов и не предназначенные для реализации (продажи);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являющиеся иностранной безвозмездной (гуманитарной) и международной технической помощью, зарегистрированной в порядке, установленном законодательством государства-члена;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lastRenderedPageBreak/>
        <w:t>товары,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государства-члена;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 при их реализации (продаже) в магазинах беспошлинной торговли;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хранящиеся под таможенным контролем в зонах таможенного контроля, в том числе на складах временного хранения и таможенных складах;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 при их хранении и использовании производителями; товары при их хранении юридическими лицами и индивидуальными предпринимателями, осуществляющими комиссионную торговлю товарами, полученными от физических лиц, не являющихся индивидуальными предпринимателями, на основании заключенных с этими физическими лицами договоров, которое осуществляется в порядке, установленном законодательством государства-члена,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изъятые, арестованные, конфискованные или обращенные в доход государства иным способом, и товары, взыскание на которые обращено в счет неисполненных обязательств, которые предусмотрены налоговым и таможенным законодательством государства-члена, при их приобретении, хранении, транспортировке, реализации (продаже) и использовании, а также товары, подлежащие уничтожению при их хранении и транспортировке;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ввезенные в качестве товаров для личного пользования и приобретенные в рамках розничной торговли физическими лицами при их хранении, транспортировке и использовании;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предназначенные для официального пользования дипломатическими представительствами, консульскими учреждениями, международными межгосударственными и межправительственными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организациями, их представительствами, а также представительствами государств при них, при их хранении, транспортировке и использовании;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принадлежащие физическим лицам, не являющимся индивидуальными предпринимателями, и приобретенные ими для личного пользования, при их ответственном хранении и оказании иных услуг, не связанных с их реализацией (продажей);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товары, ввезенные на таможенную территорию Союза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государств-членов, при их хранении, транспортировке, реализации (продаже) и использовании;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lastRenderedPageBreak/>
        <w:t>Статья 9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 даты введения маркировки товаров: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эмитенты, осуществляющие изготовление, и (или) генерацию, и (или) реализацию (продажу) юридическим лицам и индивидуальным предпринимателям средств идентификации или материальных носителей, содержащих средства идентификации,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об изготовлении, и (или) генерации, и (или) реализации (продаже) таких средств идентификации и (или) материальных носителей;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ввоз на таможенную территорию Союза и (или) производство товаров, в отношении которых принято решение о введении маркировки, маркируют в установленном порядке такие товары средствами идентификации и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трансграничную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в установленном порядке на товар, приобретенный в рамках такой торговли,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 xml:space="preserve">в случае если предусмотрена маркировка остатков товаров, подлежащих маркировке, юридические лица и индивидуальные предприниматели, осуществляющие оптовую и (или) розничную торговлю такими товарами, маркируют в установленном порядке остатки этих товаров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</w:t>
      </w:r>
      <w:r w:rsidRPr="00791215">
        <w:rPr>
          <w:rFonts w:ascii="Sylfaen" w:hAnsi="Sylfaen"/>
          <w:sz w:val="24"/>
          <w:szCs w:val="24"/>
        </w:rPr>
        <w:lastRenderedPageBreak/>
        <w:t>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торговлю товарами, подлежащими маркировке, возвращенными покупателями, и (или) комиссионную торговлю такими товарами на основании договоров, заключенных с физическими лицами, не являющимися индивидуальными предпринимателями,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маркируют в установленном порядке такие товары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</w:t>
      </w:r>
      <w:r w:rsidR="00791215">
        <w:rPr>
          <w:rFonts w:ascii="Sylfaen" w:hAnsi="Sylfaen"/>
          <w:sz w:val="24"/>
          <w:szCs w:val="24"/>
        </w:rPr>
        <w:t xml:space="preserve"> </w:t>
      </w:r>
      <w:r w:rsidRPr="00791215">
        <w:rPr>
          <w:rFonts w:ascii="Sylfaen" w:hAnsi="Sylfaen"/>
          <w:sz w:val="24"/>
          <w:szCs w:val="24"/>
        </w:rPr>
        <w:t>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юридические лица и индивидуальные предприниматели, осуществляющие розничную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на эти товары, реализованные (проданные)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 (аккредитованы).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10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Компетентные (уполномоченные) органы государств-членов совместно с иными контролирующими и (или) правоохранительными органами государств-членов обеспечивают контроль за оборотом товаров, подлежащих маркировке, в соответствии с законодательством государств-членов.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В целях реализации мониторинга и контроля исполнения настоящего Соглашения, контроля за оборотом товаров при трансграничной торговле, а также предоставления доступа потребителям и иным заинтересованным пользователям к сведениям о маркированных товарах и средствах их идентификации обеспечивается информационное взаимодействие между компетентными (уполномоченными) органами государств-членов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и между компетентными (уполномоченными) органами государств- членов и Комиссией в рамках информационной системы маркировки товаров.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 xml:space="preserve">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обеспечивается </w:t>
      </w:r>
      <w:r w:rsidR="00C067E5" w:rsidRPr="00791215">
        <w:rPr>
          <w:rFonts w:ascii="Sylfaen" w:hAnsi="Sylfaen"/>
          <w:sz w:val="24"/>
          <w:szCs w:val="24"/>
        </w:rPr>
        <w:lastRenderedPageBreak/>
        <w:t>путем взаимодействия национальных компонентов и интеграционного компонента информационной системы маркировки товаров с использованием средств интегрированной информационной системы Союза.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В целях реализации контроля за оборотом товаров, подлежащих маркировке, государства-члены предусматривают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11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С даты вступления настоящего Соглашения в силу его положения распространяются на маркировку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(подсубпозиции ТН ВЭД ЕАЭС 4303 10 901 0 - 4303 10 906 0 и 4303 10 908 0).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Решения Комиссии, регулирующие маркировку товаров по товарной позиции «Предметы одежды, принадлежности к одежде и прочие изделия, из натурального меха» (подсубпозиции ТН ВЭД ЕАЭС 4303 10 901 0 - 4303 10 906 0 и 4303 10 908 0) контрольными (идентификационными) знаками, действующие на дату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вступления настоящего Соглашения в силу, сохраняют свою юридическую силу и применяются в части, не противоречащей настоящему Соглашению.</w:t>
      </w:r>
    </w:p>
    <w:p w:rsidR="00165FEF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C067E5" w:rsidRPr="00791215">
        <w:rPr>
          <w:rFonts w:ascii="Sylfaen" w:hAnsi="Sylfaen"/>
          <w:sz w:val="24"/>
          <w:szCs w:val="24"/>
        </w:rPr>
        <w:t>С даты вступления настоящего Соглашения в силу прекращают действие следующие международные договоры: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Соглашение о реализации в 2015-2016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года;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Протокол о продлении срока действия Соглашения о реализации в 2015-2016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от 8 сентября 2015 года, подписанный 23 ноября 2016 года.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12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13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lastRenderedPageBreak/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165FEF" w:rsidRDefault="00165FEF" w:rsidP="00791215">
      <w:pPr>
        <w:spacing w:after="120"/>
        <w:ind w:firstLine="567"/>
        <w:jc w:val="both"/>
        <w:rPr>
          <w:rFonts w:ascii="Sylfaen" w:hAnsi="Sylfaen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14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jc w:val="center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Статья 15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 государствами-членами внутригосударственных процедур, необходимых для вступления настоящего Соглашения в силу.</w:t>
      </w:r>
    </w:p>
    <w:p w:rsidR="00165FEF" w:rsidRPr="00791215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Совершено в городе ____________«____» ____________20___года в одном подлинном экземпляре на русском языке.</w:t>
      </w:r>
    </w:p>
    <w:p w:rsidR="00165FEF" w:rsidRDefault="00C067E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1215">
        <w:rPr>
          <w:rFonts w:ascii="Sylfaen" w:hAnsi="Sylfaen"/>
          <w:sz w:val="24"/>
          <w:szCs w:val="24"/>
        </w:rPr>
        <w:t>Подлинный</w:t>
      </w:r>
      <w:r w:rsidRPr="0079121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1215">
        <w:rPr>
          <w:rFonts w:ascii="Sylfaen" w:hAnsi="Sylfaen"/>
          <w:sz w:val="24"/>
          <w:szCs w:val="24"/>
        </w:rPr>
        <w:t>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791215" w:rsidRPr="00791215" w:rsidRDefault="00791215" w:rsidP="0079121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2041"/>
        <w:gridCol w:w="1944"/>
        <w:gridCol w:w="2059"/>
        <w:gridCol w:w="1944"/>
      </w:tblGrid>
      <w:tr w:rsidR="00165FEF" w:rsidRPr="00791215" w:rsidTr="00791215">
        <w:tc>
          <w:tcPr>
            <w:tcW w:w="2063" w:type="dxa"/>
            <w:shd w:val="clear" w:color="auto" w:fill="FFFFFF"/>
            <w:vAlign w:val="center"/>
          </w:tcPr>
          <w:p w:rsidR="00165FEF" w:rsidRPr="00791215" w:rsidRDefault="00C067E5" w:rsidP="007912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41" w:type="dxa"/>
            <w:shd w:val="clear" w:color="auto" w:fill="FFFFFF"/>
            <w:vAlign w:val="center"/>
          </w:tcPr>
          <w:p w:rsidR="00165FEF" w:rsidRPr="00791215" w:rsidRDefault="00C067E5" w:rsidP="007912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165FEF" w:rsidRPr="00791215" w:rsidRDefault="00C067E5" w:rsidP="007912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165FEF" w:rsidRPr="00791215" w:rsidRDefault="00C067E5" w:rsidP="007912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За Кыргызскую.</w:t>
            </w:r>
            <w:r w:rsidR="00791215">
              <w:rPr>
                <w:rStyle w:val="Bodytext213pt"/>
                <w:rFonts w:ascii="Sylfaen" w:hAnsi="Sylfaen"/>
                <w:sz w:val="24"/>
                <w:szCs w:val="24"/>
              </w:rPr>
              <w:t xml:space="preserve"> </w:t>
            </w: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Респу</w:t>
            </w:r>
            <w:r w:rsidR="00791215">
              <w:rPr>
                <w:rStyle w:val="Bodytext213pt"/>
                <w:rFonts w:ascii="Sylfaen" w:hAnsi="Sylfaen"/>
                <w:sz w:val="24"/>
                <w:szCs w:val="24"/>
              </w:rPr>
              <w:t>блику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165FEF" w:rsidRPr="00791215" w:rsidRDefault="00C067E5" w:rsidP="00791215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91215">
              <w:rPr>
                <w:rStyle w:val="Bodytext213pt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165FEF" w:rsidRPr="00791215" w:rsidRDefault="00165FEF" w:rsidP="00791215">
      <w:pPr>
        <w:spacing w:after="120"/>
        <w:ind w:firstLine="567"/>
        <w:jc w:val="both"/>
        <w:rPr>
          <w:rFonts w:ascii="Sylfaen" w:hAnsi="Sylfaen"/>
        </w:rPr>
      </w:pPr>
      <w:bookmarkStart w:id="0" w:name="_GoBack"/>
      <w:bookmarkEnd w:id="0"/>
    </w:p>
    <w:sectPr w:rsidR="00165FEF" w:rsidRPr="00791215" w:rsidSect="00791215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41" w:rsidRDefault="00913A41" w:rsidP="00165FEF">
      <w:r>
        <w:separator/>
      </w:r>
    </w:p>
  </w:endnote>
  <w:endnote w:type="continuationSeparator" w:id="0">
    <w:p w:rsidR="00913A41" w:rsidRDefault="00913A41" w:rsidP="001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41" w:rsidRDefault="00913A41"/>
  </w:footnote>
  <w:footnote w:type="continuationSeparator" w:id="0">
    <w:p w:rsidR="00913A41" w:rsidRDefault="00913A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3B9"/>
    <w:multiLevelType w:val="multilevel"/>
    <w:tmpl w:val="FDDC9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F598F"/>
    <w:multiLevelType w:val="multilevel"/>
    <w:tmpl w:val="1F02D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76375"/>
    <w:multiLevelType w:val="multilevel"/>
    <w:tmpl w:val="9F6A1B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D608C"/>
    <w:multiLevelType w:val="multilevel"/>
    <w:tmpl w:val="725C93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F6079"/>
    <w:multiLevelType w:val="multilevel"/>
    <w:tmpl w:val="89C83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731F1"/>
    <w:multiLevelType w:val="multilevel"/>
    <w:tmpl w:val="5186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282EFC"/>
    <w:multiLevelType w:val="multilevel"/>
    <w:tmpl w:val="457E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D5CC8"/>
    <w:multiLevelType w:val="multilevel"/>
    <w:tmpl w:val="45CE6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5FEF"/>
    <w:rsid w:val="00165FEF"/>
    <w:rsid w:val="00204E3E"/>
    <w:rsid w:val="00791215"/>
    <w:rsid w:val="00913A41"/>
    <w:rsid w:val="00C067E5"/>
    <w:rsid w:val="00C2494E"/>
    <w:rsid w:val="00E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5FE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5FEF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165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65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65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165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165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"/>
    <w:basedOn w:val="Bodytext2"/>
    <w:rsid w:val="00165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165FE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165FEF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165F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65FEF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165FEF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791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2018-03-27T13:11:00Z</dcterms:created>
  <dcterms:modified xsi:type="dcterms:W3CDTF">2018-09-20T06:48:00Z</dcterms:modified>
</cp:coreProperties>
</file>