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BF" w:rsidRDefault="00AD2667" w:rsidP="00DC5BB3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BE71C5">
        <w:rPr>
          <w:rFonts w:ascii="Sylfaen" w:hAnsi="Sylfaen"/>
          <w:sz w:val="24"/>
          <w:szCs w:val="24"/>
        </w:rPr>
        <w:t>Проект</w:t>
      </w:r>
    </w:p>
    <w:p w:rsidR="00C41BE6" w:rsidRPr="00C41BE6" w:rsidRDefault="00C41BE6" w:rsidP="00DC5BB3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  <w:lang w:val="en-US"/>
        </w:rPr>
      </w:pPr>
    </w:p>
    <w:p w:rsidR="006034BF" w:rsidRPr="00BE71C5" w:rsidRDefault="00AD2667" w:rsidP="00DC5BB3">
      <w:pPr>
        <w:pStyle w:val="Heading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bookmarkStart w:id="1" w:name="bookmark1"/>
      <w:r w:rsidRPr="00BE71C5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СОГЛАШЕНИЕ</w:t>
      </w:r>
      <w:bookmarkEnd w:id="1"/>
    </w:p>
    <w:p w:rsidR="006034BF" w:rsidRPr="00DC5BB3" w:rsidRDefault="00AD2667" w:rsidP="00DC5BB3">
      <w:pPr>
        <w:pStyle w:val="Bodytext40"/>
        <w:shd w:val="clear" w:color="auto" w:fill="auto"/>
        <w:spacing w:after="120" w:line="240" w:lineRule="auto"/>
        <w:ind w:left="1134" w:right="1126"/>
        <w:rPr>
          <w:rStyle w:val="Heading2"/>
          <w:rFonts w:ascii="Sylfaen" w:hAnsi="Sylfaen"/>
          <w:b/>
          <w:bCs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о механизме прослеживаемости товаров в рамках Евразийского</w:t>
      </w:r>
      <w:r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bookmarkStart w:id="2" w:name="bookmark2"/>
      <w:r w:rsidRPr="00BE71C5">
        <w:rPr>
          <w:rStyle w:val="Heading2"/>
          <w:rFonts w:ascii="Sylfaen" w:hAnsi="Sylfaen"/>
          <w:b/>
          <w:bCs/>
          <w:sz w:val="24"/>
          <w:szCs w:val="24"/>
        </w:rPr>
        <w:t>экономического союза</w:t>
      </w:r>
      <w:bookmarkEnd w:id="2"/>
    </w:p>
    <w:p w:rsidR="00C41BE6" w:rsidRPr="00DC5BB3" w:rsidRDefault="00C41BE6" w:rsidP="00DC5BB3">
      <w:pPr>
        <w:pStyle w:val="Bodytext40"/>
        <w:shd w:val="clear" w:color="auto" w:fill="auto"/>
        <w:spacing w:after="120" w:line="240" w:lineRule="auto"/>
        <w:ind w:left="1134" w:right="1126"/>
        <w:rPr>
          <w:rFonts w:ascii="Sylfaen" w:hAnsi="Sylfaen"/>
          <w:sz w:val="24"/>
          <w:szCs w:val="24"/>
        </w:rPr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Государства - члены Евразийского экономического союза, далее именуемые государствами-членами,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стремясь создать условия, исключающие использование различных схем уклонения от уплаты таможенных и налоговых платежей,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в целях подтверждения законности оборота товаров, при их перемещении во взаимной торговле между государствами-членами,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желая обеспечить контроль прослеживаемости оборота товаров,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согласились о нижеследующем:</w:t>
      </w:r>
    </w:p>
    <w:p w:rsidR="006034BF" w:rsidRPr="00BE71C5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Статья 1</w:t>
      </w:r>
    </w:p>
    <w:p w:rsidR="006034BF" w:rsidRPr="00BE71C5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Для целей настоящего Соглашения используются понятия, которые означают следующее: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«компетентный (уполномоченный) орган государства-члена» - орган государственной власти государства-члена, уполномоченный в соответствии с законодательством государства-члена обеспечивать координацию информационного взаимодействия с компетентными (уполномоченными) органами других государств-членов в соответствии с настоящим Соглашением;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«лицо» - физическое лицо, в том числе зарегистрированное в качестве индивидуального предпринимателя в соответствии с</w:t>
      </w:r>
      <w:r w:rsidR="004F5E3B" w:rsidRPr="004F5E3B">
        <w:rPr>
          <w:rFonts w:ascii="Sylfaen" w:hAnsi="Sylfaen"/>
          <w:sz w:val="24"/>
          <w:szCs w:val="24"/>
        </w:rPr>
        <w:t xml:space="preserve"> </w:t>
      </w:r>
      <w:r w:rsidRPr="00BE71C5">
        <w:rPr>
          <w:rFonts w:ascii="Sylfaen" w:hAnsi="Sylfaen"/>
          <w:sz w:val="24"/>
          <w:szCs w:val="24"/>
        </w:rPr>
        <w:t>законодательством государства-члена, юридическое лицо, а также организация, не являющаяся юридическим лицом;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«лицо государства-члена» - юридическое лицо, организация, не являющаяся юридическим лицом, созданные в соответствии с законодательством государств-членов, а также физическое лицо, имеющее постоянное место жительства в государстве-члене, в том числе зарегистрированное в качестве индивидуального предпринимателя в соответствии с законодательством этого государства-члена;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«механизм прослеживаемости» - система, функционирующая на основе информационного взаимодействия между национальными системами прослеживаемости и обеспечивающая прослеживаемость на территории Евразийского экономического союза;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lastRenderedPageBreak/>
        <w:t>«национальная система прослеживаемости» - система сбора, учета и контроля информации о товарах, ввезенных на территорию Евразийского экономического союза и помещенных под таможенную процедуру выпуска для внутреннего потребления, реализуемая каждым из государств-членов в соответствии с настоящим Соглашением и законодательством государств-членов с использованием информационных технологий;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«оборот товаров» - выпуск товаров в соответствии с таможенной процедурой выпуска для внутреннего потребления, ввезенных на таможенную территорию Евразийского экономического союза, а также их реализация на территориях государств-членов и (или) перемещение с территории одного государства-члена на территорию другого государства-члена;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«перечень» - перечень товаров, сформированный с указанием кодов таких товаров в соответствии с единой Товарной номенклатурой внешнеэкономической деятельности Евразийского экономического союза, а также единиц измерения товаров, используемых при обороте таких товаров в целях прослеживаемости;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«покупатель» - лицо, которому продавцом передано право владеть, пользоваться и распоряжаться товарами;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«продавец» - лицо, передающее другому лицу свое право владеть, пользоваться и распоряжаться товарами;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«прослеживаемость» - особенности организации учета товаров в соответствии с требованиями, установленными настоящим Соглашением, в целях контроля оборота товаров;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«реализация товаров» - передача любым из предусмотренных законодательством государств-членов способов права владеть, пользоваться и распоряжаться товарами от одного лица другому лицу;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«розничная торговля» - вид торговой деятельности, связанный с приобретением и продажей товаров для их использования в личных, семейных, домашних и иных целях, не связанных с осуществлением предпринимательской деятельности;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«сопроводительный документ» - оформленный в соответствии с законодательством государства-члена счет-фактура или иной документ, на основании которых в национальную систему прослеживаемости включаются сведения об обороте товаров;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«страна покупателя» - государство-член, в соответствии с законодательством которого покупатель зарегистрирован и поставлен на учет в налоговых органах этого государства-члена;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«страна продавца» - государство-член, в соответствии с законодательством которого продавец зарегистрирован и поставлен на учет в налоговых органах этого государства-члена;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«товары» - товары, включенные в перечень.</w:t>
      </w:r>
    </w:p>
    <w:p w:rsidR="006034BF" w:rsidRPr="00DC5BB3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Статья 2</w:t>
      </w:r>
    </w:p>
    <w:p w:rsidR="006034BF" w:rsidRPr="00BE71C5" w:rsidRDefault="006034BF" w:rsidP="00DC5BB3">
      <w:pPr>
        <w:spacing w:after="120"/>
      </w:pP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Настоящее Соглашение определяет порядок создания и функционирования механизма прослеживаемости в Евразийском экономическом союзе (далее - Союз).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Каждое государство-член в соответствии со своим законодательством оставляет за собой право применять в национальной системе прослеживаемости особенности, не предусмотренные настоящим Соглашением, но не противоречащие ему.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Действие настоящего Соглашения распространяется на правоотношения, связанные с оборотом товаров, ввезенных на территорию Союза после их выпуска в соответствии с таможенной процедурой выпуска для внутреннего потребления.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Действие настоящего Соглашения не распространяется на: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товары, реализованные в рамках розничной торговли;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товары, оборот которых осуществляется в личных, семейных и иных целях, не связанных с осуществлением предпринимательской деятельности;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товары, производимые (произведенные) на территориях государств- членов (в том числе продукты переработки, отходы, остатки, полученные в результате совершения операций по переработке в соответствии с условиями помещения товаров под таможенные процедуры, предусмотренными правом Союза) и выпускаемые в</w:t>
      </w:r>
      <w:r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E71C5">
        <w:rPr>
          <w:rFonts w:ascii="Sylfaen" w:hAnsi="Sylfaen"/>
          <w:sz w:val="24"/>
          <w:szCs w:val="24"/>
        </w:rPr>
        <w:t>соответствии с таможенной процедурой выпуска для внутреннего потребления;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товары, предназначенные для официального пользования дипломатическими представительствами и консульскими учреждениями, представительствами государств при международных организациях, международными организациями или их представительствами (далее - Комиссия);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Законодательством государств-членов могут быть определены иные случаи, товары, а также лица, осуществляющие деятельность на основе специальных или упрощенных налоговых режимов, в отношении которых не применяются положения настоящего Соглашения, при условии оборота таких товаров на территории такого государства-члена.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В иных случаях, определяемых Евразийской экономической комиссией.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Факт перемещения товаров с территории одного государства- члена на территорию другого государства-члена, не связанный с реализацией таких товаров, подтверждается путем включения в национальную систему прослеживаемости сведений о таком перемещении.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 xml:space="preserve">Решением Комиссии может быть определен особый порядок включения в национальные системы прослеживаемости сведений о перемещении товаров с территории одного государства-члена на территорию другого государства-члена, не </w:t>
      </w:r>
      <w:r w:rsidRPr="00BE71C5">
        <w:rPr>
          <w:rFonts w:ascii="Sylfaen" w:hAnsi="Sylfaen"/>
          <w:sz w:val="24"/>
          <w:szCs w:val="24"/>
        </w:rPr>
        <w:lastRenderedPageBreak/>
        <w:t>связанном с реализацией таких товаров.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В случае отсутствия в национальной системе прослеживаемости сведений о товарах, перемещаемых с территории одного государства- члена на территорию другого государства-члена, лицо вправе</w:t>
      </w:r>
      <w:r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E71C5">
        <w:rPr>
          <w:rFonts w:ascii="Sylfaen" w:hAnsi="Sylfaen"/>
          <w:sz w:val="24"/>
          <w:szCs w:val="24"/>
        </w:rPr>
        <w:t>подтвердить факт перемещения таких товаров путем предъявления сопроводительных документов в порядке, установленном законодательством государств-членов.</w:t>
      </w:r>
    </w:p>
    <w:p w:rsidR="006034BF" w:rsidRPr="00BE71C5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Статья 3</w:t>
      </w:r>
    </w:p>
    <w:p w:rsidR="006034BF" w:rsidRPr="00BE71C5" w:rsidRDefault="006034BF" w:rsidP="00DC5BB3">
      <w:pPr>
        <w:spacing w:after="120"/>
      </w:pP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Государства-члены обеспечивают создание и функционирование национальных систем прослеживаемости.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Функционирование национальных систем прослеживаемости основывается на сборе, учете и контроле сведений в электронном виде из: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деклараций на товары и корректировок деклараций на товары;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сопроводительных документов (в том числе скорректированных сопроводительных документов);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документов, подтверждающих основания прекращения прослеживаемости, установленные настоящим Соглашением;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документов, подтверждающих основания возобновления прослеживаемости, установленные настоящим Соглашением;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из документов, получаемых из национальных систем прослеживаемости других государств-членов;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из иных документов, предусмотренных законодательством государств-членов и (или) правом Союза.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Сведения из документов, указанных в пункте 2 настоящей статьи, включаются в национальную систему прослеживаемости товаров в следующие сроки: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в отношении декларации на товары - не позднее ___ часов с</w:t>
      </w:r>
      <w:r w:rsidR="00AD2667"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момента принятия таможенным органом государства-члена решения о выпуске товаров;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в отношении корректировки декларации на товары - не позднее ___</w:t>
      </w:r>
      <w:r w:rsidR="00AD2667"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часов с момента принятия таможенным органом государства-члена</w:t>
      </w:r>
      <w:r w:rsidR="00AD2667"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решения о корректировке декларации на товары;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в отношении сопроводительных документов - не позднее ___</w:t>
      </w:r>
      <w:r w:rsidR="00AD2667"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часов с момента оформления (регистрации) таких сопроводительных документов в соответствии с законодательством государств-членов и настоящим Соглашением;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в отношении скорректированных сопроводительных документов</w:t>
      </w:r>
      <w:r w:rsidR="00AD2667"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- не позднее ___ часов с момента оформления (регистрации) таких</w:t>
      </w:r>
      <w:r w:rsidR="00AD2667"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 xml:space="preserve">скорректированных </w:t>
      </w:r>
      <w:r w:rsidR="00AD2667" w:rsidRPr="00BE71C5">
        <w:rPr>
          <w:rFonts w:ascii="Sylfaen" w:hAnsi="Sylfaen"/>
          <w:sz w:val="24"/>
          <w:szCs w:val="24"/>
        </w:rPr>
        <w:lastRenderedPageBreak/>
        <w:t>сопроводительных документов в соответствии с законодательством государств-членов и настоящим Соглашением;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в отношении документов, подтверждающих основания прекращения прослеживаемости, установленные пунктом 3 статьи 7</w:t>
      </w:r>
      <w:r w:rsidR="00AD2667"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настоящего Соглашения - не позднее</w:t>
      </w:r>
      <w:r w:rsidR="00AD2667"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___</w:t>
      </w:r>
      <w:r w:rsidR="00AD2667"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часов с момента оформления</w:t>
      </w:r>
      <w:r w:rsidR="00AD2667"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(регистрации) таких документов в соответствии с законодательством государств-членов и настоящим Соглашением;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в отношении иных документов, предусмотренных законодательством государств-членов и (или) правом Союза, - в сроки, предусмотренные соответственно законодательством государств-членов и (или) правом Союза.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Комиссией могут быть определены иные сроки включения сведений из документов, указанных в пункте 2 настоящей статьи, в национальную систему прослеживаемости, в случаях, предусмотренных пунктом 3 статьи 4 настоящего Соглашения.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Национальные системы прослеживаемости являются составными элементами механизма прослеживаемости.</w:t>
      </w:r>
    </w:p>
    <w:p w:rsidR="006034BF" w:rsidRPr="00BE71C5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Статья 4</w:t>
      </w:r>
    </w:p>
    <w:p w:rsidR="006034BF" w:rsidRPr="00BE71C5" w:rsidRDefault="006034BF" w:rsidP="00DC5BB3">
      <w:pPr>
        <w:spacing w:after="120"/>
      </w:pP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В рамках функционирования механизма прослеживаемости государства-члены обеспечивают информационное взаимодействие путем обмена в электронном виде сведениями, которые содержатся в национальных системах прослеживаемости и состав которых указан в пункте 1 статьи 5 настоящего Соглашения, и с учетом особенностей, предусмотренных пунктом 2 настоящей статьи.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При включении в национальную систему прослеживаемости сведений, свидетельствующих о том, что реализация товаров осуществляется лицами разных государств-членов, компетентный (уполномоченный) орган государства-члена, лицо которого реализует товары, обеспечивает направление компетентным (уполномоченным) органам государств-членов, на территории которых зарегистрированы остальные участники сделки, в соответствии с которой такие товары перемещаются с территории одного государства-члена на территорию другого государства-члена, сведений об обороте таких товаров, содержащихся в национальной системе прослеживаемости, в составе, указанном в пункте 1 статьей 5 настоящего Соглашения.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Указанные сведения направляются также компетентным (уполномоченным) органам государств-членов, по территориям которых предполагается осуществление перевозки товаров во исполнение такой сделки.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Сведения, указанные в пункте 1 статьи 5 настоящего Соглашения, также могут направляться компетентным (уполномоченным) органам иных государств-членов, чем указанные в настоящем пункте, если это</w:t>
      </w:r>
      <w:r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E71C5">
        <w:rPr>
          <w:rFonts w:ascii="Sylfaen" w:hAnsi="Sylfaen"/>
          <w:sz w:val="24"/>
          <w:szCs w:val="24"/>
        </w:rPr>
        <w:t>предусмотрено законодательством государства-члена, лицо которого реализует товары.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lastRenderedPageBreak/>
        <w:t>Направление сведений, указанных в пункте 1 статьи 5 настоящего Соглашения, предусмотренное настоящим Соглашением осуществляется не позднее дня поступления таких сведений в национальную систему прослеживаемости государства-члена, на территории которого зарегистрировано лицо, реализующее товары.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Комиссией могут устанавливаться особенности функционирования механизма прослеживаемости в зависимости от особенностей таможенного декларирования и условий выпуска товаров.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При перемещении товаров с территории Республики Армения на территорию другого государства-члена в таможенной транзитной декларации указываются реквизиты сопроводительного документа.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Сведения о таких товарах формируются в национальной системе прослеживаемости Республики Армения до момента перемещения товаров с территории Республики Армения на территории других государств-членов в составе, указанном в пункте 1 статьи 5 настоящего Соглашения, и направляются в национальные системы прослеживаемости других государств-членов в порядке и на условиях, которые установлены настоящим Соглашением.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Комиссией может определяться реквизиты сопроводительного документа, указанные в абзаце первом настоящего пункта, и порядок их внесения в таможенную транзитную декларацию.</w:t>
      </w:r>
    </w:p>
    <w:p w:rsidR="006034BF" w:rsidRPr="00BE71C5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Статья 5</w:t>
      </w:r>
    </w:p>
    <w:p w:rsidR="006034BF" w:rsidRPr="00BE71C5" w:rsidRDefault="006034BF" w:rsidP="00DC5BB3">
      <w:pPr>
        <w:spacing w:after="120"/>
      </w:pP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Информационное взаимодействие, осуществляемое в соответствии со статьей 4 настоящего Соглашения, реализуется путем</w:t>
      </w:r>
      <w:r w:rsidR="00AD2667"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направления в электронном виде следующих сведений, содержащихся в национальных системах прослеживаемости: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код страны продавца;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наименование продавца;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идентификационный код (номер) продавца;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код страны покупателя;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наименование покупателя;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юридический адрес или адрес регистрации покупателя;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идентификационный код (номер) покупателя;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регистрационный номер и дата выписки сопроводительного документа;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порядковый номер товара в соответствии с сопроводительным документом;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наименование товара в соответствии с сопроводительным документом;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количество товара в соответствии с сопроводительным документом;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lastRenderedPageBreak/>
        <w:t>12)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единица измерения товара в соответствии с сопроводительным документом;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13)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количество товара в соответствии с сопроводительным документом в единицах измерения, установленных перечнем;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14)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единица измерения товара в соответствии с перечнем;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15)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регистрационный номер декларации на товары, в соответствии с которой товары помещены под таможенную процедуру выпуска для внутреннего потребления;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16)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порядковый номер товара в соответствии с декларацией на товары;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17)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сведения о пунктах назначения (доставки, разгрузки) товара находящихся на территории государств-членов в соответствии с сопроводительными документами (при наличии);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18)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сведения о перемещении товаров с территории одного государства-члена на территорию другого государства-члена (в случае, предусмотренном пунктом 4 статьи 2 настоящего Соглашения);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19)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дата и регистрационный номер акта инвентаризации (при наличии);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20)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порядковый номер товара в соответствии с актом инвентаризации (при наличии);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В целях обеспечения прослеживаемости используются сведения, в том числе из декларации на товары, обмен которыми осуществляется в соответствии с правом Союза.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Информационное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взаимодействие,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осуществляемое</w:t>
      </w:r>
      <w:r w:rsidR="00462AF4" w:rsidRPr="00462AF4"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в соответствии с настоящим Соглашением, реализуется посредством интегрированной информационной системы Союза.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Информационный обмен между национальными системами прослеживаемости осуществляется в соответствии с утверждаемыми Комиссией технологическими документами, регламентирующими информационное взаимодействие при реализации средствами интегрированной информационной системы внешней и взаимной торговли общих процессов.</w:t>
      </w:r>
    </w:p>
    <w:p w:rsidR="006034BF" w:rsidRPr="00DC5BB3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Статья 6</w:t>
      </w:r>
    </w:p>
    <w:p w:rsidR="006034BF" w:rsidRPr="00BE71C5" w:rsidRDefault="006034BF" w:rsidP="00DC5BB3">
      <w:pPr>
        <w:spacing w:after="120"/>
      </w:pP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Компетентный (уполномоченный) орган государства-члена, на территорию которого ввозятся (ввезены) товары, подлежащие прослеживаемости, по отдельному запросу может запросить</w:t>
      </w:r>
      <w:r w:rsidR="00AD2667"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у компетентного (уполномоченного) органа государства-члена, с территории которого вывозятся (вывезены) такие товары, сведения об их обороте, предшествующем перемещению таких товаров с территории одного государства-члена на территорию другого государства-члена. Состав таких сведений определяется Советом Комиссии.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lastRenderedPageBreak/>
        <w:t>2.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На основании запроса государства-члена компетентный (уполномоченный) орган государства-члена, лицо которого реализовало (отгрузило) товары, обеспечивает предоставление компетентным (уполномоченным) органам государств-членов на территориях которых зарегистрированы остальные участники сделки, в соответствии с которой такие товары перемещаются с территории одного государства- члена на территорию другого государства-члена, сведения об обороте таких товаров, предшествующем перемещению с территории одного государства-члена на территорию другого государства-члена, за период, не превышающий срок хранения сведений в соответствии с пунктом 2 статьи 8 настоящего Соглашения.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Порядок направления отдельных запросов, предусмотренных настоящей статьей, а также порядок и сроки предоставления соответствующих сведений определяются Комиссией.</w:t>
      </w:r>
    </w:p>
    <w:p w:rsidR="006034BF" w:rsidRPr="00DC5BB3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Статья 7</w:t>
      </w:r>
    </w:p>
    <w:p w:rsidR="006034BF" w:rsidRPr="00BE71C5" w:rsidRDefault="006034BF" w:rsidP="00DC5BB3">
      <w:pPr>
        <w:spacing w:after="120"/>
      </w:pP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Прослеживаемости подлежат товары, включенные в перечень, утверждаемый Комиссией (с указанием в отношении включенных в него товаров кодов единой товарной номенклатуры внешнеэкономической деятельности Евразийского экономического</w:t>
      </w:r>
      <w:r w:rsidR="00AD2667"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союза, а также единиц измерения, подлежащих указанию в декларации на товары и сопроводительных документах).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Решение Комиссии об утверждении перечня и решения Комиссии о внесении изменений в перечень вступают в силу не ранее чем по истечении 90 календарных дней с даты их официального опубликования. Решения Комиссии об исключении товара из перечня вступают в силу в срок, установленный в таком решении.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Применение механизма прослеживаемости прекращается по истечении 5 лет с даты включения в национальную систему прослеживаемости сведений из последнего сопроводительного документа, а если такой сопроводительный документ не был оформлен, - по истечении 5 лет с момента поступления в национальную систему прослеживаемости сведений из декларации на товары, по которой такие товары были помещены под таможенную процедуру выпуска для внутреннего потребления.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Законодательством государств-членов могут быть определены более короткие сроки прекращения прослеживаемости в следующих случаях: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использование товаров в производстве (переработке) на территории государства-члена;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утеря, утрата и (или) уничтожение товаров вследствие форс</w:t>
      </w:r>
      <w:r w:rsidRPr="00BE71C5">
        <w:rPr>
          <w:rFonts w:ascii="Sylfaen" w:hAnsi="Sylfaen"/>
          <w:sz w:val="24"/>
          <w:szCs w:val="24"/>
        </w:rPr>
        <w:softHyphen/>
        <w:t>мажорных обстоятельств;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реализация товаров в рамках розничной торговли;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lastRenderedPageBreak/>
        <w:t>фактический вывоз товаров, помещенных под таможенную процедуру экспорта либо таможенную процедуру реэкспорта;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исключение товаров из перечня в связи с внесением в него изменений.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Решением Комиссии могут быть установлены иные сроки и случаи прекращения прослеживаемости.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Применение механизма прослеживаемости возобновляется в случае оборота товаров по истечении срока, установленного пунктом 3 настоящей статьи.</w:t>
      </w:r>
    </w:p>
    <w:p w:rsidR="006034BF" w:rsidRPr="00DC5BB3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Статья 8</w:t>
      </w:r>
    </w:p>
    <w:p w:rsidR="006034BF" w:rsidRPr="00BE71C5" w:rsidRDefault="006034BF" w:rsidP="00DC5BB3">
      <w:pPr>
        <w:spacing w:after="120"/>
      </w:pP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Национальная система прослеживаемости должна отвечать следующим требованиям: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полнота сведений об обороте товаров;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сопоставимость единиц измерения товаров, указываемых в декларациях на товары и сопроводительных документах, и единиц измерения, предусмотренных перечнем;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обеспечение взаимосвязи сопроводительных документов с декларацией на товары;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обеспечение взаимосвязи последующего сопроводительного документа с предыдущим сопроводительным документом;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целостность и подлинность сведений, содержащихся в национальных системах прослеживаемости;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обеспечение сквозной документальной идентификации партии товаров при их обороте.</w:t>
      </w:r>
    </w:p>
    <w:p w:rsidR="006034BF" w:rsidRPr="00DC5BB3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Срок хранения в национальных системах прослеживаемости сведений об обороте товаров, включенных в перечень, определяется Советом Комиссии.</w:t>
      </w:r>
    </w:p>
    <w:p w:rsidR="00462AF4" w:rsidRPr="00DC5BB3" w:rsidRDefault="00462AF4" w:rsidP="00DC5BB3">
      <w:pPr>
        <w:pStyle w:val="Bodytext20"/>
        <w:shd w:val="clear" w:color="auto" w:fill="auto"/>
        <w:spacing w:before="0" w:after="120" w:line="240" w:lineRule="auto"/>
        <w:rPr>
          <w:rStyle w:val="Bodytext6"/>
          <w:rFonts w:ascii="Sylfaen" w:hAnsi="Sylfaen"/>
          <w:sz w:val="24"/>
          <w:szCs w:val="24"/>
        </w:rPr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Style w:val="Bodytext6"/>
          <w:rFonts w:ascii="Sylfaen" w:hAnsi="Sylfaen"/>
          <w:sz w:val="24"/>
          <w:szCs w:val="24"/>
        </w:rPr>
        <w:t xml:space="preserve">Статья </w:t>
      </w:r>
      <w:r w:rsidR="00D716A6" w:rsidRPr="00BE71C5">
        <w:rPr>
          <w:rFonts w:ascii="Sylfaen" w:hAnsi="Sylfaen"/>
          <w:sz w:val="24"/>
          <w:szCs w:val="24"/>
        </w:rPr>
        <w:fldChar w:fldCharType="begin"/>
      </w:r>
      <w:r w:rsidR="006034BF" w:rsidRPr="00BE71C5">
        <w:rPr>
          <w:rFonts w:ascii="Sylfaen" w:hAnsi="Sylfaen"/>
          <w:sz w:val="24"/>
          <w:szCs w:val="24"/>
        </w:rPr>
        <w:instrText xml:space="preserve"> PAGE \* MERGEFORMAT </w:instrText>
      </w:r>
      <w:r w:rsidR="00D716A6" w:rsidRPr="00BE71C5">
        <w:rPr>
          <w:rFonts w:ascii="Sylfaen" w:hAnsi="Sylfaen"/>
          <w:sz w:val="24"/>
          <w:szCs w:val="24"/>
        </w:rPr>
        <w:fldChar w:fldCharType="separate"/>
      </w:r>
      <w:r w:rsidRPr="00BE71C5">
        <w:rPr>
          <w:rStyle w:val="Bodytext6"/>
          <w:rFonts w:ascii="Sylfaen" w:hAnsi="Sylfaen"/>
          <w:sz w:val="24"/>
          <w:szCs w:val="24"/>
        </w:rPr>
        <w:t>9</w:t>
      </w:r>
      <w:r w:rsidR="00D716A6" w:rsidRPr="00BE71C5">
        <w:rPr>
          <w:rFonts w:ascii="Sylfaen" w:hAnsi="Sylfaen"/>
          <w:sz w:val="24"/>
          <w:szCs w:val="24"/>
        </w:rPr>
        <w:fldChar w:fldCharType="end"/>
      </w:r>
    </w:p>
    <w:p w:rsidR="006034BF" w:rsidRPr="00BE71C5" w:rsidRDefault="006034BF" w:rsidP="00DC5BB3">
      <w:pPr>
        <w:spacing w:after="120"/>
      </w:pP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Любая информация, полученная в соответствии с настоящим Соглашением, используется органами государственной власти государств-членов только в целях исполнения настоящего Соглашения.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В соответствии с законодательством государств-членов могут быть определены государственные или иные организации, осуществляющие исключительно функции сбора, хранения, обмена и обработки информации в рамках обеспечения функционирования механизма прослеживаемости.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lastRenderedPageBreak/>
        <w:t>3.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Государства-члены принимают необходимые меры по защите от неправомерного распространения информации, полученной в соответствии с настоящим Соглашением, и обеспечивают ограничение круга лиц, имеющих доступ к полученной информации, а также защиту такой информации в соответствии со своим законодательством.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Компетентные (уполномоченные) органы государств-членов, а также лица, получившие доступ к информации, указанной в пункте 1 настоящей статьи, не вправе разглашать, использовать в личных целях либо передавать иным лицам (в том числе государственным органам государств-членов) информацию, составляющую государственную, коммерческую, налоговую, банковскую и иную охраняемую законодательством государств-членов тайну (секреты) а также другую конфиденциальную информацию.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Положения настоящего Соглашения не распространяются на информацию, отнесенную в соответствии с законодательством государств-членов к государственной тайне (государственным секретам).</w:t>
      </w:r>
    </w:p>
    <w:p w:rsidR="002F2EA0" w:rsidRPr="00DC5BB3" w:rsidRDefault="002F2EA0" w:rsidP="00DC5BB3">
      <w:pPr>
        <w:pStyle w:val="Bodytext20"/>
        <w:shd w:val="clear" w:color="auto" w:fill="auto"/>
        <w:spacing w:before="0" w:after="120" w:line="240" w:lineRule="auto"/>
        <w:rPr>
          <w:rStyle w:val="Bodytext6"/>
          <w:rFonts w:ascii="Sylfaen" w:hAnsi="Sylfaen"/>
          <w:sz w:val="24"/>
          <w:szCs w:val="24"/>
        </w:rPr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Style w:val="Bodytext6"/>
          <w:rFonts w:ascii="Sylfaen" w:hAnsi="Sylfaen"/>
          <w:sz w:val="24"/>
          <w:szCs w:val="24"/>
        </w:rPr>
        <w:t xml:space="preserve">Статья </w:t>
      </w:r>
      <w:r w:rsidR="00D716A6" w:rsidRPr="00BE71C5">
        <w:rPr>
          <w:rFonts w:ascii="Sylfaen" w:hAnsi="Sylfaen"/>
          <w:sz w:val="24"/>
          <w:szCs w:val="24"/>
        </w:rPr>
        <w:fldChar w:fldCharType="begin"/>
      </w:r>
      <w:r w:rsidR="006034BF" w:rsidRPr="00BE71C5">
        <w:rPr>
          <w:rFonts w:ascii="Sylfaen" w:hAnsi="Sylfaen"/>
          <w:sz w:val="24"/>
          <w:szCs w:val="24"/>
        </w:rPr>
        <w:instrText xml:space="preserve"> PAGE \* MERGEFORMAT </w:instrText>
      </w:r>
      <w:r w:rsidR="00D716A6" w:rsidRPr="00BE71C5">
        <w:rPr>
          <w:rFonts w:ascii="Sylfaen" w:hAnsi="Sylfaen"/>
          <w:sz w:val="24"/>
          <w:szCs w:val="24"/>
        </w:rPr>
        <w:fldChar w:fldCharType="separate"/>
      </w:r>
      <w:r w:rsidRPr="00BE71C5">
        <w:rPr>
          <w:rStyle w:val="Bodytext6"/>
          <w:rFonts w:ascii="Sylfaen" w:hAnsi="Sylfaen"/>
          <w:sz w:val="24"/>
          <w:szCs w:val="24"/>
        </w:rPr>
        <w:t>10</w:t>
      </w:r>
      <w:r w:rsidR="00D716A6" w:rsidRPr="00BE71C5">
        <w:rPr>
          <w:rFonts w:ascii="Sylfaen" w:hAnsi="Sylfaen"/>
          <w:sz w:val="24"/>
          <w:szCs w:val="24"/>
        </w:rPr>
        <w:fldChar w:fldCharType="end"/>
      </w:r>
    </w:p>
    <w:p w:rsidR="006034BF" w:rsidRPr="00BE71C5" w:rsidRDefault="006034BF" w:rsidP="00DC5BB3">
      <w:pPr>
        <w:spacing w:after="120"/>
      </w:pP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Лица, осуществляющие оборот товаров, обязаны: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оформлять сопроводительные документы в электронной форме;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представлять полные и достоверные сведения в целях, предусмотренных настоящим Соглашением, и законодательством государств-членов.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За неисполнение обязанностей, предусмотренных пунктом 1 настоящей статьи, лица несут ответственность в соответствии с законодательством государств-членов.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В целях контроля оборота товаров, государства-члены предусматривают в своем законодательстве ответственность за неисполнение или ненадлежащее исполнение обязанностей, предусмотренных настоящим Соглашением.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Отсутствие в национальной системе прослеживаемости сведений о сопроводительном документе на товары может считаться основанием для отказа в перевозке таких товаров с территории одного государства- члена на территорию другого государства-члена.</w:t>
      </w:r>
    </w:p>
    <w:p w:rsidR="006034BF" w:rsidRPr="00BE71C5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Статья 11</w:t>
      </w:r>
    </w:p>
    <w:p w:rsidR="006034BF" w:rsidRPr="00BE71C5" w:rsidRDefault="006034BF" w:rsidP="00DC5BB3">
      <w:pPr>
        <w:spacing w:after="120"/>
      </w:pPr>
    </w:p>
    <w:p w:rsidR="002F2EA0" w:rsidRPr="002F2EA0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 xml:space="preserve">1. Сведения о товарах, подлежащих прослеживаемости в соответствии с настоящим Соглашением и фактически находящихся на таможенной территории Союза на дату вступления в силу перечня, подлежат включению в национальную </w:t>
      </w:r>
      <w:r w:rsidRPr="00BE71C5">
        <w:rPr>
          <w:rFonts w:ascii="Sylfaen" w:hAnsi="Sylfaen"/>
          <w:sz w:val="24"/>
          <w:szCs w:val="24"/>
        </w:rPr>
        <w:lastRenderedPageBreak/>
        <w:t>систему прослеживаемости в сроки и в порядке, которые определяются Советом Комиссии одновременно с утверждением перечня (внесением изменений в перечень).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Без включения сведений в национальную систему прослеживаемости перемещение товаров с территории одного государства-члена на территорию другого государства-члена не допускается.</w:t>
      </w:r>
    </w:p>
    <w:p w:rsidR="006034BF" w:rsidRPr="00BE71C5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Статья 12</w:t>
      </w:r>
    </w:p>
    <w:p w:rsidR="006034BF" w:rsidRPr="00BE71C5" w:rsidRDefault="006034BF" w:rsidP="00DC5BB3">
      <w:pPr>
        <w:spacing w:after="120"/>
      </w:pP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В течение 120 календарных дней с даты вступления настоящего Соглашения в силу правительства государств-членов определяют компетентные (уполномоченные) органы государств-членов.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В течение 15 календарных дней с даты определения компетентных (уполномоченных) органов государств-членов, государства-члены информируют Комиссию о компетентных (уполномоченных) органах государств-членов.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В течение 30 календарных дней с даты вступления настоящего Соглашения в силу государства-члены информируют Комиссию о наименовании документа, определенного в соответствии с законодательством государства-члена в качестве сопроводительного документа.</w:t>
      </w:r>
    </w:p>
    <w:p w:rsidR="002F2EA0" w:rsidRPr="00DC5BB3" w:rsidRDefault="002F2EA0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6034BF" w:rsidRPr="00DC5BB3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Статья 13</w:t>
      </w:r>
    </w:p>
    <w:p w:rsidR="002F2EA0" w:rsidRPr="00DC5BB3" w:rsidRDefault="002F2EA0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1. Государства-члены обязуются приступить к реализации пилотного проекта по внедрению механизма прослеживаемости с 1 февраля 2018 г.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Сроки и условия реализации пилотного проекта, а также перечень товаров (с указанием позиций в соответствии с единой Товарной номенклатурой внешнеэкономической деятельности Евразийского</w:t>
      </w:r>
      <w:r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E71C5">
        <w:rPr>
          <w:rFonts w:ascii="Sylfaen" w:hAnsi="Sylfaen"/>
          <w:sz w:val="24"/>
          <w:szCs w:val="24"/>
        </w:rPr>
        <w:t>экономического союза на уровне не менее 4-х знаков), подлежащих прослеживаемости в рамках пилотного проекта, определяются Комиссией.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Решение Комиссии должно быть опубликовано не позднее 1 октября 2017 г.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С даты начала реализации пилотного проекта, предусмотренного настоящим Соглашением, государства-члены обеспечивают функционирование национальных систем прослеживаемости в целях реализации настоящего Соглашения.</w:t>
      </w:r>
    </w:p>
    <w:p w:rsidR="006034BF" w:rsidRPr="00BE71C5" w:rsidRDefault="00BE71C5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AD2667" w:rsidRPr="00BE71C5">
        <w:rPr>
          <w:rFonts w:ascii="Sylfaen" w:hAnsi="Sylfaen"/>
          <w:sz w:val="24"/>
          <w:szCs w:val="24"/>
        </w:rPr>
        <w:t>Государства-члены обязуются исходя из результатов реализации пилотного проекта приступить к применению механизма прослеживаемости на постоянной основе в течение 2018 года в соответствии с решением Комиссии.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Такое решение Комиссии вступает в силу не ранее чем по истечении 90 календарных дней с даты его официального опубликования.</w:t>
      </w:r>
    </w:p>
    <w:p w:rsidR="006034BF" w:rsidRPr="00BE71C5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Статья 14</w:t>
      </w:r>
    </w:p>
    <w:p w:rsidR="006034BF" w:rsidRPr="00BE71C5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В течение 120 календарных дней с даты вступления настоящего Соглашения в силу Комиссия утверждает: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требования к уникальной идентификации и структуре регистрационного номера сопроводительного документа;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порядок взаимодействия компетентных (уполномоченных) органов государств-членов и Комиссии, а также требования к структуре и формату информации, передаваемой между компетентными (уполномоченными) органами государств-членов и Комиссии в целях контроля за исполнением настоящего Соглашения;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правила реализации общих процессов и технологические документы, регламентирующие информационное взаимодействие при реализации средствами интегрированной информационной системы внешней и взаимной торговли общих процессов.</w:t>
      </w:r>
    </w:p>
    <w:p w:rsidR="006034BF" w:rsidRPr="00BE71C5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Статья 15</w:t>
      </w:r>
    </w:p>
    <w:p w:rsidR="006034BF" w:rsidRPr="00BE71C5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По инициативе любого из государств-членов и взаимной договоренности в настоящее Соглашение могут быть внесены изменения, которые оформляются отдельными протоколами.</w:t>
      </w: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Протоколы вступают в силу в соответствии со статьей 17 настоящего Соглашения.</w:t>
      </w:r>
    </w:p>
    <w:p w:rsidR="006034BF" w:rsidRPr="00BE71C5" w:rsidRDefault="006034BF" w:rsidP="00DC5BB3">
      <w:pPr>
        <w:spacing w:after="120"/>
        <w:ind w:firstLine="567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Статья 16</w:t>
      </w:r>
    </w:p>
    <w:p w:rsidR="006034BF" w:rsidRPr="00BE71C5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Оговорки к настоящему Соглашению не допускаются.</w:t>
      </w:r>
    </w:p>
    <w:p w:rsidR="006034BF" w:rsidRPr="00BE71C5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Статья 17</w:t>
      </w:r>
    </w:p>
    <w:p w:rsidR="006034BF" w:rsidRPr="00BE71C5" w:rsidRDefault="006034BF" w:rsidP="00DC5BB3">
      <w:pPr>
        <w:spacing w:after="120"/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6034BF" w:rsidRPr="00BE71C5" w:rsidSect="00BE71C5">
          <w:headerReference w:type="default" r:id="rId8"/>
          <w:type w:val="continuous"/>
          <w:pgSz w:w="11900" w:h="16840" w:code="9"/>
          <w:pgMar w:top="1418" w:right="1418" w:bottom="1418" w:left="1418" w:header="0" w:footer="6" w:gutter="0"/>
          <w:pgNumType w:start="18"/>
          <w:cols w:space="720"/>
          <w:noEndnote/>
          <w:docGrid w:linePitch="360"/>
        </w:sectPr>
      </w:pPr>
      <w:r w:rsidRPr="00BE71C5">
        <w:rPr>
          <w:rFonts w:ascii="Sylfaen" w:hAnsi="Sylfaen"/>
          <w:sz w:val="24"/>
          <w:szCs w:val="24"/>
        </w:rPr>
        <w:t>Настоящее Соглашение вступает в силу с даты получения депозитарием по дипломатическим каналам последнего письменного уведомления</w:t>
      </w:r>
      <w:r w:rsidR="00BE71C5">
        <w:rPr>
          <w:rFonts w:ascii="Sylfaen" w:hAnsi="Sylfaen"/>
          <w:sz w:val="24"/>
          <w:szCs w:val="24"/>
        </w:rPr>
        <w:t xml:space="preserve"> </w:t>
      </w:r>
      <w:r w:rsidRPr="00BE71C5">
        <w:rPr>
          <w:rFonts w:ascii="Sylfaen" w:hAnsi="Sylfaen"/>
          <w:sz w:val="24"/>
          <w:szCs w:val="24"/>
        </w:rPr>
        <w:t>о</w:t>
      </w:r>
      <w:r w:rsidR="00BE71C5">
        <w:rPr>
          <w:rFonts w:ascii="Sylfaen" w:hAnsi="Sylfaen"/>
          <w:sz w:val="24"/>
          <w:szCs w:val="24"/>
        </w:rPr>
        <w:t xml:space="preserve"> </w:t>
      </w:r>
      <w:r w:rsidRPr="00BE71C5">
        <w:rPr>
          <w:rFonts w:ascii="Sylfaen" w:hAnsi="Sylfaen"/>
          <w:sz w:val="24"/>
          <w:szCs w:val="24"/>
        </w:rPr>
        <w:t>выполнении</w:t>
      </w:r>
      <w:r w:rsidR="00BE71C5">
        <w:rPr>
          <w:rFonts w:ascii="Sylfaen" w:hAnsi="Sylfaen"/>
          <w:sz w:val="24"/>
          <w:szCs w:val="24"/>
        </w:rPr>
        <w:t xml:space="preserve"> </w:t>
      </w:r>
      <w:r w:rsidRPr="00BE71C5">
        <w:rPr>
          <w:rFonts w:ascii="Sylfaen" w:hAnsi="Sylfaen"/>
          <w:sz w:val="24"/>
          <w:szCs w:val="24"/>
        </w:rPr>
        <w:t>государствами-членами</w:t>
      </w:r>
      <w:r w:rsidRPr="00BE71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E71C5">
        <w:rPr>
          <w:rFonts w:ascii="Sylfaen" w:hAnsi="Sylfaen"/>
          <w:sz w:val="24"/>
          <w:szCs w:val="24"/>
        </w:rPr>
        <w:t>внутригосударственных процедур, необходимых для вступления настоящего Соглашения в силу.</w:t>
      </w:r>
    </w:p>
    <w:p w:rsidR="000D2B0D" w:rsidRPr="00DC5BB3" w:rsidRDefault="000D2B0D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6034BF" w:rsidRPr="00BE71C5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t>Совершено в городе</w:t>
      </w:r>
      <w:r w:rsidRPr="00BE71C5">
        <w:rPr>
          <w:rFonts w:ascii="Sylfaen" w:hAnsi="Sylfaen"/>
          <w:sz w:val="24"/>
          <w:szCs w:val="24"/>
          <w:lang w:eastAsia="en-US" w:bidi="en-US"/>
        </w:rPr>
        <w:t xml:space="preserve"> _______________ </w:t>
      </w:r>
      <w:r w:rsidRPr="00BE71C5">
        <w:rPr>
          <w:rFonts w:ascii="Sylfaen" w:hAnsi="Sylfaen"/>
          <w:sz w:val="24"/>
          <w:szCs w:val="24"/>
        </w:rPr>
        <w:t>г.</w:t>
      </w:r>
    </w:p>
    <w:p w:rsidR="006034BF" w:rsidRPr="00DC5BB3" w:rsidRDefault="00AD2667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E71C5">
        <w:rPr>
          <w:rFonts w:ascii="Sylfaen" w:hAnsi="Sylfaen"/>
          <w:sz w:val="24"/>
          <w:szCs w:val="24"/>
        </w:rPr>
        <w:lastRenderedPageBreak/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0D2B0D" w:rsidRPr="00DC5BB3" w:rsidRDefault="000D2B0D" w:rsidP="00DC5BB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0"/>
        <w:gridCol w:w="1876"/>
        <w:gridCol w:w="2088"/>
        <w:gridCol w:w="2041"/>
        <w:gridCol w:w="1890"/>
      </w:tblGrid>
      <w:tr w:rsidR="006034BF" w:rsidRPr="00BE71C5" w:rsidTr="00BE71C5">
        <w:trPr>
          <w:jc w:val="center"/>
        </w:trPr>
        <w:tc>
          <w:tcPr>
            <w:tcW w:w="2250" w:type="dxa"/>
            <w:shd w:val="clear" w:color="auto" w:fill="FFFFFF"/>
            <w:vAlign w:val="center"/>
          </w:tcPr>
          <w:p w:rsidR="006034BF" w:rsidRPr="00BE71C5" w:rsidRDefault="00AD2667" w:rsidP="00DC5B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E71C5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6034BF" w:rsidRPr="00BE71C5" w:rsidRDefault="00AD2667" w:rsidP="00DC5B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E71C5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6034BF" w:rsidRPr="00BE71C5" w:rsidRDefault="00AD2667" w:rsidP="00DC5B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E71C5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  <w:tc>
          <w:tcPr>
            <w:tcW w:w="2041" w:type="dxa"/>
            <w:shd w:val="clear" w:color="auto" w:fill="FFFFFF"/>
            <w:vAlign w:val="bottom"/>
          </w:tcPr>
          <w:p w:rsidR="006034BF" w:rsidRPr="00BE71C5" w:rsidRDefault="00AD2667" w:rsidP="00DC5B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E71C5">
              <w:rPr>
                <w:rFonts w:ascii="Sylfaen" w:hAnsi="Sylfaen"/>
                <w:sz w:val="24"/>
                <w:szCs w:val="24"/>
              </w:rPr>
              <w:t>От Кыргызской</w:t>
            </w:r>
            <w:r w:rsidRPr="00BE71C5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E71C5">
              <w:rPr>
                <w:rFonts w:ascii="Sylfaen" w:hAnsi="Sylfaen"/>
                <w:sz w:val="24"/>
                <w:szCs w:val="24"/>
              </w:rPr>
              <w:t>Республики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6034BF" w:rsidRPr="00BE71C5" w:rsidRDefault="00AD2667" w:rsidP="00DC5BB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E71C5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</w:tbl>
    <w:p w:rsidR="006034BF" w:rsidRPr="00BE71C5" w:rsidRDefault="006034BF" w:rsidP="00DC5BB3">
      <w:pPr>
        <w:spacing w:after="120"/>
      </w:pPr>
    </w:p>
    <w:sectPr w:rsidR="006034BF" w:rsidRPr="00BE71C5" w:rsidSect="00BE71C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03" w:rsidRDefault="001E0E03" w:rsidP="006034BF">
      <w:r>
        <w:separator/>
      </w:r>
    </w:p>
  </w:endnote>
  <w:endnote w:type="continuationSeparator" w:id="0">
    <w:p w:rsidR="001E0E03" w:rsidRDefault="001E0E03" w:rsidP="0060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03" w:rsidRDefault="001E0E03"/>
  </w:footnote>
  <w:footnote w:type="continuationSeparator" w:id="0">
    <w:p w:rsidR="001E0E03" w:rsidRDefault="001E0E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BF" w:rsidRDefault="006034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F78"/>
    <w:multiLevelType w:val="multilevel"/>
    <w:tmpl w:val="72BC1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D44F2"/>
    <w:multiLevelType w:val="multilevel"/>
    <w:tmpl w:val="633A1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C7AD7"/>
    <w:multiLevelType w:val="multilevel"/>
    <w:tmpl w:val="B86234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D6BE9"/>
    <w:multiLevelType w:val="multilevel"/>
    <w:tmpl w:val="43301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8649F"/>
    <w:multiLevelType w:val="multilevel"/>
    <w:tmpl w:val="E2B4D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946B3"/>
    <w:multiLevelType w:val="multilevel"/>
    <w:tmpl w:val="18A25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4571B5"/>
    <w:multiLevelType w:val="multilevel"/>
    <w:tmpl w:val="F1CE3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A11103"/>
    <w:multiLevelType w:val="multilevel"/>
    <w:tmpl w:val="CCCEA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397794"/>
    <w:multiLevelType w:val="multilevel"/>
    <w:tmpl w:val="846EE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C5678"/>
    <w:multiLevelType w:val="multilevel"/>
    <w:tmpl w:val="23643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A50FBA"/>
    <w:multiLevelType w:val="multilevel"/>
    <w:tmpl w:val="F37C7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B31803"/>
    <w:multiLevelType w:val="multilevel"/>
    <w:tmpl w:val="BCC8D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516E03"/>
    <w:multiLevelType w:val="multilevel"/>
    <w:tmpl w:val="730E5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64404A"/>
    <w:multiLevelType w:val="multilevel"/>
    <w:tmpl w:val="31B201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B9675A"/>
    <w:multiLevelType w:val="multilevel"/>
    <w:tmpl w:val="52586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CE5827"/>
    <w:multiLevelType w:val="multilevel"/>
    <w:tmpl w:val="2A66E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A12F24"/>
    <w:multiLevelType w:val="multilevel"/>
    <w:tmpl w:val="44E0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9"/>
  </w:num>
  <w:num w:numId="5">
    <w:abstractNumId w:val="8"/>
  </w:num>
  <w:num w:numId="6">
    <w:abstractNumId w:val="16"/>
  </w:num>
  <w:num w:numId="7">
    <w:abstractNumId w:val="5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2"/>
  </w:num>
  <w:num w:numId="13">
    <w:abstractNumId w:val="7"/>
  </w:num>
  <w:num w:numId="14">
    <w:abstractNumId w:val="6"/>
  </w:num>
  <w:num w:numId="15">
    <w:abstractNumId w:val="15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034BF"/>
    <w:rsid w:val="000D2B0D"/>
    <w:rsid w:val="00191856"/>
    <w:rsid w:val="001E0E03"/>
    <w:rsid w:val="002F2EA0"/>
    <w:rsid w:val="00450AED"/>
    <w:rsid w:val="00462AF4"/>
    <w:rsid w:val="004F5E3B"/>
    <w:rsid w:val="006034BF"/>
    <w:rsid w:val="00AD2667"/>
    <w:rsid w:val="00BE71C5"/>
    <w:rsid w:val="00C41BE6"/>
    <w:rsid w:val="00D716A6"/>
    <w:rsid w:val="00DC5BB3"/>
    <w:rsid w:val="00E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34B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34BF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sid w:val="00603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603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603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603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03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603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603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603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603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603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"/>
    <w:basedOn w:val="DefaultParagraphFont"/>
    <w:rsid w:val="00603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603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paragraph" w:customStyle="1" w:styleId="Bodytext50">
    <w:name w:val="Body text (5)"/>
    <w:basedOn w:val="Normal"/>
    <w:link w:val="Bodytext5"/>
    <w:rsid w:val="006034BF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6034BF"/>
    <w:pPr>
      <w:shd w:val="clear" w:color="auto" w:fill="FFFFFF"/>
      <w:spacing w:before="60" w:after="84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6034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6034BF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6034BF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6034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6034BF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6034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ordiaUPC">
    <w:name w:val="Body text (2) + CordiaUPC"/>
    <w:aliases w:val="18 pt,Bold,Body text (2) + 13 pt"/>
    <w:basedOn w:val="Bodytext2"/>
    <w:rsid w:val="00C41BE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F2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EA0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F2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EA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2018-03-26T13:13:00Z</dcterms:created>
  <dcterms:modified xsi:type="dcterms:W3CDTF">2018-10-17T08:09:00Z</dcterms:modified>
</cp:coreProperties>
</file>