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2E46F8">
        <w:rPr>
          <w:rFonts w:ascii="Sylfaen" w:hAnsi="Sylfaen" w:cs="Sylfaen"/>
          <w:sz w:val="24"/>
        </w:rPr>
        <w:t>УТВЕРЖДЕНО</w:t>
      </w:r>
    </w:p>
    <w:p w:rsidR="00DC490D" w:rsidRPr="00DC490D" w:rsidRDefault="002E46F8" w:rsidP="00DC490D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Решением Коллегии</w:t>
      </w:r>
      <w:r w:rsidR="00DC490D">
        <w:rPr>
          <w:rFonts w:ascii="Sylfaen" w:hAnsi="Sylfaen" w:cs="Sylfaen"/>
          <w:sz w:val="24"/>
          <w:lang w:val="en-US"/>
        </w:rPr>
        <w:t xml:space="preserve"> </w:t>
      </w:r>
      <w:r w:rsidRPr="002E46F8">
        <w:rPr>
          <w:rFonts w:ascii="Sylfaen" w:hAnsi="Sylfaen" w:cs="Sylfaen"/>
          <w:sz w:val="24"/>
        </w:rPr>
        <w:t>Евразийской экономической комиссии</w:t>
      </w:r>
    </w:p>
    <w:p w:rsidR="00D774E4" w:rsidRDefault="002E46F8" w:rsidP="00DC490D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от 21 ноября 2017 г. № 160</w:t>
      </w:r>
    </w:p>
    <w:p w:rsidR="00DC490D" w:rsidRPr="00DC490D" w:rsidRDefault="00DC490D" w:rsidP="00DC490D">
      <w:pPr>
        <w:pStyle w:val="Bodytext20"/>
        <w:shd w:val="clear" w:color="auto" w:fill="auto"/>
        <w:spacing w:before="0" w:after="120" w:line="240" w:lineRule="auto"/>
        <w:ind w:left="5103" w:right="40"/>
        <w:jc w:val="center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2E46F8">
      <w:pPr>
        <w:pStyle w:val="Bodytext30"/>
        <w:shd w:val="clear" w:color="auto" w:fill="auto"/>
        <w:spacing w:line="240" w:lineRule="auto"/>
        <w:ind w:left="20"/>
        <w:rPr>
          <w:rFonts w:ascii="Sylfaen" w:hAnsi="Sylfaen" w:cs="Sylfaen"/>
          <w:sz w:val="24"/>
        </w:rPr>
      </w:pPr>
      <w:r w:rsidRPr="002E46F8">
        <w:rPr>
          <w:rStyle w:val="Bodytext3Spacing2pt0"/>
          <w:rFonts w:ascii="Sylfaen" w:hAnsi="Sylfaen" w:cs="Sylfaen"/>
          <w:b/>
          <w:bCs/>
          <w:spacing w:val="0"/>
          <w:sz w:val="24"/>
        </w:rPr>
        <w:t>ПОЛОЖЕНИЕ</w:t>
      </w:r>
    </w:p>
    <w:p w:rsidR="00D774E4" w:rsidRDefault="002E46F8" w:rsidP="002E46F8">
      <w:pPr>
        <w:pStyle w:val="Bodytext30"/>
        <w:shd w:val="clear" w:color="auto" w:fill="auto"/>
        <w:spacing w:line="240" w:lineRule="auto"/>
        <w:ind w:left="20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о проведении мониторинга и сравнительно-правового анализа</w:t>
      </w:r>
      <w:r w:rsidR="00DC490D" w:rsidRPr="00DC490D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законодательства государств - членов Евразийского</w:t>
      </w:r>
      <w:r w:rsidR="00DC490D" w:rsidRPr="00DC490D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экономического союза в области государственной поддержки</w:t>
      </w:r>
      <w:r w:rsidR="00DC490D" w:rsidRPr="00DC490D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сельского хозяйства</w:t>
      </w:r>
    </w:p>
    <w:p w:rsidR="00DC490D" w:rsidRPr="00DC490D" w:rsidRDefault="00DC490D" w:rsidP="002E46F8">
      <w:pPr>
        <w:pStyle w:val="Bodytext30"/>
        <w:shd w:val="clear" w:color="auto" w:fill="auto"/>
        <w:spacing w:line="240" w:lineRule="auto"/>
        <w:ind w:left="20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2E46F8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I. Общие положения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Настоящее Положение определяет порядок проведения мониторинга и сравнительно-правового анализа законодательства государств - членов Евразийского экономического союза в области государственной поддержки сельского хозяйства (далее соответственно - мониторинг, сравнительно-правовой анализ, государства-члены, Союз).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Мониторинг и сравнительно-правовой анализ проводятся Евразийской экономической комиссией (далее - Комиссия) на постоянной основе в соответствии с подпунктом 7 пункта 7 статьи 95 Договора о Евразийском экономическом союзе от 29 мая 2014 года (далее - Договор).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3.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Целью проведения мониторинга и сравнительно-правового анализа является обеспечение выполнения государствами-членами обязательств по нормативному правовому регулированию государственной поддержки сельского хозяйства, принятых в рамках Союза.</w:t>
      </w:r>
    </w:p>
    <w:p w:rsidR="00D774E4" w:rsidRPr="00DC490D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4.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Понятия, используемые в настоящем Положении, применяются в значениях, определенных Договором.</w:t>
      </w:r>
    </w:p>
    <w:p w:rsidR="00DC490D" w:rsidRPr="00DC490D" w:rsidRDefault="00DC490D" w:rsidP="002E46F8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left="1134" w:right="1135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II.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Порядок проведения мониторинга и сравнительно-правового анализа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5.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При проведении мониторинга и сравнительно-правового анализа Комиссия осуществляет: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сбор и анализ информации о нормативных правовых актах, в соответствии с которыми государствами-членами предоставляется государственная поддержка сельского хозяйства;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сравнительно-правовой анализ законодательства государств- членов в сфере государственной поддержки сельского хозяйства и соответствующих положений Договора на предмет соответствия законодательства государств-членов обязательствам в рамках Союза;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lastRenderedPageBreak/>
        <w:t>в)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анализ опыта нормативного правового регулирования государственной поддержки сельского хозяйства третьих стран, включая практику оценки хода выполнения международных обязательств третьих стран в сфере сельского хозяйства в рамках Всемирной торговой организации (ВТО);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мотивированную оценку нормативного правового регулирования с учетом результатов квалификации мер государственной поддержки, проведенной государствами-членами в рамках уведомлений о государственной поддержке сельского хозяйства, и практики квалификации таких мер третьими странами в рамках ВТО;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д)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содействие в проведении совместных консультаций государств- членов по вопросам государственной поддержки сельского хозяйства, в том числе по вопросам развития права ВТО в данной сфере.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6.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Мониторинг и сравнительно-правовой анализ проводятся Комиссией в отношении: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информации о нормативном правовом регулировании государственной поддержки сельского хозяйства, содержащейся в источниках официального опубликования нормативных правовых актов государств-членов;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информации об объемах государственной поддержки сельского хозяйства и официальных статистических данных государств-членов.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7.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Комиссия вправе направлять в органы исполнительной власти государств-членов запрос о предоставлении информации, необходимой для проведения мониторинга и сравнительно-правового анализа.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8.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Органы исполнительной власти государств-членов обеспечивают предоставление в Комиссию запрашиваемой информации в соответствии с абзацем вторым пункта 8 Положения о Евразийской экономической комиссии (приложение № 1 к Договору).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9.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Мониторинг и сравнительно-правовой анализ проводятся</w:t>
      </w:r>
    </w:p>
    <w:p w:rsidR="00D774E4" w:rsidRPr="00DC490D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с учетом уведомлений о планируемой или предоставленной государственной поддержке сельского хозяйства, поступивших в Комиссию в соответствии с пунктом 35 или пунктом 38 Протокола о мерах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государственной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поддержки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сельского хозяйства (приложение № 29 к Договору).</w:t>
      </w:r>
    </w:p>
    <w:p w:rsidR="00DC490D" w:rsidRPr="00DC490D" w:rsidRDefault="00DC490D" w:rsidP="002E46F8">
      <w:pPr>
        <w:pStyle w:val="Bodytext20"/>
        <w:shd w:val="clear" w:color="auto" w:fill="auto"/>
        <w:spacing w:before="0" w:after="120" w:line="240" w:lineRule="auto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left="1701" w:right="1702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III.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Форма закрепления результатов мониторинга и сравнительноправового анализа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10.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Результаты мониторинга и сравнительно-правового анализа, формируемые Комиссией, включают в себя: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а) результаты анализа, проведенного в соответствии с подпунктом «а» пункта 5 настоящего Положения, характеризующие: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lastRenderedPageBreak/>
        <w:t>цели реализации мер государственной поддержки сельского хозяйства;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сроки реализации мер государственной поддержки сельского хозяйства;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условия предоставления мер государственной поддержки сельского хозяйства;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результаты сравнительно-правового анализа, проведенного в соответствии с подпунктом «б» пункта 5 настоящего Положения, характеризующие: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меры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государственной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поддержки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сельского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хозяйства, не оказывающие искажающего воздействия на взаимную торговлю государств-членов сельскохозяйственными товарами;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меры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государственной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поддержки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сельского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хозяйства, оказывающие искажающее воздействие на взаимную торговлю государств-членов сельскохозяйственными товарами;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меры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государственной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поддержки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сельского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хозяйства, в наибольшей степени оказывающие искажающее воздействие на торговлю государств-членов сельскохозяйственными товарами;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оценку нормативного правового регулирования государств- членов в части: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эффективности реализации мер государственной поддержки сельского хозяйства;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динамики развития сельского хозяйства;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влияния мер государственной поддержки сельского хозяйства на взаимную торговлю государств-членов;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условий отраслевой конкуренции на внутреннем рынке Союза;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предложения по совершенствованию законодательства государств-членов в области государственной поддержки сельского хозяйства.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11.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Комиссия обеспечивает рассмотрение результатов мониторинга и сравнительно-правового анализа в рамках рабочей группы при Консультативном комитете по агропромышленному комплексу не реже 1 раза в 3 месяца.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12.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 xml:space="preserve"> По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итогам рассмотрения результатов мониторинга и сравнительно-правового анализа, проведенного в соответствии с пунктом 11 настоящего Положения, органы исполнительной власти государств-членов могут направлять в Комиссию предложения в части, касающейся формы и содержания мониторинга и сравнительноправового анализа.</w:t>
      </w:r>
    </w:p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13.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Результаты мониторинга и сравнительно-правового анализа имеют информационный характер и могут использоваться при подготовке обзоров агропромышленной политики в сфере государственной поддержки сельского хозяйства, реализуемой в рамках Союза, в соответствии с подпунктом 8 пункта 7 статьи 95 Договора.</w:t>
      </w:r>
    </w:p>
    <w:p w:rsidR="00DC490D" w:rsidRDefault="00DC490D">
      <w:pPr>
        <w:rPr>
          <w:rFonts w:ascii="Sylfaen" w:hAnsi="Sylfaen" w:cs="Sylfaen"/>
          <w:szCs w:val="2"/>
        </w:rPr>
      </w:pPr>
    </w:p>
    <w:sectPr w:rsidR="00DC490D" w:rsidSect="002E46F8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74" w:rsidRDefault="006C5B74" w:rsidP="00D774E4">
      <w:r>
        <w:separator/>
      </w:r>
    </w:p>
  </w:endnote>
  <w:endnote w:type="continuationSeparator" w:id="0">
    <w:p w:rsidR="006C5B74" w:rsidRDefault="006C5B74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74" w:rsidRDefault="006C5B74">
      <w:r>
        <w:separator/>
      </w:r>
    </w:p>
  </w:footnote>
  <w:footnote w:type="continuationSeparator" w:id="0">
    <w:p w:rsidR="006C5B74" w:rsidRDefault="006C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0A7EAE"/>
    <w:rsid w:val="002E46F8"/>
    <w:rsid w:val="002E66C6"/>
    <w:rsid w:val="00331F31"/>
    <w:rsid w:val="003F6404"/>
    <w:rsid w:val="003F6A72"/>
    <w:rsid w:val="004F38CF"/>
    <w:rsid w:val="004F3A95"/>
    <w:rsid w:val="005849E6"/>
    <w:rsid w:val="005D669A"/>
    <w:rsid w:val="006C4DEE"/>
    <w:rsid w:val="006C5B74"/>
    <w:rsid w:val="008843C2"/>
    <w:rsid w:val="00946182"/>
    <w:rsid w:val="00965EF7"/>
    <w:rsid w:val="00A96E44"/>
    <w:rsid w:val="00CE5668"/>
    <w:rsid w:val="00D774E4"/>
    <w:rsid w:val="00DC490D"/>
    <w:rsid w:val="00DD6387"/>
    <w:rsid w:val="00EF6F7F"/>
    <w:rsid w:val="00F40EA0"/>
    <w:rsid w:val="00F96CDC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2018-05-29T05:42:00Z</dcterms:created>
  <dcterms:modified xsi:type="dcterms:W3CDTF">2019-03-15T07:16:00Z</dcterms:modified>
</cp:coreProperties>
</file>