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</w:p>
    <w:p w:rsidR="0074644F" w:rsidRDefault="0074644F" w:rsidP="0074644F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ПРИЛОЖЕНИЕ N 3 </w:t>
      </w:r>
    </w:p>
    <w:p w:rsidR="0074644F" w:rsidRDefault="0074644F" w:rsidP="0074644F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proofErr w:type="gram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к</w:t>
      </w:r>
      <w:proofErr w:type="gram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Договору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о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Таможенном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кодексе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</w:p>
    <w:p w:rsidR="0074644F" w:rsidRDefault="0074644F" w:rsidP="0074644F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Евразийского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экономического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союза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before="113" w:after="57" w:line="30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</w:pPr>
      <w:r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  <w:t xml:space="preserve">ПЕРЕЧЕНЬ </w:t>
      </w:r>
    </w:p>
    <w:p w:rsidR="0074644F" w:rsidRDefault="0074644F" w:rsidP="0074644F">
      <w:pPr>
        <w:autoSpaceDE w:val="0"/>
        <w:autoSpaceDN w:val="0"/>
        <w:adjustRightInd w:val="0"/>
        <w:spacing w:before="113" w:after="57" w:line="26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</w:pP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>положений международн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ых договоров, входящих в право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>Евразийского экономичес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кого союза, которые признаются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>утратившими силу в связи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 с вступлением в силу Договора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о Таможенном кодексе Евразийского экономического союза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>I. Положения ме</w:t>
      </w:r>
      <w:r>
        <w:rPr>
          <w:rFonts w:ascii="Sylfaen" w:hAnsi="Sylfaen" w:cs="Sylfaen"/>
          <w:color w:val="000000"/>
          <w:lang w:val="ru-RU"/>
        </w:rPr>
        <w:t xml:space="preserve">ждународных договоров, которые </w:t>
      </w:r>
      <w:r>
        <w:rPr>
          <w:rFonts w:ascii="Sylfaen" w:hAnsi="Sylfaen" w:cs="Sylfaen"/>
          <w:color w:val="000000"/>
          <w:lang w:val="ru-RU"/>
        </w:rPr>
        <w:t>признаются утра</w:t>
      </w:r>
      <w:r>
        <w:rPr>
          <w:rFonts w:ascii="Sylfaen" w:hAnsi="Sylfaen" w:cs="Sylfaen"/>
          <w:color w:val="000000"/>
          <w:lang w:val="ru-RU"/>
        </w:rPr>
        <w:t xml:space="preserve">тившими силу с даты вступления </w:t>
      </w:r>
      <w:r>
        <w:rPr>
          <w:rFonts w:ascii="Sylfaen" w:hAnsi="Sylfaen" w:cs="Sylfaen"/>
          <w:color w:val="000000"/>
          <w:lang w:val="ru-RU"/>
        </w:rPr>
        <w:t>в силу Договора о Таможенном кодексе Евразийског</w:t>
      </w:r>
      <w:r>
        <w:rPr>
          <w:rFonts w:ascii="Sylfaen" w:hAnsi="Sylfaen" w:cs="Sylfaen"/>
          <w:color w:val="000000"/>
          <w:lang w:val="ru-RU"/>
        </w:rPr>
        <w:t xml:space="preserve">о </w:t>
      </w:r>
      <w:r>
        <w:rPr>
          <w:rFonts w:ascii="Sylfaen" w:hAnsi="Sylfaen" w:cs="Sylfaen"/>
          <w:color w:val="000000"/>
          <w:lang w:val="ru-RU"/>
        </w:rPr>
        <w:t xml:space="preserve">экономического союза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1. Статьи 1 – 5, подпункты 1 – 6 части первой пункта 1, пункты 2 и 3 статьи 6, статьи 7 – 10 Соглашения об основаниях, условиях и порядке изменения сроков уплаты таможенных пошлин от 21 мая 2010 года.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>2. Пункты 1, 5 и 7 статьи 9, пунк</w:t>
      </w:r>
      <w:r>
        <w:rPr>
          <w:rFonts w:ascii="Sylfaen" w:hAnsi="Sylfaen" w:cs="Sylfaen"/>
          <w:color w:val="000000"/>
          <w:lang w:val="ru-RU"/>
        </w:rPr>
        <w:t xml:space="preserve">т 1, абзацы первый – четвертый </w:t>
      </w:r>
      <w:r>
        <w:rPr>
          <w:rFonts w:ascii="Sylfaen" w:hAnsi="Sylfaen" w:cs="Sylfaen"/>
          <w:color w:val="000000"/>
          <w:lang w:val="ru-RU"/>
        </w:rPr>
        <w:t xml:space="preserve">пункта 2, пункты 5 и 6 статьи 10, статьи 11 – 21, 23 и 24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года.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3. Пункты 7 – 10, 12 – 14, абзацы </w:t>
      </w:r>
      <w:r>
        <w:rPr>
          <w:rFonts w:ascii="Sylfaen" w:hAnsi="Sylfaen" w:cs="Sylfaen"/>
          <w:color w:val="000000"/>
          <w:lang w:val="ru-RU"/>
        </w:rPr>
        <w:t xml:space="preserve">четвертый – седьмой пункта 15, </w:t>
      </w:r>
      <w:r>
        <w:rPr>
          <w:rFonts w:ascii="Sylfaen" w:hAnsi="Sylfaen" w:cs="Sylfaen"/>
          <w:color w:val="000000"/>
          <w:lang w:val="ru-RU"/>
        </w:rPr>
        <w:t>пункты 16, 18 и 22 Протокола о внесении изменений в Договор о Евразийском экономическом союзе от 29 мая 2014 года и международные договоры, заключенные в рамках формирования договорно-правовой базы Таможенного союза и Единого экономического пространства, в связи с присоединением Республики Армения (приложение N 2 к Договору от 10 октября 2014 года о пр</w:t>
      </w:r>
      <w:r>
        <w:rPr>
          <w:rFonts w:ascii="Sylfaen" w:hAnsi="Sylfaen" w:cs="Sylfaen"/>
          <w:color w:val="000000"/>
          <w:lang w:val="ru-RU"/>
        </w:rPr>
        <w:t xml:space="preserve">исоединении Республики Армения </w:t>
      </w:r>
      <w:r>
        <w:rPr>
          <w:rFonts w:ascii="Sylfaen" w:hAnsi="Sylfaen" w:cs="Sylfaen"/>
          <w:color w:val="000000"/>
          <w:lang w:val="ru-RU"/>
        </w:rPr>
        <w:t xml:space="preserve">к Договору о Евразийском экономическом союзе от 29 мая 2014 года).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4. Пункт 27 приложения N 3 к Договору от 10 октября 2014 года о присоединении Республики Армения к Договору о Евразийском экономическом союзе от 29 мая 2014 года.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5. Пункты 7 – 10, 12 – 14, абзацы третий – четырнадцатый пункта 15, пункты 17, 18 и 20 изменений, вносимых в Договор о Евразийском экономическом союзе от 29 мая 2014 года и в международные договоры, входящие в право Евразийского экономического союза (приложение к Протоколу от 8 мая 2015 года о внесении изменений в Договор о Евразийском экономическом союзе от 29 мая 2014 года и отдельные международные договоры, входящие в право Евразийского экономического союза, в связи с присоединением Кыргызской Республики к Договору о Евразийском экономическом союзе от 29 мая 2014 года).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Sylfaen" w:hAnsi="Sylfaen" w:cs="Sylfaen"/>
          <w:color w:val="000000"/>
        </w:rPr>
      </w:pP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>II. Положения ме</w:t>
      </w:r>
      <w:r>
        <w:rPr>
          <w:rFonts w:ascii="Sylfaen" w:hAnsi="Sylfaen" w:cs="Sylfaen"/>
          <w:color w:val="000000"/>
          <w:lang w:val="ru-RU"/>
        </w:rPr>
        <w:t xml:space="preserve">ждународных договоров, которые </w:t>
      </w:r>
      <w:r>
        <w:rPr>
          <w:rFonts w:ascii="Sylfaen" w:hAnsi="Sylfaen" w:cs="Sylfaen"/>
          <w:color w:val="000000"/>
          <w:lang w:val="ru-RU"/>
        </w:rPr>
        <w:t>признаются утр</w:t>
      </w:r>
      <w:r>
        <w:rPr>
          <w:rFonts w:ascii="Sylfaen" w:hAnsi="Sylfaen" w:cs="Sylfaen"/>
          <w:color w:val="000000"/>
          <w:lang w:val="ru-RU"/>
        </w:rPr>
        <w:t>атившими силу с даты вступления</w:t>
      </w:r>
      <w:r>
        <w:rPr>
          <w:rFonts w:ascii="Sylfaen" w:hAnsi="Sylfaen" w:cs="Sylfaen"/>
          <w:color w:val="000000"/>
          <w:lang w:val="ru-RU"/>
        </w:rPr>
        <w:t>в силу соотве</w:t>
      </w:r>
      <w:r>
        <w:rPr>
          <w:rFonts w:ascii="Sylfaen" w:hAnsi="Sylfaen" w:cs="Sylfaen"/>
          <w:color w:val="000000"/>
          <w:lang w:val="ru-RU"/>
        </w:rPr>
        <w:t xml:space="preserve">тствующего решения Евразийской </w:t>
      </w:r>
      <w:r>
        <w:rPr>
          <w:rFonts w:ascii="Sylfaen" w:hAnsi="Sylfaen" w:cs="Sylfaen"/>
          <w:color w:val="000000"/>
          <w:lang w:val="ru-RU"/>
        </w:rPr>
        <w:t>экономической ком</w:t>
      </w:r>
      <w:r>
        <w:rPr>
          <w:rFonts w:ascii="Sylfaen" w:hAnsi="Sylfaen" w:cs="Sylfaen"/>
          <w:color w:val="000000"/>
          <w:lang w:val="ru-RU"/>
        </w:rPr>
        <w:t>иссии согласно статье 444 Тамо</w:t>
      </w:r>
      <w:bookmarkStart w:id="0" w:name="_GoBack"/>
      <w:bookmarkEnd w:id="0"/>
      <w:r>
        <w:rPr>
          <w:rFonts w:ascii="Sylfaen" w:hAnsi="Sylfaen" w:cs="Sylfaen"/>
          <w:color w:val="000000"/>
          <w:lang w:val="ru-RU"/>
        </w:rPr>
        <w:t xml:space="preserve">женного кодекса Евразийского экономического союза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1. Пункты 11 и 17 Протокола о внесении изменений в Договор о Евразийском экономическом союзе от 29 мая 2014 года и международные договоры, заключенные в рамках формирования договорно-правовой базы Таможенного союза и Единого экономического пространства, в связи с присоединением Республики Армения (приложение N 2 к Договору от 10 октября 2014 года о присоединении Республики Армения к Договору о Евразийском экономическом союзе от 29 мая 2014 года). </w:t>
      </w:r>
    </w:p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000000"/>
          <w:lang w:val="ru-RU"/>
        </w:rPr>
        <w:t xml:space="preserve">2. Пункты 11 и 16 изменений, вносимых в Договор о Евразийском экономическом союзе от 29 мая 2014 года и в международные договоры, входящие в право Евразийского экономического союза (приложение к Протоколу от 8 мая 2015 года о внесении изменений в Договор о Евразийском экономическом союзе от 29 мая 2014 года и отдельные международные договоры, входящие в право Евразийского экономического союза, в </w:t>
      </w:r>
      <w:r>
        <w:rPr>
          <w:rFonts w:ascii="Sylfaen" w:hAnsi="Sylfaen" w:cs="Sylfaen"/>
          <w:color w:val="000000"/>
          <w:lang w:val="ru-RU"/>
        </w:rPr>
        <w:lastRenderedPageBreak/>
        <w:t>связи с присоединением Кыргызской Республики к Договору о Евразийском экономическом союзе от 29 мая 2014 года).</w:t>
      </w:r>
    </w:p>
    <w:p w:rsidR="0074644F" w:rsidRDefault="0074644F" w:rsidP="0074644F"/>
    <w:p w:rsidR="0074644F" w:rsidRDefault="0074644F" w:rsidP="0074644F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>___________________</w:t>
      </w:r>
    </w:p>
    <w:p w:rsidR="0074644F" w:rsidRDefault="0074644F" w:rsidP="0074644F"/>
    <w:p w:rsidR="00AB1A1F" w:rsidRPr="0074644F" w:rsidRDefault="00AB1A1F" w:rsidP="0074644F"/>
    <w:sectPr w:rsidR="00AB1A1F" w:rsidRPr="0074644F" w:rsidSect="00AB1A1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3E"/>
    <w:rsid w:val="000277AE"/>
    <w:rsid w:val="00172736"/>
    <w:rsid w:val="00482496"/>
    <w:rsid w:val="0074644F"/>
    <w:rsid w:val="007D729A"/>
    <w:rsid w:val="007F4103"/>
    <w:rsid w:val="00A61C3E"/>
    <w:rsid w:val="00AB1A1F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2018-03-19T07:40:00Z</dcterms:created>
  <dcterms:modified xsi:type="dcterms:W3CDTF">2018-03-19T11:11:00Z</dcterms:modified>
</cp:coreProperties>
</file>