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AAE9" w14:textId="4B9E0B67" w:rsidR="00BC5956" w:rsidRPr="00BC5956" w:rsidRDefault="00BC5956" w:rsidP="00BC5956">
      <w:pPr>
        <w:widowControl w:val="0"/>
        <w:spacing w:line="360" w:lineRule="auto"/>
        <w:ind w:left="2268"/>
        <w:jc w:val="center"/>
        <w:rPr>
          <w:rFonts w:ascii="Sylfaen" w:hAnsi="Sylfaen"/>
          <w:sz w:val="24"/>
          <w:szCs w:val="24"/>
        </w:rPr>
      </w:pPr>
      <w:r w:rsidRPr="00BC5956">
        <w:rPr>
          <w:rFonts w:ascii="Sylfaen" w:hAnsi="Sylfaen"/>
          <w:sz w:val="24"/>
          <w:szCs w:val="24"/>
        </w:rPr>
        <w:t>ՀԱՍՏԱՏՎԱԾ Է</w:t>
      </w:r>
    </w:p>
    <w:p w14:paraId="4D465F38" w14:textId="77777777" w:rsidR="00BC5956" w:rsidRPr="00BC5956" w:rsidRDefault="00BC5956" w:rsidP="00BC5956">
      <w:pPr>
        <w:widowControl w:val="0"/>
        <w:spacing w:line="360" w:lineRule="auto"/>
        <w:ind w:left="2268"/>
        <w:jc w:val="center"/>
        <w:rPr>
          <w:rFonts w:ascii="Sylfaen" w:hAnsi="Sylfaen"/>
          <w:sz w:val="24"/>
          <w:szCs w:val="24"/>
        </w:rPr>
      </w:pPr>
      <w:r w:rsidRPr="00BC5956">
        <w:rPr>
          <w:rFonts w:ascii="Sylfaen" w:hAnsi="Sylfaen"/>
          <w:sz w:val="24"/>
          <w:szCs w:val="24"/>
        </w:rPr>
        <w:t xml:space="preserve">Եվրասիական տնտեսական հանձնաժողովի կոլեգիայի </w:t>
      </w:r>
      <w:r w:rsidRPr="00BC5956">
        <w:rPr>
          <w:rFonts w:ascii="MS Mincho" w:eastAsia="MS Mincho" w:hAnsi="MS Mincho" w:cs="MS Mincho"/>
          <w:sz w:val="24"/>
          <w:szCs w:val="24"/>
        </w:rPr>
        <w:br/>
      </w:r>
      <w:r w:rsidRPr="00BC5956">
        <w:rPr>
          <w:rFonts w:ascii="Sylfaen" w:hAnsi="Sylfaen"/>
          <w:sz w:val="24"/>
          <w:szCs w:val="24"/>
        </w:rPr>
        <w:t>2023 թվականի նոյեմբերի 21-ի թիվ 162 որոշմամբ</w:t>
      </w:r>
    </w:p>
    <w:p w14:paraId="1FBFD87D" w14:textId="77777777" w:rsidR="00380C4B" w:rsidRPr="005A5989" w:rsidRDefault="00BC5956" w:rsidP="00BC5956">
      <w:pPr>
        <w:widowControl w:val="0"/>
        <w:spacing w:line="360" w:lineRule="auto"/>
        <w:ind w:left="2268"/>
        <w:jc w:val="center"/>
        <w:rPr>
          <w:rFonts w:ascii="Sylfaen" w:hAnsi="Sylfaen"/>
          <w:caps/>
          <w:sz w:val="24"/>
          <w:szCs w:val="24"/>
        </w:rPr>
      </w:pPr>
      <w:r w:rsidRPr="00BC5956">
        <w:rPr>
          <w:rFonts w:ascii="Sylfaen" w:hAnsi="Sylfaen"/>
          <w:sz w:val="24"/>
          <w:szCs w:val="24"/>
        </w:rPr>
        <w:t xml:space="preserve">(Եվրասիական տնտեսական հանձնաժողովի կոլեգիայի </w:t>
      </w:r>
      <w:r w:rsidRPr="00BC5956">
        <w:rPr>
          <w:rFonts w:ascii="Sylfaen" w:hAnsi="Sylfaen"/>
          <w:sz w:val="24"/>
          <w:szCs w:val="24"/>
        </w:rPr>
        <w:br/>
        <w:t>2024 թվականի օգոստոսի 6-ի թիվ 95 որոշման խմբագրությամբ)</w:t>
      </w:r>
    </w:p>
    <w:p w14:paraId="1DE0F187" w14:textId="77777777" w:rsidR="005A5989" w:rsidRPr="00BC5956" w:rsidRDefault="005A5989" w:rsidP="00D446B0">
      <w:pPr>
        <w:pStyle w:val="a0"/>
        <w:widowControl w:val="0"/>
        <w:spacing w:before="0" w:after="160" w:line="360" w:lineRule="auto"/>
        <w:rPr>
          <w:rFonts w:ascii="Sylfaen" w:hAnsi="Sylfaen"/>
          <w:caps w:val="0"/>
          <w:spacing w:val="0"/>
          <w:sz w:val="24"/>
          <w:szCs w:val="24"/>
        </w:rPr>
      </w:pPr>
    </w:p>
    <w:p w14:paraId="599E91C5" w14:textId="77777777" w:rsidR="007B29FD" w:rsidRPr="00D446B0" w:rsidRDefault="00BC5956" w:rsidP="00D446B0">
      <w:pPr>
        <w:pStyle w:val="a0"/>
        <w:widowControl w:val="0"/>
        <w:spacing w:before="0" w:after="160" w:line="360" w:lineRule="auto"/>
        <w:rPr>
          <w:rFonts w:ascii="Sylfaen" w:hAnsi="Sylfaen"/>
          <w:caps w:val="0"/>
          <w:spacing w:val="0"/>
          <w:sz w:val="24"/>
          <w:szCs w:val="24"/>
        </w:rPr>
      </w:pPr>
      <w:r w:rsidRPr="00D446B0">
        <w:rPr>
          <w:rFonts w:ascii="Sylfaen" w:hAnsi="Sylfaen"/>
          <w:caps w:val="0"/>
          <w:spacing w:val="0"/>
          <w:sz w:val="24"/>
          <w:szCs w:val="24"/>
        </w:rPr>
        <w:t>ԿԱՐԳ</w:t>
      </w:r>
    </w:p>
    <w:p w14:paraId="334B2894" w14:textId="77777777" w:rsidR="007B29FD" w:rsidRPr="00D446B0" w:rsidRDefault="007B29FD" w:rsidP="00D446B0">
      <w:pPr>
        <w:pStyle w:val="a"/>
        <w:keepLines w:val="0"/>
        <w:widowControl w:val="0"/>
        <w:spacing w:after="160" w:line="360" w:lineRule="auto"/>
        <w:contextualSpacing w:val="0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««Մաքսային տարանցում» մաքսային ընթացակարգին համապատասխան ապրանքների փոխադրումների վերահսկման ընթացքում Եվրասիական տնտեսական միության անդամ պետությունների մաքսային մարմինների միջ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էլեկտրոնային փաստաթղթերի 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(կամ) տեղեկությունների փոխանակման ապահովում» ընդհանուր գործընթացին միանալու</w:t>
      </w:r>
    </w:p>
    <w:p w14:paraId="656092D3" w14:textId="77777777" w:rsidR="00D446B0" w:rsidRDefault="00D446B0" w:rsidP="00D446B0">
      <w:pPr>
        <w:pStyle w:val="Heading1"/>
        <w:keepNext w:val="0"/>
        <w:keepLines w:val="0"/>
        <w:widowControl w:val="0"/>
        <w:spacing w:before="0" w:after="160" w:line="360" w:lineRule="auto"/>
        <w:contextualSpacing w:val="0"/>
        <w:rPr>
          <w:rFonts w:ascii="Sylfaen" w:hAnsi="Sylfaen"/>
          <w:sz w:val="24"/>
          <w:szCs w:val="24"/>
        </w:rPr>
      </w:pPr>
      <w:bookmarkStart w:id="0" w:name="_Toc351924578"/>
      <w:bookmarkStart w:id="1" w:name="_Toc365295209"/>
      <w:bookmarkStart w:id="2" w:name="_Toc373227713"/>
    </w:p>
    <w:p w14:paraId="44ED996B" w14:textId="77777777" w:rsidR="007B29FD" w:rsidRPr="00D446B0" w:rsidRDefault="007B29FD" w:rsidP="00D446B0">
      <w:pPr>
        <w:pStyle w:val="Heading1"/>
        <w:keepNext w:val="0"/>
        <w:keepLines w:val="0"/>
        <w:widowControl w:val="0"/>
        <w:spacing w:before="0" w:after="160" w:line="360" w:lineRule="auto"/>
        <w:contextualSpacing w:val="0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I. Ընդհանուր</w:t>
      </w:r>
      <w:bookmarkEnd w:id="0"/>
      <w:bookmarkEnd w:id="1"/>
      <w:bookmarkEnd w:id="2"/>
      <w:r w:rsidR="00D446B0" w:rsidRPr="00D446B0">
        <w:rPr>
          <w:rFonts w:ascii="Sylfaen" w:hAnsi="Sylfaen"/>
          <w:sz w:val="24"/>
          <w:szCs w:val="24"/>
        </w:rPr>
        <w:t xml:space="preserve"> </w:t>
      </w:r>
      <w:r w:rsidRPr="00D446B0">
        <w:rPr>
          <w:rFonts w:ascii="Sylfaen" w:hAnsi="Sylfaen"/>
          <w:sz w:val="24"/>
          <w:szCs w:val="24"/>
        </w:rPr>
        <w:t>դրույթներ</w:t>
      </w:r>
    </w:p>
    <w:p w14:paraId="6A2385DF" w14:textId="77777777" w:rsidR="007B29FD" w:rsidRPr="00D446B0" w:rsidRDefault="007B29FD" w:rsidP="00D446B0">
      <w:pPr>
        <w:pStyle w:val="a4"/>
        <w:widowControl w:val="0"/>
        <w:tabs>
          <w:tab w:val="left" w:pos="1134"/>
        </w:tabs>
        <w:spacing w:after="160" w:line="360" w:lineRule="auto"/>
        <w:ind w:firstLine="567"/>
        <w:rPr>
          <w:rFonts w:ascii="Sylfaen" w:eastAsia="Times New Roma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1.</w:t>
      </w:r>
      <w:r w:rsidR="00D446B0">
        <w:rPr>
          <w:rFonts w:ascii="Sylfaen" w:hAnsi="Sylfaen"/>
          <w:sz w:val="24"/>
          <w:szCs w:val="24"/>
        </w:rPr>
        <w:tab/>
      </w:r>
      <w:r w:rsidRPr="00D446B0">
        <w:rPr>
          <w:rFonts w:ascii="Sylfaen" w:hAnsi="Sylfaen"/>
          <w:sz w:val="24"/>
          <w:szCs w:val="24"/>
        </w:rPr>
        <w:t>Սույն կարգը մշակվել է Եվրասիական տնտեսական միության (այսուհետ՝ Միություն) իրավունքի մաս կազմող հետ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>յալ ակտերին համապատասխան.</w:t>
      </w:r>
    </w:p>
    <w:p w14:paraId="6FD39A58" w14:textId="77777777" w:rsidR="00721952" w:rsidRPr="00D446B0" w:rsidRDefault="00721952" w:rsidP="00D446B0">
      <w:pPr>
        <w:pStyle w:val="a4"/>
        <w:widowControl w:val="0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«Եվրասիական տնտեսական միության մասին» 2014 թվականի մայիսի 29-ի պայմանագիր.</w:t>
      </w:r>
    </w:p>
    <w:p w14:paraId="23D5161C" w14:textId="77777777" w:rsidR="00721952" w:rsidRPr="00B11625" w:rsidRDefault="00721952" w:rsidP="00D446B0">
      <w:pPr>
        <w:pStyle w:val="a4"/>
        <w:widowControl w:val="0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Եվրասիական տնտեսական միության մաքսային օրենսգիրք (այսուհետ՝ Օրենսգիրք).</w:t>
      </w:r>
    </w:p>
    <w:p w14:paraId="40BDF8A1" w14:textId="77777777" w:rsidR="00BC5956" w:rsidRPr="000C45A8" w:rsidRDefault="00BC5956" w:rsidP="00D446B0">
      <w:pPr>
        <w:pStyle w:val="a4"/>
        <w:widowControl w:val="0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0C45A8">
        <w:rPr>
          <w:rFonts w:ascii="Sylfaen" w:hAnsi="Sylfaen"/>
          <w:sz w:val="24"/>
          <w:szCs w:val="24"/>
        </w:rPr>
        <w:t>«Եվրասիական տնտեսական միությունում փոխադրումների հետագծման համար նավիգացիոն կապարակնիքների կիրառման մասին» 2022 թվականի ապրիլի 19-ի համաձայնագիր</w:t>
      </w:r>
      <w:r w:rsidR="00B11625" w:rsidRPr="000C45A8">
        <w:rPr>
          <w:rFonts w:ascii="Sylfaen" w:hAnsi="Sylfaen"/>
          <w:sz w:val="24"/>
          <w:szCs w:val="24"/>
        </w:rPr>
        <w:t>.</w:t>
      </w:r>
    </w:p>
    <w:p w14:paraId="52F804C4" w14:textId="77777777" w:rsidR="00721952" w:rsidRPr="00D446B0" w:rsidRDefault="000C45A8" w:rsidP="00D446B0">
      <w:pPr>
        <w:pStyle w:val="a4"/>
        <w:widowControl w:val="0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lastRenderedPageBreak/>
        <w:t>Եվրասիական տնտեսական հանձնաժողովի կոլեգիայի 2014 թվականի նոյեմբերի</w:t>
      </w:r>
      <w:r w:rsidRPr="00AD76E1">
        <w:rPr>
          <w:rFonts w:ascii="Sylfaen" w:hAnsi="Sylfaen"/>
          <w:sz w:val="24"/>
          <w:szCs w:val="24"/>
        </w:rPr>
        <w:t> </w:t>
      </w:r>
      <w:r w:rsidRPr="00D446B0">
        <w:rPr>
          <w:rFonts w:ascii="Sylfaen" w:hAnsi="Sylfaen"/>
          <w:sz w:val="24"/>
          <w:szCs w:val="24"/>
        </w:rPr>
        <w:t xml:space="preserve">6-ի </w:t>
      </w:r>
      <w:r w:rsidR="00721952" w:rsidRPr="00D446B0">
        <w:rPr>
          <w:rFonts w:ascii="Sylfaen" w:hAnsi="Sylfaen"/>
          <w:sz w:val="24"/>
          <w:szCs w:val="24"/>
        </w:rPr>
        <w:t xml:space="preserve">«Ընդհանուր գործընթացներն արտաքին </w:t>
      </w:r>
      <w:r w:rsidR="00D446B0" w:rsidRPr="00D446B0">
        <w:rPr>
          <w:rFonts w:ascii="Sylfaen" w:hAnsi="Sylfaen"/>
          <w:sz w:val="24"/>
          <w:szCs w:val="24"/>
        </w:rPr>
        <w:t>եւ</w:t>
      </w:r>
      <w:r w:rsidR="00721952" w:rsidRPr="00D446B0">
        <w:rPr>
          <w:rFonts w:ascii="Sylfaen" w:hAnsi="Sylfaen"/>
          <w:sz w:val="24"/>
          <w:szCs w:val="24"/>
        </w:rPr>
        <w:t xml:space="preserve"> փոխադարձ առ</w:t>
      </w:r>
      <w:r w:rsidR="00D446B0" w:rsidRPr="00D446B0">
        <w:rPr>
          <w:rFonts w:ascii="Sylfaen" w:hAnsi="Sylfaen"/>
          <w:sz w:val="24"/>
          <w:szCs w:val="24"/>
        </w:rPr>
        <w:t>եւ</w:t>
      </w:r>
      <w:r w:rsidR="00721952" w:rsidRPr="00D446B0">
        <w:rPr>
          <w:rFonts w:ascii="Sylfaen" w:hAnsi="Sylfaen"/>
          <w:sz w:val="24"/>
          <w:szCs w:val="24"/>
        </w:rPr>
        <w:t>տրի ինտեգրված տեղեկատվական համակարգի միջոցներով իրագործելիս տեղեկատվական փոխգործակցությունը կանոնակարգող տեխնոլոգիական փաստաթղթերի մասին» թիվ 200 որոշում.</w:t>
      </w:r>
    </w:p>
    <w:p w14:paraId="0FDBA999" w14:textId="77777777" w:rsidR="00721952" w:rsidRPr="00D446B0" w:rsidRDefault="000C45A8" w:rsidP="00D446B0">
      <w:pPr>
        <w:pStyle w:val="a4"/>
        <w:widowControl w:val="0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 xml:space="preserve">Եվրասիական տնտեսական հանձնաժողովի կոլեգիայի 2015 թվականի հունվարի 27-ի </w:t>
      </w:r>
      <w:r w:rsidR="00721952" w:rsidRPr="00D446B0">
        <w:rPr>
          <w:rFonts w:ascii="Sylfaen" w:hAnsi="Sylfaen"/>
          <w:sz w:val="24"/>
          <w:szCs w:val="24"/>
        </w:rPr>
        <w:t xml:space="preserve">«Արտաքին </w:t>
      </w:r>
      <w:r w:rsidR="00D446B0" w:rsidRPr="00D446B0">
        <w:rPr>
          <w:rFonts w:ascii="Sylfaen" w:hAnsi="Sylfaen"/>
          <w:sz w:val="24"/>
          <w:szCs w:val="24"/>
        </w:rPr>
        <w:t>եւ</w:t>
      </w:r>
      <w:r w:rsidR="00721952" w:rsidRPr="00D446B0">
        <w:rPr>
          <w:rFonts w:ascii="Sylfaen" w:hAnsi="Sylfaen"/>
          <w:sz w:val="24"/>
          <w:szCs w:val="24"/>
        </w:rPr>
        <w:t xml:space="preserve"> փոխադարձ առ</w:t>
      </w:r>
      <w:r w:rsidR="00D446B0" w:rsidRPr="00D446B0">
        <w:rPr>
          <w:rFonts w:ascii="Sylfaen" w:hAnsi="Sylfaen"/>
          <w:sz w:val="24"/>
          <w:szCs w:val="24"/>
        </w:rPr>
        <w:t>եւ</w:t>
      </w:r>
      <w:r w:rsidR="00721952" w:rsidRPr="00D446B0">
        <w:rPr>
          <w:rFonts w:ascii="Sylfaen" w:hAnsi="Sylfaen"/>
          <w:sz w:val="24"/>
          <w:szCs w:val="24"/>
        </w:rPr>
        <w:t>տրի ինտեգրված տեղեկատվական համակարգում տվյալների էլեկտրոնային փոխանակման կանոնները հաստատելու մասին» թիվ 5 որոշում.</w:t>
      </w:r>
    </w:p>
    <w:p w14:paraId="7906169D" w14:textId="77777777" w:rsidR="00721952" w:rsidRPr="00D446B0" w:rsidRDefault="000C45A8" w:rsidP="00D446B0">
      <w:pPr>
        <w:pStyle w:val="a4"/>
        <w:widowControl w:val="0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 xml:space="preserve">Եվրասիական տնտեսական հանձնաժողովի կոլեգիայի 2015 թվականի ապրիլի 14-ի </w:t>
      </w:r>
      <w:r w:rsidR="00721952" w:rsidRPr="00D446B0">
        <w:rPr>
          <w:rFonts w:ascii="Sylfaen" w:hAnsi="Sylfaen"/>
          <w:sz w:val="24"/>
          <w:szCs w:val="24"/>
        </w:rPr>
        <w:t xml:space="preserve">«Եվրասիական տնտեսական միության շրջանակներում ընդհանուր գործընթացների ցանկի </w:t>
      </w:r>
      <w:r w:rsidR="00D446B0" w:rsidRPr="00D446B0">
        <w:rPr>
          <w:rFonts w:ascii="Sylfaen" w:hAnsi="Sylfaen"/>
          <w:sz w:val="24"/>
          <w:szCs w:val="24"/>
        </w:rPr>
        <w:t>եւ</w:t>
      </w:r>
      <w:r w:rsidR="00721952" w:rsidRPr="00D446B0">
        <w:rPr>
          <w:rFonts w:ascii="Sylfaen" w:hAnsi="Sylfaen"/>
          <w:sz w:val="24"/>
          <w:szCs w:val="24"/>
        </w:rPr>
        <w:t xml:space="preserve"> Եվրասիական տնտեսական հանձնաժողովի կոլեգիայի</w:t>
      </w:r>
      <w:r w:rsidR="0056581D" w:rsidRPr="00D446B0">
        <w:rPr>
          <w:rFonts w:ascii="Sylfaen" w:hAnsi="Sylfaen"/>
          <w:sz w:val="24"/>
          <w:szCs w:val="24"/>
        </w:rPr>
        <w:t>՝</w:t>
      </w:r>
      <w:r w:rsidR="00721952" w:rsidRPr="00D446B0">
        <w:rPr>
          <w:rFonts w:ascii="Sylfaen" w:hAnsi="Sylfaen"/>
          <w:sz w:val="24"/>
          <w:szCs w:val="24"/>
        </w:rPr>
        <w:t xml:space="preserve"> 2014 թվականի օգոստոսի 19-ի թիվ 132 որոշման մեջ փոփոխություն կատարելու մասին» թիվ 29 որոշում.</w:t>
      </w:r>
    </w:p>
    <w:p w14:paraId="799E8289" w14:textId="77777777" w:rsidR="00721952" w:rsidRPr="00D446B0" w:rsidRDefault="000C45A8" w:rsidP="00D446B0">
      <w:pPr>
        <w:pStyle w:val="a4"/>
        <w:widowControl w:val="0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 xml:space="preserve">Եվրասիական տնտեսական հանձնաժողովի կոլեգիայի 2015 թվականի հունիսի 9-ի </w:t>
      </w:r>
      <w:r w:rsidR="00721952" w:rsidRPr="00D446B0">
        <w:rPr>
          <w:rFonts w:ascii="Sylfaen" w:hAnsi="Sylfaen"/>
          <w:sz w:val="24"/>
          <w:szCs w:val="24"/>
        </w:rPr>
        <w:t xml:space="preserve">«Եվրասիական տնտեսական միության շրջանակներում ընդհանուր գործընթացների վերլուծության, օպտիմալացման, ներդաշնակեցման </w:t>
      </w:r>
      <w:r w:rsidR="00D446B0" w:rsidRPr="00D446B0">
        <w:rPr>
          <w:rFonts w:ascii="Sylfaen" w:hAnsi="Sylfaen"/>
          <w:sz w:val="24"/>
          <w:szCs w:val="24"/>
        </w:rPr>
        <w:t>եւ</w:t>
      </w:r>
      <w:r w:rsidR="00721952" w:rsidRPr="00D446B0">
        <w:rPr>
          <w:rFonts w:ascii="Sylfaen" w:hAnsi="Sylfaen"/>
          <w:sz w:val="24"/>
          <w:szCs w:val="24"/>
        </w:rPr>
        <w:t xml:space="preserve"> նկարագրման մեթոդակարգի մասին» թիվ 63 որոշում.</w:t>
      </w:r>
    </w:p>
    <w:p w14:paraId="5102CB90" w14:textId="77777777" w:rsidR="00721952" w:rsidRPr="00D446B0" w:rsidRDefault="000C45A8" w:rsidP="00025ECC">
      <w:pPr>
        <w:pStyle w:val="a4"/>
        <w:widowControl w:val="0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Եվրասիական տնտեսական հանձնաժողովի կոլեգիայի 2015</w:t>
      </w:r>
      <w:r w:rsidRPr="009C3F9F">
        <w:rPr>
          <w:rFonts w:ascii="Sylfaen" w:hAnsi="Sylfaen"/>
          <w:sz w:val="24"/>
          <w:szCs w:val="24"/>
        </w:rPr>
        <w:t> </w:t>
      </w:r>
      <w:r w:rsidRPr="00D446B0">
        <w:rPr>
          <w:rFonts w:ascii="Sylfaen" w:hAnsi="Sylfaen"/>
          <w:sz w:val="24"/>
          <w:szCs w:val="24"/>
        </w:rPr>
        <w:t xml:space="preserve">թվականի սեպտեմբերի 28-ի </w:t>
      </w:r>
      <w:r w:rsidR="00721952" w:rsidRPr="00D446B0">
        <w:rPr>
          <w:rFonts w:ascii="Sylfaen" w:hAnsi="Sylfaen"/>
          <w:sz w:val="24"/>
          <w:szCs w:val="24"/>
        </w:rPr>
        <w:t>«Եվրասիական տնտեսական միության անդամ պետությունների պետական իշխանության մարմինների</w:t>
      </w:r>
      <w:r w:rsidR="0056581D" w:rsidRPr="00D446B0">
        <w:rPr>
          <w:rFonts w:ascii="Sylfaen" w:hAnsi="Sylfaen"/>
          <w:sz w:val="24"/>
          <w:szCs w:val="24"/>
        </w:rPr>
        <w:t>՝</w:t>
      </w:r>
      <w:r w:rsidR="00721952" w:rsidRPr="00D446B0">
        <w:rPr>
          <w:rFonts w:ascii="Sylfaen" w:hAnsi="Sylfaen"/>
          <w:sz w:val="24"/>
          <w:szCs w:val="24"/>
        </w:rPr>
        <w:t xml:space="preserve"> միմյանց միջեւ եւ Եվրասիական տնտեսական հանձնաժողովի հետ անդրսահմանային փոխգործակցության ժամանակ էլեկտրոնային փաստաթղթերի փոխանակման վերաբերյալ հիմնադրույթի հաստատման մասին» թիվ 125 որոշում.</w:t>
      </w:r>
    </w:p>
    <w:p w14:paraId="73482EA6" w14:textId="77777777" w:rsidR="00721952" w:rsidRPr="00D446B0" w:rsidRDefault="000C45A8" w:rsidP="00025ECC">
      <w:pPr>
        <w:pStyle w:val="a4"/>
        <w:widowControl w:val="0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 xml:space="preserve">Եվրասիական տնտեսական հանձնաժողովի կոլեգիայի 2017 թվականի մայիսի 2-ի </w:t>
      </w:r>
      <w:r w:rsidR="00721952" w:rsidRPr="00D446B0">
        <w:rPr>
          <w:rFonts w:ascii="Sylfaen" w:hAnsi="Sylfaen"/>
          <w:sz w:val="24"/>
          <w:szCs w:val="24"/>
        </w:rPr>
        <w:t xml:space="preserve">«FIFA Ֆուտբոլի աշխարհի 2018 թվականի առաջնության </w:t>
      </w:r>
      <w:r w:rsidR="00D446B0" w:rsidRPr="00D446B0">
        <w:rPr>
          <w:rFonts w:ascii="Sylfaen" w:hAnsi="Sylfaen"/>
          <w:sz w:val="24"/>
          <w:szCs w:val="24"/>
        </w:rPr>
        <w:t>եւ</w:t>
      </w:r>
      <w:r w:rsidR="00721952" w:rsidRPr="00D446B0">
        <w:rPr>
          <w:rFonts w:ascii="Sylfaen" w:hAnsi="Sylfaen"/>
          <w:sz w:val="24"/>
          <w:szCs w:val="24"/>
        </w:rPr>
        <w:t xml:space="preserve"> FIFA Կոնֆեդերացիաների 2017 թվականի գավաթի, UEFA Ֆուտբոլի Եվրոպայի 2020</w:t>
      </w:r>
      <w:r w:rsidR="009C3F9F" w:rsidRPr="009C3F9F">
        <w:rPr>
          <w:rFonts w:ascii="Sylfaen" w:hAnsi="Sylfaen"/>
          <w:sz w:val="24"/>
          <w:szCs w:val="24"/>
        </w:rPr>
        <w:t> </w:t>
      </w:r>
      <w:r w:rsidR="00721952" w:rsidRPr="00D446B0">
        <w:rPr>
          <w:rFonts w:ascii="Sylfaen" w:hAnsi="Sylfaen"/>
          <w:sz w:val="24"/>
          <w:szCs w:val="24"/>
        </w:rPr>
        <w:t xml:space="preserve">թվականի առաջնության կազմակերպման </w:t>
      </w:r>
      <w:r w:rsidR="00D446B0" w:rsidRPr="00D446B0">
        <w:rPr>
          <w:rFonts w:ascii="Sylfaen" w:hAnsi="Sylfaen"/>
          <w:sz w:val="24"/>
          <w:szCs w:val="24"/>
        </w:rPr>
        <w:t>եւ</w:t>
      </w:r>
      <w:r w:rsidR="00721952" w:rsidRPr="00D446B0">
        <w:rPr>
          <w:rFonts w:ascii="Sylfaen" w:hAnsi="Sylfaen"/>
          <w:sz w:val="24"/>
          <w:szCs w:val="24"/>
        </w:rPr>
        <w:t xml:space="preserve"> անցկացման ժամանակ կամ </w:t>
      </w:r>
      <w:r w:rsidR="00721952" w:rsidRPr="00D446B0">
        <w:rPr>
          <w:rFonts w:ascii="Sylfaen" w:hAnsi="Sylfaen"/>
          <w:sz w:val="24"/>
          <w:szCs w:val="24"/>
        </w:rPr>
        <w:lastRenderedPageBreak/>
        <w:t xml:space="preserve">դրանց նախապատրաստվելու համար մարզական միջոցառումների անցկացման ժամանակ օգտագործելու համար նախատեսված օտարերկրյա ապրանքների մաքսային հայտարարագրման </w:t>
      </w:r>
      <w:r w:rsidR="00D446B0" w:rsidRPr="00D446B0">
        <w:rPr>
          <w:rFonts w:ascii="Sylfaen" w:hAnsi="Sylfaen"/>
          <w:sz w:val="24"/>
          <w:szCs w:val="24"/>
        </w:rPr>
        <w:t>եւ</w:t>
      </w:r>
      <w:r w:rsidR="00721952" w:rsidRPr="00D446B0">
        <w:rPr>
          <w:rFonts w:ascii="Sylfaen" w:hAnsi="Sylfaen"/>
          <w:sz w:val="24"/>
          <w:szCs w:val="24"/>
        </w:rPr>
        <w:t xml:space="preserve"> ապրանքների տեղափոխման առանձնահատկությունների դասակարգչում փոփոխություն կատարելու մասին» թիվ 43 որոշում.</w:t>
      </w:r>
    </w:p>
    <w:p w14:paraId="33328041" w14:textId="77777777" w:rsidR="00721952" w:rsidRPr="00D446B0" w:rsidRDefault="000C45A8" w:rsidP="00025ECC">
      <w:pPr>
        <w:pStyle w:val="a4"/>
        <w:widowControl w:val="0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Եվրասիական տնտեսական հանձնաժողովի կոլեգիայի 2017</w:t>
      </w:r>
      <w:r w:rsidRPr="009C3F9F">
        <w:rPr>
          <w:rFonts w:ascii="Sylfaen" w:hAnsi="Sylfaen"/>
          <w:sz w:val="24"/>
          <w:szCs w:val="24"/>
        </w:rPr>
        <w:t> </w:t>
      </w:r>
      <w:r w:rsidRPr="00D446B0">
        <w:rPr>
          <w:rFonts w:ascii="Sylfaen" w:hAnsi="Sylfaen"/>
          <w:sz w:val="24"/>
          <w:szCs w:val="24"/>
        </w:rPr>
        <w:t xml:space="preserve">թվականի դեկտեմբերի 13-ի </w:t>
      </w:r>
      <w:r w:rsidR="00721952" w:rsidRPr="00D446B0">
        <w:rPr>
          <w:rFonts w:ascii="Sylfaen" w:hAnsi="Sylfaen"/>
          <w:sz w:val="24"/>
          <w:szCs w:val="24"/>
        </w:rPr>
        <w:t>««Մաքսային տարանցում» մաքսային ընթացակարգի կիրառման որոշ հարցերի մասին» թիվ 170 որոշում.</w:t>
      </w:r>
    </w:p>
    <w:p w14:paraId="336F1176" w14:textId="77777777" w:rsidR="00721952" w:rsidRPr="00D446B0" w:rsidRDefault="000C45A8" w:rsidP="00025ECC">
      <w:pPr>
        <w:pStyle w:val="a4"/>
        <w:widowControl w:val="0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 xml:space="preserve">Եվրասիական տնտեսական հանձնաժողովի կոլեգիայի 2017 թվականի դեկտեմբերի 19-ի </w:t>
      </w:r>
      <w:r w:rsidR="00721952" w:rsidRPr="00D446B0">
        <w:rPr>
          <w:rFonts w:ascii="Sylfaen" w:hAnsi="Sylfaen"/>
          <w:sz w:val="24"/>
          <w:szCs w:val="24"/>
        </w:rPr>
        <w:t>«Ապրանքների բացթողմանն առնչվող որոշ հարցերի մասին» թիվ 188 որոշում.</w:t>
      </w:r>
    </w:p>
    <w:p w14:paraId="46FD9929" w14:textId="77777777" w:rsidR="00721952" w:rsidRPr="00D446B0" w:rsidRDefault="000C45A8" w:rsidP="00025ECC">
      <w:pPr>
        <w:pStyle w:val="a4"/>
        <w:widowControl w:val="0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 xml:space="preserve">Եվրասիական տնտեսական հանձնաժողովի կոլեգիայի 2019 թվականի հոկտեմբերի 29-ի </w:t>
      </w:r>
      <w:r w:rsidR="00721952" w:rsidRPr="00D446B0">
        <w:rPr>
          <w:rFonts w:ascii="Sylfaen" w:hAnsi="Sylfaen"/>
          <w:sz w:val="24"/>
          <w:szCs w:val="24"/>
        </w:rPr>
        <w:t>«««Մաքսային տարանցում» մաքսային ընթացակարգին համապատասխան ապրանքների փոխադրումների վերահսկման ընթացքում Եվրասիական տնտեսական միության անդամ պետությունների մաքսային մարմինների միջ</w:t>
      </w:r>
      <w:r w:rsidR="00D446B0" w:rsidRPr="00D446B0">
        <w:rPr>
          <w:rFonts w:ascii="Sylfaen" w:hAnsi="Sylfaen"/>
          <w:sz w:val="24"/>
          <w:szCs w:val="24"/>
        </w:rPr>
        <w:t>եւ</w:t>
      </w:r>
      <w:r w:rsidR="00721952" w:rsidRPr="00D446B0">
        <w:rPr>
          <w:rFonts w:ascii="Sylfaen" w:hAnsi="Sylfaen"/>
          <w:sz w:val="24"/>
          <w:szCs w:val="24"/>
        </w:rPr>
        <w:t xml:space="preserve"> էլեկտրոնային փաստաթղթերի </w:t>
      </w:r>
      <w:r w:rsidR="00D446B0" w:rsidRPr="00D446B0">
        <w:rPr>
          <w:rFonts w:ascii="Sylfaen" w:hAnsi="Sylfaen"/>
          <w:sz w:val="24"/>
          <w:szCs w:val="24"/>
        </w:rPr>
        <w:t>եւ</w:t>
      </w:r>
      <w:r w:rsidR="00721952" w:rsidRPr="00D446B0">
        <w:rPr>
          <w:rFonts w:ascii="Sylfaen" w:hAnsi="Sylfaen"/>
          <w:sz w:val="24"/>
          <w:szCs w:val="24"/>
        </w:rPr>
        <w:t xml:space="preserve"> (կամ) տեղեկությունների փոխանակման ապահովում» ընդհանուր գործընթացի իրագործման կանոնները հաստատելու մասին»</w:t>
      </w:r>
      <w:r w:rsidR="00EC6DDD" w:rsidRPr="00D446B0">
        <w:rPr>
          <w:rFonts w:ascii="Sylfaen" w:hAnsi="Sylfaen"/>
          <w:sz w:val="24"/>
          <w:szCs w:val="24"/>
        </w:rPr>
        <w:t xml:space="preserve"> </w:t>
      </w:r>
      <w:r w:rsidR="00721952" w:rsidRPr="00D446B0">
        <w:rPr>
          <w:rFonts w:ascii="Sylfaen" w:hAnsi="Sylfaen"/>
          <w:sz w:val="24"/>
          <w:szCs w:val="24"/>
        </w:rPr>
        <w:t>թիվ 185 որոշում.</w:t>
      </w:r>
    </w:p>
    <w:p w14:paraId="09E983B4" w14:textId="77777777" w:rsidR="00721952" w:rsidRPr="00BC5956" w:rsidRDefault="000C45A8" w:rsidP="00025ECC">
      <w:pPr>
        <w:pStyle w:val="a4"/>
        <w:widowControl w:val="0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 xml:space="preserve">Եվրասիական տնտեսական հանձնաժողովի կոլեգիայի 2023 թվականի մայիսի 30-ի </w:t>
      </w:r>
      <w:r w:rsidR="00721952" w:rsidRPr="00D446B0">
        <w:rPr>
          <w:rFonts w:ascii="Sylfaen" w:hAnsi="Sylfaen"/>
          <w:sz w:val="24"/>
          <w:szCs w:val="24"/>
        </w:rPr>
        <w:t>«Տարանցման հայտարարագրի ձ</w:t>
      </w:r>
      <w:r w:rsidR="00D446B0" w:rsidRPr="00D446B0">
        <w:rPr>
          <w:rFonts w:ascii="Sylfaen" w:hAnsi="Sylfaen"/>
          <w:sz w:val="24"/>
          <w:szCs w:val="24"/>
        </w:rPr>
        <w:t>եւ</w:t>
      </w:r>
      <w:r w:rsidR="00721952" w:rsidRPr="00D446B0">
        <w:rPr>
          <w:rFonts w:ascii="Sylfaen" w:hAnsi="Sylfaen"/>
          <w:sz w:val="24"/>
          <w:szCs w:val="24"/>
        </w:rPr>
        <w:t xml:space="preserve">ի </w:t>
      </w:r>
      <w:r w:rsidR="00D446B0" w:rsidRPr="00D446B0">
        <w:rPr>
          <w:rFonts w:ascii="Sylfaen" w:hAnsi="Sylfaen"/>
          <w:sz w:val="24"/>
          <w:szCs w:val="24"/>
        </w:rPr>
        <w:t>եւ</w:t>
      </w:r>
      <w:r w:rsidR="00721952" w:rsidRPr="00D446B0">
        <w:rPr>
          <w:rFonts w:ascii="Sylfaen" w:hAnsi="Sylfaen"/>
          <w:sz w:val="24"/>
          <w:szCs w:val="24"/>
        </w:rPr>
        <w:t xml:space="preserve"> դրա լրացման կարգի հաստատման մասին, ինչպես նա</w:t>
      </w:r>
      <w:r w:rsidR="00D446B0" w:rsidRPr="00D446B0">
        <w:rPr>
          <w:rFonts w:ascii="Sylfaen" w:hAnsi="Sylfaen"/>
          <w:sz w:val="24"/>
          <w:szCs w:val="24"/>
        </w:rPr>
        <w:t>եւ</w:t>
      </w:r>
      <w:r w:rsidR="00721952" w:rsidRPr="00D446B0">
        <w:rPr>
          <w:rFonts w:ascii="Sylfaen" w:hAnsi="Sylfaen"/>
          <w:sz w:val="24"/>
          <w:szCs w:val="24"/>
        </w:rPr>
        <w:t xml:space="preserve"> Մաքսային միության հանձնաժողովի </w:t>
      </w:r>
      <w:r w:rsidR="00D446B0" w:rsidRPr="00D446B0">
        <w:rPr>
          <w:rFonts w:ascii="Sylfaen" w:hAnsi="Sylfaen"/>
          <w:sz w:val="24"/>
          <w:szCs w:val="24"/>
        </w:rPr>
        <w:t>եւ</w:t>
      </w:r>
      <w:r w:rsidR="00721952" w:rsidRPr="00D446B0">
        <w:rPr>
          <w:rFonts w:ascii="Sylfaen" w:hAnsi="Sylfaen"/>
          <w:sz w:val="24"/>
          <w:szCs w:val="24"/>
        </w:rPr>
        <w:t xml:space="preserve"> Եվրասիական տնտեսական հանձնաժողովի կոլեգիայի որոշ որոշումներում փոփոխություններ կատարելու </w:t>
      </w:r>
      <w:r w:rsidR="00D446B0" w:rsidRPr="00D446B0">
        <w:rPr>
          <w:rFonts w:ascii="Sylfaen" w:hAnsi="Sylfaen"/>
          <w:sz w:val="24"/>
          <w:szCs w:val="24"/>
        </w:rPr>
        <w:t>եւ</w:t>
      </w:r>
      <w:r w:rsidR="00721952" w:rsidRPr="00D446B0">
        <w:rPr>
          <w:rFonts w:ascii="Sylfaen" w:hAnsi="Sylfaen"/>
          <w:sz w:val="24"/>
          <w:szCs w:val="24"/>
        </w:rPr>
        <w:t xml:space="preserve"> ուժը կորցրած ճանաչելու մասին» թիվ 73 որոշում</w:t>
      </w:r>
      <w:r w:rsidR="00BC5956" w:rsidRPr="00BC5956">
        <w:rPr>
          <w:rFonts w:ascii="Sylfaen" w:hAnsi="Sylfaen"/>
          <w:sz w:val="24"/>
          <w:szCs w:val="24"/>
        </w:rPr>
        <w:t>.</w:t>
      </w:r>
    </w:p>
    <w:p w14:paraId="5E6E40A5" w14:textId="77777777" w:rsidR="00BC5956" w:rsidRPr="00D14425" w:rsidRDefault="000C45A8" w:rsidP="00D446B0">
      <w:pPr>
        <w:pStyle w:val="a4"/>
        <w:widowControl w:val="0"/>
        <w:tabs>
          <w:tab w:val="left" w:pos="1134"/>
        </w:tabs>
        <w:spacing w:after="160" w:line="360" w:lineRule="auto"/>
        <w:ind w:firstLine="567"/>
        <w:rPr>
          <w:rFonts w:ascii="MS Mincho" w:eastAsia="MS Mincho" w:hAnsi="MS Mincho" w:cs="MS Mincho"/>
          <w:sz w:val="24"/>
          <w:szCs w:val="24"/>
        </w:rPr>
      </w:pPr>
      <w:r w:rsidRPr="00BC5956">
        <w:rPr>
          <w:rFonts w:ascii="Sylfaen" w:hAnsi="Sylfaen"/>
          <w:sz w:val="24"/>
          <w:szCs w:val="24"/>
        </w:rPr>
        <w:t xml:space="preserve">Եվրասիական տնտեսական հանձնաժողովի կոլեգիայի 2023 թվականի օգոստոսի 22-ի </w:t>
      </w:r>
      <w:r w:rsidR="00BC5956" w:rsidRPr="00BC5956">
        <w:rPr>
          <w:rFonts w:ascii="Sylfaen" w:hAnsi="Sylfaen"/>
          <w:sz w:val="24"/>
          <w:szCs w:val="24"/>
        </w:rPr>
        <w:t xml:space="preserve">«Նավիգացիոն կապարակնիքների կիրառմամբ Եվրասիական տնտեսական միության անդամ պետությունների տարածքներով փոխադրվող ապրանքների (աարտադրանքի) նկատմամբ անդամ պետությունների հսկող </w:t>
      </w:r>
      <w:r w:rsidR="00BC5956" w:rsidRPr="00BC5956">
        <w:rPr>
          <w:rFonts w:ascii="Sylfaen" w:hAnsi="Sylfaen"/>
          <w:sz w:val="24"/>
          <w:szCs w:val="24"/>
        </w:rPr>
        <w:lastRenderedPageBreak/>
        <w:t>մարմինների միջ</w:t>
      </w:r>
      <w:r w:rsidR="00D14425">
        <w:rPr>
          <w:rFonts w:ascii="Sylfaen" w:hAnsi="Sylfaen"/>
          <w:sz w:val="24"/>
          <w:szCs w:val="24"/>
        </w:rPr>
        <w:t>եւ</w:t>
      </w:r>
      <w:r w:rsidR="00BC5956" w:rsidRPr="00BC5956">
        <w:rPr>
          <w:rFonts w:ascii="Sylfaen" w:hAnsi="Sylfaen"/>
          <w:sz w:val="24"/>
          <w:szCs w:val="24"/>
        </w:rPr>
        <w:t xml:space="preserve"> փոխադրման ընթացքում հսկողության ընդունված միջոցների </w:t>
      </w:r>
      <w:r w:rsidR="00D14425">
        <w:rPr>
          <w:rFonts w:ascii="Sylfaen" w:hAnsi="Sylfaen"/>
          <w:sz w:val="24"/>
          <w:szCs w:val="24"/>
        </w:rPr>
        <w:t>եւ</w:t>
      </w:r>
      <w:r w:rsidR="00BC5956" w:rsidRPr="00BC5956">
        <w:rPr>
          <w:rFonts w:ascii="Sylfaen" w:hAnsi="Sylfaen"/>
          <w:sz w:val="24"/>
          <w:szCs w:val="24"/>
        </w:rPr>
        <w:t xml:space="preserve"> ձ</w:t>
      </w:r>
      <w:r w:rsidR="00D14425">
        <w:rPr>
          <w:rFonts w:ascii="Sylfaen" w:hAnsi="Sylfaen"/>
          <w:sz w:val="24"/>
          <w:szCs w:val="24"/>
        </w:rPr>
        <w:t>եւ</w:t>
      </w:r>
      <w:r w:rsidR="00BC5956" w:rsidRPr="00BC5956">
        <w:rPr>
          <w:rFonts w:ascii="Sylfaen" w:hAnsi="Sylfaen"/>
          <w:sz w:val="24"/>
          <w:szCs w:val="24"/>
        </w:rPr>
        <w:t>երի վերաբերյալ տեղեկատվության փոխանակման կարգի մասին» թիվ 130 որոշում</w:t>
      </w:r>
      <w:r w:rsidR="00BC5956" w:rsidRPr="00BC5956">
        <w:rPr>
          <w:rFonts w:ascii="MS Mincho" w:eastAsia="MS Mincho" w:hAnsi="MS Mincho" w:cs="MS Mincho" w:hint="eastAsia"/>
          <w:sz w:val="24"/>
          <w:szCs w:val="24"/>
        </w:rPr>
        <w:t>․</w:t>
      </w:r>
    </w:p>
    <w:p w14:paraId="46B2D2E2" w14:textId="77777777" w:rsidR="00BC5956" w:rsidRPr="00B11625" w:rsidRDefault="000C45A8" w:rsidP="00D446B0">
      <w:pPr>
        <w:pStyle w:val="a4"/>
        <w:widowControl w:val="0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B11625">
        <w:rPr>
          <w:rFonts w:ascii="Sylfaen" w:hAnsi="Sylfaen"/>
          <w:sz w:val="24"/>
          <w:szCs w:val="24"/>
        </w:rPr>
        <w:t xml:space="preserve">Եվրասիական տնտեսական հանձնաժողովի կոլեգիայի 2019 թվականի նոյեմբերի 19-ի թիվ </w:t>
      </w:r>
      <w:r w:rsidR="008E033C" w:rsidRPr="00B11625">
        <w:rPr>
          <w:rFonts w:ascii="Sylfaen" w:hAnsi="Sylfaen"/>
          <w:sz w:val="24"/>
          <w:szCs w:val="24"/>
        </w:rPr>
        <w:t>«Մաքսատուրքերի, հարկերի վճարման պարտավորության կատարման ապահովման հավաստագրի մասին» 151 որոշում:</w:t>
      </w:r>
    </w:p>
    <w:p w14:paraId="5550F2E1" w14:textId="77777777" w:rsidR="00D446B0" w:rsidRDefault="00D446B0" w:rsidP="00D446B0">
      <w:pPr>
        <w:pStyle w:val="Heading1"/>
        <w:keepNext w:val="0"/>
        <w:keepLines w:val="0"/>
        <w:widowControl w:val="0"/>
        <w:tabs>
          <w:tab w:val="left" w:pos="1134"/>
        </w:tabs>
        <w:spacing w:before="0" w:after="160" w:line="360" w:lineRule="auto"/>
        <w:ind w:firstLine="567"/>
        <w:contextualSpacing w:val="0"/>
        <w:jc w:val="both"/>
        <w:rPr>
          <w:rFonts w:ascii="Sylfaen" w:hAnsi="Sylfaen"/>
          <w:sz w:val="24"/>
          <w:szCs w:val="24"/>
        </w:rPr>
      </w:pPr>
    </w:p>
    <w:p w14:paraId="1D828638" w14:textId="77777777" w:rsidR="007B29FD" w:rsidRPr="00D446B0" w:rsidRDefault="00D446B0" w:rsidP="00D446B0">
      <w:pPr>
        <w:pStyle w:val="Heading1"/>
        <w:keepNext w:val="0"/>
        <w:keepLines w:val="0"/>
        <w:widowControl w:val="0"/>
        <w:spacing w:before="0" w:after="160" w:line="360" w:lineRule="auto"/>
        <w:contextualSpacing w:val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II. </w:t>
      </w:r>
      <w:r w:rsidR="007B29FD" w:rsidRPr="00D446B0">
        <w:rPr>
          <w:rFonts w:ascii="Sylfaen" w:hAnsi="Sylfaen"/>
          <w:sz w:val="24"/>
          <w:szCs w:val="24"/>
        </w:rPr>
        <w:t>Կիրառության ոլորտը</w:t>
      </w:r>
    </w:p>
    <w:p w14:paraId="3363DC13" w14:textId="77777777" w:rsidR="007D0302" w:rsidRPr="00D446B0" w:rsidRDefault="00D446B0" w:rsidP="00AD76E1">
      <w:pPr>
        <w:pStyle w:val="a4"/>
        <w:widowControl w:val="0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7B29FD" w:rsidRPr="00D446B0">
        <w:rPr>
          <w:rFonts w:ascii="Sylfaen" w:hAnsi="Sylfaen"/>
          <w:sz w:val="24"/>
          <w:szCs w:val="24"/>
        </w:rPr>
        <w:t>Սույն կարգով սահմանվում են ««Մաքսային տարանցում» մաքսային ընթացակարգին համապատասխան ապրանքների փոխադրումների վերահսկման ընթացքում Եվրասիական տնտեսական միության անդամ պետությունների մաքսային մարմինների միջ</w:t>
      </w:r>
      <w:r w:rsidRPr="00D446B0">
        <w:rPr>
          <w:rFonts w:ascii="Sylfaen" w:hAnsi="Sylfaen"/>
          <w:sz w:val="24"/>
          <w:szCs w:val="24"/>
        </w:rPr>
        <w:t>եւ</w:t>
      </w:r>
      <w:r w:rsidR="007B29FD" w:rsidRPr="00D446B0">
        <w:rPr>
          <w:rFonts w:ascii="Sylfaen" w:hAnsi="Sylfaen"/>
          <w:sz w:val="24"/>
          <w:szCs w:val="24"/>
        </w:rPr>
        <w:t xml:space="preserve"> էլեկտրոնային փաստաթղթերի </w:t>
      </w:r>
      <w:r w:rsidRPr="00D446B0">
        <w:rPr>
          <w:rFonts w:ascii="Sylfaen" w:hAnsi="Sylfaen"/>
          <w:sz w:val="24"/>
          <w:szCs w:val="24"/>
        </w:rPr>
        <w:t>եւ</w:t>
      </w:r>
      <w:r w:rsidR="007B29FD" w:rsidRPr="00D446B0">
        <w:rPr>
          <w:rFonts w:ascii="Sylfaen" w:hAnsi="Sylfaen"/>
          <w:sz w:val="24"/>
          <w:szCs w:val="24"/>
        </w:rPr>
        <w:t xml:space="preserve"> (կամ) տեղեկությունների փոխանակման ապահովում» ընդհանուր գործընթացին (այսուհետ՝ ընդհանուր գործընթաց) (P.CP.01) մասնակցի միանալու դեպքում տեղեկատվական փոխգործակցությանը ներկայացվող պահանջները:</w:t>
      </w:r>
      <w:r w:rsidRPr="00D446B0">
        <w:rPr>
          <w:rFonts w:ascii="Sylfaen" w:hAnsi="Sylfaen"/>
          <w:sz w:val="24"/>
          <w:szCs w:val="24"/>
        </w:rPr>
        <w:t xml:space="preserve"> </w:t>
      </w:r>
    </w:p>
    <w:p w14:paraId="18FE948E" w14:textId="77777777" w:rsidR="007B29FD" w:rsidRDefault="007D0302" w:rsidP="00D446B0">
      <w:pPr>
        <w:pStyle w:val="a4"/>
        <w:widowControl w:val="0"/>
        <w:tabs>
          <w:tab w:val="left" w:pos="1134"/>
        </w:tabs>
        <w:spacing w:after="160" w:line="360" w:lineRule="auto"/>
        <w:ind w:right="-2"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3.</w:t>
      </w:r>
      <w:r w:rsidR="00D446B0">
        <w:rPr>
          <w:rFonts w:ascii="Sylfaen" w:hAnsi="Sylfaen"/>
          <w:sz w:val="24"/>
          <w:szCs w:val="24"/>
        </w:rPr>
        <w:tab/>
      </w:r>
      <w:r w:rsidRPr="00D446B0">
        <w:rPr>
          <w:rFonts w:ascii="Sylfaen" w:hAnsi="Sylfaen"/>
          <w:sz w:val="24"/>
          <w:szCs w:val="24"/>
        </w:rPr>
        <w:t>Սույն կարգում սահմանված ընթացակարգերը կատարվում են փոխգործակցության մասնակցի կողմից՝ ընդհանուր գործընթացին մասնակցի միանալու դեպքում</w:t>
      </w:r>
      <w:r w:rsidR="00F53B52" w:rsidRPr="00F53B52">
        <w:rPr>
          <w:rFonts w:ascii="Sylfaen" w:hAnsi="Sylfaen"/>
          <w:sz w:val="24"/>
          <w:szCs w:val="24"/>
        </w:rPr>
        <w:t>, այդ թվում` ընդհանուր գործընթացի նոր տարբերակին անցնելիս</w:t>
      </w:r>
      <w:r w:rsidRPr="00D446B0">
        <w:rPr>
          <w:rFonts w:ascii="Sylfaen" w:hAnsi="Sylfaen"/>
          <w:sz w:val="24"/>
          <w:szCs w:val="24"/>
        </w:rPr>
        <w:t xml:space="preserve">: </w:t>
      </w:r>
    </w:p>
    <w:p w14:paraId="7995C248" w14:textId="77777777" w:rsidR="00D446B0" w:rsidRPr="00682F77" w:rsidRDefault="00D446B0" w:rsidP="00D446B0">
      <w:pPr>
        <w:pStyle w:val="a4"/>
        <w:widowControl w:val="0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14:paraId="014B34ED" w14:textId="77777777" w:rsidR="00025ECC" w:rsidRPr="00682F77" w:rsidRDefault="00025ECC" w:rsidP="00D446B0">
      <w:pPr>
        <w:pStyle w:val="a4"/>
        <w:widowControl w:val="0"/>
        <w:spacing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14:paraId="3D3A29CF" w14:textId="77777777" w:rsidR="00C853C5" w:rsidRPr="00D446B0" w:rsidRDefault="00C853C5" w:rsidP="00D446B0">
      <w:pPr>
        <w:pStyle w:val="Heading1"/>
        <w:keepNext w:val="0"/>
        <w:keepLines w:val="0"/>
        <w:widowControl w:val="0"/>
        <w:spacing w:before="0" w:after="160" w:line="360" w:lineRule="auto"/>
        <w:contextualSpacing w:val="0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III.</w:t>
      </w:r>
      <w:r w:rsidR="00D446B0">
        <w:rPr>
          <w:rFonts w:ascii="Sylfaen" w:hAnsi="Sylfaen"/>
          <w:sz w:val="24"/>
          <w:szCs w:val="24"/>
        </w:rPr>
        <w:t xml:space="preserve"> </w:t>
      </w:r>
      <w:r w:rsidRPr="00D446B0">
        <w:rPr>
          <w:rFonts w:ascii="Sylfaen" w:hAnsi="Sylfaen"/>
          <w:sz w:val="24"/>
          <w:szCs w:val="24"/>
        </w:rPr>
        <w:t>Հիմնական հասկացությունները</w:t>
      </w:r>
    </w:p>
    <w:p w14:paraId="7B62CF80" w14:textId="77777777" w:rsidR="00C853C5" w:rsidRPr="00D446B0" w:rsidRDefault="007D0302" w:rsidP="00D446B0">
      <w:pPr>
        <w:pStyle w:val="a4"/>
        <w:widowControl w:val="0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4.</w:t>
      </w:r>
      <w:r w:rsidR="00D446B0">
        <w:rPr>
          <w:rFonts w:ascii="Sylfaen" w:hAnsi="Sylfaen"/>
          <w:sz w:val="24"/>
          <w:szCs w:val="24"/>
        </w:rPr>
        <w:tab/>
      </w:r>
      <w:r w:rsidRPr="00D446B0">
        <w:rPr>
          <w:rFonts w:ascii="Sylfaen" w:hAnsi="Sylfaen"/>
          <w:sz w:val="24"/>
          <w:szCs w:val="24"/>
        </w:rPr>
        <w:t>Սույն կարգի նպատակների համար օգտագործվում են հասկացություններ, որոնք ունեն հետ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>յալ իմաստը.</w:t>
      </w:r>
    </w:p>
    <w:p w14:paraId="18BF5CFC" w14:textId="77777777" w:rsidR="00C853C5" w:rsidRPr="00D446B0" w:rsidRDefault="00C853C5" w:rsidP="00D446B0">
      <w:pPr>
        <w:pStyle w:val="a4"/>
        <w:widowControl w:val="0"/>
        <w:tabs>
          <w:tab w:val="left" w:pos="1134"/>
        </w:tabs>
        <w:spacing w:after="160" w:line="360" w:lineRule="auto"/>
        <w:ind w:firstLine="567"/>
        <w:outlineLvl w:val="9"/>
        <w:rPr>
          <w:rFonts w:ascii="Sylfaen" w:hAnsi="Sylfaen"/>
          <w:sz w:val="24"/>
          <w:szCs w:val="24"/>
        </w:rPr>
      </w:pPr>
      <w:r w:rsidRPr="00AD76E1">
        <w:rPr>
          <w:rFonts w:ascii="Sylfaen" w:hAnsi="Sylfaen"/>
          <w:b/>
          <w:sz w:val="24"/>
          <w:szCs w:val="24"/>
        </w:rPr>
        <w:t xml:space="preserve">ինտեգրված տեղեկատվական համակարգի </w:t>
      </w:r>
      <w:r w:rsidR="004B6C08" w:rsidRPr="00AD76E1">
        <w:rPr>
          <w:rFonts w:ascii="Sylfaen" w:hAnsi="Sylfaen"/>
          <w:b/>
          <w:sz w:val="24"/>
          <w:szCs w:val="24"/>
        </w:rPr>
        <w:t>գործունեությունն</w:t>
      </w:r>
      <w:r w:rsidRPr="00AD76E1">
        <w:rPr>
          <w:rFonts w:ascii="Sylfaen" w:hAnsi="Sylfaen"/>
          <w:b/>
          <w:sz w:val="24"/>
          <w:szCs w:val="24"/>
        </w:rPr>
        <w:t xml:space="preserve"> ապահովելիս կիրառվող փաստաթղթեր՝</w:t>
      </w:r>
      <w:r w:rsidRPr="00D446B0">
        <w:rPr>
          <w:rFonts w:ascii="Sylfaen" w:hAnsi="Sylfaen"/>
          <w:sz w:val="24"/>
          <w:szCs w:val="24"/>
        </w:rPr>
        <w:t xml:space="preserve"> Եվրասիական տնտեսական միության շրջանակներում </w:t>
      </w:r>
      <w:r w:rsidRPr="00D446B0">
        <w:rPr>
          <w:rFonts w:ascii="Sylfaen" w:hAnsi="Sylfaen"/>
          <w:sz w:val="24"/>
          <w:szCs w:val="24"/>
        </w:rPr>
        <w:lastRenderedPageBreak/>
        <w:t xml:space="preserve">տեղեկատվական-հաղորդակցական տեխնոլոգիաների 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տեղեկատվական փոխգործակցության մասին արձանագրության (Եվրասիական տնտեսական միության</w:t>
      </w:r>
      <w:r w:rsidR="0056581D" w:rsidRPr="00D446B0">
        <w:rPr>
          <w:rFonts w:ascii="Sylfaen" w:hAnsi="Sylfaen"/>
          <w:sz w:val="24"/>
          <w:szCs w:val="24"/>
        </w:rPr>
        <w:t>՝</w:t>
      </w:r>
      <w:r w:rsidRPr="00D446B0">
        <w:rPr>
          <w:rFonts w:ascii="Sylfaen" w:hAnsi="Sylfaen"/>
          <w:sz w:val="24"/>
          <w:szCs w:val="24"/>
        </w:rPr>
        <w:t xml:space="preserve"> 2014 թվականի մայիսի 29-ի պայմանագրի թիվ 3 հավելված) 30-րդ կետին համապատասխան Եվրասիական տնտեսական հանձնաժողովի կողմից մշակվող 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հաստատվող տեխնիկական, տեխնոլոգիական, մեթոդական 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կազմակերպական փաստաթղթեր.</w:t>
      </w:r>
      <w:r w:rsidR="00D446B0" w:rsidRPr="00D446B0">
        <w:rPr>
          <w:rFonts w:ascii="Sylfaen" w:hAnsi="Sylfaen"/>
          <w:sz w:val="24"/>
          <w:szCs w:val="24"/>
        </w:rPr>
        <w:t xml:space="preserve"> </w:t>
      </w:r>
    </w:p>
    <w:p w14:paraId="005EF037" w14:textId="77777777" w:rsidR="00C853C5" w:rsidRPr="00D446B0" w:rsidRDefault="00C853C5" w:rsidP="00D446B0">
      <w:pPr>
        <w:pStyle w:val="a6"/>
        <w:widowControl w:val="0"/>
        <w:tabs>
          <w:tab w:val="left" w:pos="1134"/>
        </w:tabs>
        <w:spacing w:after="160"/>
        <w:ind w:firstLine="567"/>
        <w:rPr>
          <w:rFonts w:ascii="Sylfaen" w:hAnsi="Sylfaen"/>
          <w:sz w:val="24"/>
        </w:rPr>
      </w:pPr>
      <w:r w:rsidRPr="00AD76E1">
        <w:rPr>
          <w:rFonts w:ascii="Sylfaen" w:hAnsi="Sylfaen"/>
          <w:b/>
          <w:sz w:val="24"/>
        </w:rPr>
        <w:t>տեխնոլոգիական փաստաթղթեր՝</w:t>
      </w:r>
      <w:r w:rsidRPr="00D446B0">
        <w:rPr>
          <w:rFonts w:ascii="Sylfaen" w:hAnsi="Sylfaen"/>
          <w:sz w:val="24"/>
        </w:rPr>
        <w:t xml:space="preserve"> Եվրասիական տնտեսական հանձնաժողովի կոլեգիայի</w:t>
      </w:r>
      <w:r w:rsidR="0056581D" w:rsidRPr="00D446B0">
        <w:rPr>
          <w:rFonts w:ascii="Sylfaen" w:hAnsi="Sylfaen"/>
          <w:sz w:val="24"/>
        </w:rPr>
        <w:t>՝</w:t>
      </w:r>
      <w:r w:rsidRPr="00D446B0">
        <w:rPr>
          <w:rFonts w:ascii="Sylfaen" w:hAnsi="Sylfaen"/>
          <w:sz w:val="24"/>
        </w:rPr>
        <w:t xml:space="preserve"> 2014 թվականի նոյեմբերի 6-ի թիվ 200 որոշման 1-ին կետով նախատեսված՝ ընդհանուր գործընթացի իրագործման ժամանակ տեղեկատվական փոխգործակցությունը կանոնակարգող տեխնոլոգիական փաստաթղթերի տիպային ցանկում ներառված փաստաթղթեր:</w:t>
      </w:r>
    </w:p>
    <w:p w14:paraId="55321817" w14:textId="77777777" w:rsidR="00C853C5" w:rsidRPr="00D446B0" w:rsidRDefault="00C853C5" w:rsidP="00D446B0">
      <w:pPr>
        <w:pStyle w:val="a4"/>
        <w:widowControl w:val="0"/>
        <w:tabs>
          <w:tab w:val="left" w:pos="1134"/>
        </w:tabs>
        <w:spacing w:after="160" w:line="360" w:lineRule="auto"/>
        <w:ind w:firstLine="567"/>
        <w:outlineLvl w:val="9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Սույն կարգում օգտագործվող մյուս հասկացությունները կիրառվում են Եվրասիական տնտեսական հանձնաժողովի կոլեգիայի</w:t>
      </w:r>
      <w:r w:rsidR="0056581D" w:rsidRPr="00D446B0">
        <w:rPr>
          <w:rFonts w:ascii="Sylfaen" w:hAnsi="Sylfaen"/>
          <w:sz w:val="24"/>
          <w:szCs w:val="24"/>
        </w:rPr>
        <w:t>՝</w:t>
      </w:r>
      <w:r w:rsidRPr="00D446B0">
        <w:rPr>
          <w:rFonts w:ascii="Sylfaen" w:hAnsi="Sylfaen"/>
          <w:sz w:val="24"/>
          <w:szCs w:val="24"/>
        </w:rPr>
        <w:t xml:space="preserve"> 2023 թվականի նոյեմբերի</w:t>
      </w:r>
      <w:r w:rsidR="00AD76E1" w:rsidRPr="00AD76E1">
        <w:rPr>
          <w:rFonts w:ascii="Sylfaen" w:hAnsi="Sylfaen"/>
          <w:sz w:val="24"/>
          <w:szCs w:val="24"/>
        </w:rPr>
        <w:t> </w:t>
      </w:r>
      <w:r w:rsidRPr="00D446B0">
        <w:rPr>
          <w:rFonts w:ascii="Sylfaen" w:hAnsi="Sylfaen"/>
          <w:sz w:val="24"/>
          <w:szCs w:val="24"/>
        </w:rPr>
        <w:t>21-ի թիվ 162 որոշմամբ հաստատված ««Մաքսային տարանցում» մաքսային ընթացակարգին համապատասխան ապրանքների փոխադրման վերահսկման ընթացքում Եվրասիական տնտեսական միության անդամ պետությունների մաքսային մարմինների միջ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էլեկտրոնային փաստաթղթերի 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(կամ) տեղեկությունների փոխանակման ապահովում» ընդհանուր գործընթացի՝ ինտեգրված տեղեկատվական համակարգի միջոցներով իրագործման ժամանակ տեղեկատվական փոխգործակցության կանոնների (այսուհետ՝ Տեղեկատվական փոխգործակցության կանոններ) 4-րդ կետում սահմանված իմաստներով:</w:t>
      </w:r>
    </w:p>
    <w:p w14:paraId="7DD30757" w14:textId="77777777" w:rsidR="00D446B0" w:rsidRDefault="00D446B0" w:rsidP="00D446B0">
      <w:pPr>
        <w:pStyle w:val="1"/>
        <w:keepNext w:val="0"/>
        <w:keepLines w:val="0"/>
        <w:widowControl w:val="0"/>
        <w:spacing w:before="0" w:after="160" w:line="360" w:lineRule="auto"/>
        <w:contextualSpacing w:val="0"/>
        <w:rPr>
          <w:rFonts w:ascii="Sylfaen" w:hAnsi="Sylfaen"/>
          <w:sz w:val="24"/>
          <w:szCs w:val="24"/>
        </w:rPr>
      </w:pPr>
    </w:p>
    <w:p w14:paraId="23CD8CCB" w14:textId="77777777" w:rsidR="00004BC8" w:rsidRPr="00D446B0" w:rsidRDefault="005844FA" w:rsidP="00D446B0">
      <w:pPr>
        <w:pStyle w:val="1"/>
        <w:keepNext w:val="0"/>
        <w:keepLines w:val="0"/>
        <w:widowControl w:val="0"/>
        <w:spacing w:before="0" w:after="160" w:line="360" w:lineRule="auto"/>
        <w:contextualSpacing w:val="0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IV.</w:t>
      </w:r>
      <w:r w:rsidR="00D446B0">
        <w:rPr>
          <w:rFonts w:ascii="Sylfaen" w:hAnsi="Sylfaen"/>
          <w:sz w:val="24"/>
          <w:szCs w:val="24"/>
        </w:rPr>
        <w:t xml:space="preserve"> </w:t>
      </w:r>
      <w:r w:rsidRPr="00D446B0">
        <w:rPr>
          <w:rFonts w:ascii="Sylfaen" w:hAnsi="Sylfaen"/>
          <w:sz w:val="24"/>
          <w:szCs w:val="24"/>
        </w:rPr>
        <w:t>Փոխգործակցության մասնակիցները</w:t>
      </w:r>
    </w:p>
    <w:p w14:paraId="1F9F08B6" w14:textId="77777777" w:rsidR="00004BC8" w:rsidRPr="00D446B0" w:rsidRDefault="007D0302" w:rsidP="00D446B0">
      <w:pPr>
        <w:pStyle w:val="a4"/>
        <w:widowControl w:val="0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5.</w:t>
      </w:r>
      <w:r w:rsidR="00D446B0">
        <w:rPr>
          <w:rFonts w:ascii="Sylfaen" w:hAnsi="Sylfaen"/>
          <w:sz w:val="24"/>
          <w:szCs w:val="24"/>
        </w:rPr>
        <w:tab/>
      </w:r>
      <w:r w:rsidRPr="00D446B0">
        <w:rPr>
          <w:rFonts w:ascii="Sylfaen" w:hAnsi="Sylfaen"/>
          <w:sz w:val="24"/>
          <w:szCs w:val="24"/>
        </w:rPr>
        <w:t>Փոխգործակցության մասնակիցների կողմից ընդհանուր գործընթացին միանալու ընթացակարգերը կատարելիս</w:t>
      </w:r>
      <w:r w:rsidR="005E4CCA" w:rsidRPr="005E4CCA">
        <w:rPr>
          <w:rFonts w:ascii="Sylfaen" w:hAnsi="Sylfaen"/>
          <w:sz w:val="24"/>
          <w:szCs w:val="24"/>
        </w:rPr>
        <w:t>, այդ թվում` ընդհանուր գործընթացի նոր տարբերակին անցնելիս</w:t>
      </w:r>
      <w:r w:rsidRPr="00D446B0">
        <w:rPr>
          <w:rFonts w:ascii="Sylfaen" w:hAnsi="Sylfaen"/>
          <w:sz w:val="24"/>
          <w:szCs w:val="24"/>
        </w:rPr>
        <w:t xml:space="preserve"> նրանց դերերը բերված են աղյուսակում: </w:t>
      </w:r>
    </w:p>
    <w:p w14:paraId="331DF41A" w14:textId="77777777" w:rsidR="00004BC8" w:rsidRPr="00D446B0" w:rsidRDefault="00BE38D1" w:rsidP="00D446B0">
      <w:pPr>
        <w:pStyle w:val="a4"/>
        <w:widowControl w:val="0"/>
        <w:spacing w:after="160" w:line="360" w:lineRule="auto"/>
        <w:ind w:firstLine="0"/>
        <w:jc w:val="right"/>
        <w:outlineLvl w:val="9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Աղյուսակ</w:t>
      </w:r>
    </w:p>
    <w:p w14:paraId="1F2A55F3" w14:textId="77777777" w:rsidR="00004BC8" w:rsidRPr="00D446B0" w:rsidRDefault="00004BC8" w:rsidP="00D446B0">
      <w:pPr>
        <w:pStyle w:val="a4"/>
        <w:widowControl w:val="0"/>
        <w:spacing w:after="160" w:line="360" w:lineRule="auto"/>
        <w:ind w:firstLine="0"/>
        <w:jc w:val="center"/>
        <w:outlineLvl w:val="9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lastRenderedPageBreak/>
        <w:t>Փոխգործակցության մասնակիցների դերերը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698"/>
        <w:gridCol w:w="2682"/>
        <w:gridCol w:w="2987"/>
      </w:tblGrid>
      <w:tr w:rsidR="004F6652" w:rsidRPr="00D446B0" w14:paraId="060CB5FC" w14:textId="77777777" w:rsidTr="00AD76E1">
        <w:trPr>
          <w:cantSplit/>
          <w:tblHeader/>
          <w:jc w:val="center"/>
        </w:trPr>
        <w:tc>
          <w:tcPr>
            <w:tcW w:w="989" w:type="dxa"/>
            <w:shd w:val="clear" w:color="auto" w:fill="auto"/>
            <w:tcMar>
              <w:top w:w="85" w:type="dxa"/>
              <w:bottom w:w="85" w:type="dxa"/>
            </w:tcMar>
          </w:tcPr>
          <w:p w14:paraId="36301036" w14:textId="77777777" w:rsidR="00004BC8" w:rsidRPr="00D446B0" w:rsidRDefault="003A2361" w:rsidP="00D446B0">
            <w:pPr>
              <w:pStyle w:val="a4"/>
              <w:widowControl w:val="0"/>
              <w:spacing w:line="240" w:lineRule="auto"/>
              <w:ind w:firstLine="0"/>
              <w:jc w:val="center"/>
              <w:outlineLvl w:val="9"/>
              <w:rPr>
                <w:rFonts w:ascii="Sylfaen" w:hAnsi="Sylfaen"/>
                <w:color w:val="000000"/>
                <w:sz w:val="20"/>
                <w:szCs w:val="20"/>
              </w:rPr>
            </w:pPr>
            <w:r w:rsidRPr="00D446B0">
              <w:rPr>
                <w:rFonts w:ascii="Sylfaen" w:hAnsi="Sylfaen"/>
                <w:color w:val="000000"/>
                <w:sz w:val="20"/>
                <w:szCs w:val="20"/>
              </w:rPr>
              <w:t>Համարը</w:t>
            </w:r>
            <w:r w:rsidR="00AD76E1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="00004BC8" w:rsidRPr="00D446B0">
              <w:rPr>
                <w:rFonts w:ascii="Sylfaen" w:hAnsi="Sylfaen"/>
                <w:color w:val="000000"/>
                <w:sz w:val="20"/>
                <w:szCs w:val="20"/>
              </w:rPr>
              <w:t>ը/կ</w:t>
            </w:r>
          </w:p>
        </w:tc>
        <w:tc>
          <w:tcPr>
            <w:tcW w:w="2698" w:type="dxa"/>
            <w:shd w:val="clear" w:color="auto" w:fill="auto"/>
            <w:tcMar>
              <w:top w:w="85" w:type="dxa"/>
              <w:bottom w:w="85" w:type="dxa"/>
            </w:tcMar>
          </w:tcPr>
          <w:p w14:paraId="6CEAC5A6" w14:textId="77777777" w:rsidR="00004BC8" w:rsidRPr="00D446B0" w:rsidRDefault="00004BC8" w:rsidP="00D446B0">
            <w:pPr>
              <w:pStyle w:val="a4"/>
              <w:widowControl w:val="0"/>
              <w:spacing w:line="240" w:lineRule="auto"/>
              <w:ind w:firstLine="0"/>
              <w:jc w:val="center"/>
              <w:outlineLvl w:val="9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D446B0">
              <w:rPr>
                <w:rFonts w:ascii="Sylfaen" w:hAnsi="Sylfaen"/>
                <w:color w:val="000000"/>
                <w:sz w:val="20"/>
                <w:szCs w:val="20"/>
              </w:rPr>
              <w:t>Դերի անվանումը</w:t>
            </w:r>
          </w:p>
        </w:tc>
        <w:tc>
          <w:tcPr>
            <w:tcW w:w="2682" w:type="dxa"/>
            <w:shd w:val="clear" w:color="auto" w:fill="auto"/>
            <w:tcMar>
              <w:top w:w="85" w:type="dxa"/>
              <w:bottom w:w="85" w:type="dxa"/>
            </w:tcMar>
          </w:tcPr>
          <w:p w14:paraId="05AD6FF0" w14:textId="77777777" w:rsidR="00004BC8" w:rsidRPr="00D446B0" w:rsidRDefault="00004BC8" w:rsidP="00D446B0">
            <w:pPr>
              <w:pStyle w:val="a4"/>
              <w:widowControl w:val="0"/>
              <w:spacing w:line="240" w:lineRule="auto"/>
              <w:ind w:firstLine="0"/>
              <w:jc w:val="center"/>
              <w:outlineLvl w:val="9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D446B0">
              <w:rPr>
                <w:rFonts w:ascii="Sylfaen" w:hAnsi="Sylfaen"/>
                <w:color w:val="000000"/>
                <w:sz w:val="20"/>
                <w:szCs w:val="20"/>
              </w:rPr>
              <w:t>Դերի նկարագրությունը</w:t>
            </w:r>
          </w:p>
        </w:tc>
        <w:tc>
          <w:tcPr>
            <w:tcW w:w="2987" w:type="dxa"/>
            <w:shd w:val="clear" w:color="auto" w:fill="auto"/>
            <w:tcMar>
              <w:top w:w="85" w:type="dxa"/>
              <w:bottom w:w="85" w:type="dxa"/>
            </w:tcMar>
          </w:tcPr>
          <w:p w14:paraId="69ABFCC3" w14:textId="77777777" w:rsidR="00004BC8" w:rsidRPr="00D446B0" w:rsidRDefault="00004BC8" w:rsidP="00D446B0">
            <w:pPr>
              <w:pStyle w:val="a4"/>
              <w:widowControl w:val="0"/>
              <w:spacing w:line="240" w:lineRule="auto"/>
              <w:ind w:firstLine="0"/>
              <w:jc w:val="center"/>
              <w:outlineLvl w:val="9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D446B0">
              <w:rPr>
                <w:rFonts w:ascii="Sylfaen" w:hAnsi="Sylfaen"/>
                <w:color w:val="000000"/>
                <w:sz w:val="20"/>
                <w:szCs w:val="20"/>
              </w:rPr>
              <w:t>Դերը կատարող մասնակիցը</w:t>
            </w:r>
          </w:p>
        </w:tc>
      </w:tr>
      <w:tr w:rsidR="004F6652" w:rsidRPr="00D446B0" w14:paraId="2A3AE96B" w14:textId="77777777" w:rsidTr="00AD76E1">
        <w:trPr>
          <w:jc w:val="center"/>
        </w:trPr>
        <w:tc>
          <w:tcPr>
            <w:tcW w:w="989" w:type="dxa"/>
            <w:shd w:val="clear" w:color="auto" w:fill="auto"/>
            <w:tcMar>
              <w:top w:w="85" w:type="dxa"/>
              <w:bottom w:w="85" w:type="dxa"/>
            </w:tcMar>
          </w:tcPr>
          <w:p w14:paraId="30AE42AA" w14:textId="77777777" w:rsidR="00004BC8" w:rsidRPr="00D446B0" w:rsidRDefault="00004BC8" w:rsidP="00D446B0">
            <w:pPr>
              <w:pStyle w:val="a4"/>
              <w:widowControl w:val="0"/>
              <w:spacing w:line="240" w:lineRule="auto"/>
              <w:ind w:firstLine="0"/>
              <w:jc w:val="center"/>
              <w:outlineLvl w:val="9"/>
              <w:rPr>
                <w:rFonts w:ascii="Sylfaen" w:eastAsia="Times New Roman" w:hAnsi="Sylfaen"/>
                <w:sz w:val="20"/>
                <w:szCs w:val="20"/>
              </w:rPr>
            </w:pPr>
            <w:r w:rsidRPr="00D446B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698" w:type="dxa"/>
            <w:shd w:val="clear" w:color="auto" w:fill="auto"/>
            <w:tcMar>
              <w:top w:w="85" w:type="dxa"/>
              <w:bottom w:w="85" w:type="dxa"/>
            </w:tcMar>
          </w:tcPr>
          <w:p w14:paraId="28403D7D" w14:textId="77777777" w:rsidR="00004BC8" w:rsidRPr="00D446B0" w:rsidRDefault="00004BC8" w:rsidP="00D446B0">
            <w:pPr>
              <w:pStyle w:val="a4"/>
              <w:widowControl w:val="0"/>
              <w:spacing w:line="240" w:lineRule="auto"/>
              <w:ind w:firstLine="0"/>
              <w:jc w:val="left"/>
              <w:outlineLvl w:val="9"/>
              <w:rPr>
                <w:rFonts w:ascii="Sylfaen" w:hAnsi="Sylfaen"/>
                <w:sz w:val="20"/>
                <w:szCs w:val="20"/>
              </w:rPr>
            </w:pPr>
            <w:r w:rsidRPr="00D446B0">
              <w:rPr>
                <w:rFonts w:ascii="Sylfaen" w:hAnsi="Sylfaen"/>
                <w:sz w:val="20"/>
                <w:szCs w:val="20"/>
              </w:rPr>
              <w:t xml:space="preserve">Ընդհանուր գործընթացին միացող մասնակիցը կատարում է սույն կարգով նախատեսված միացման ընթացակարգերը </w:t>
            </w:r>
          </w:p>
        </w:tc>
        <w:tc>
          <w:tcPr>
            <w:tcW w:w="2682" w:type="dxa"/>
            <w:shd w:val="clear" w:color="auto" w:fill="auto"/>
            <w:tcMar>
              <w:top w:w="85" w:type="dxa"/>
              <w:bottom w:w="85" w:type="dxa"/>
            </w:tcMar>
          </w:tcPr>
          <w:p w14:paraId="4383B40F" w14:textId="77777777" w:rsidR="00004BC8" w:rsidRPr="00D446B0" w:rsidRDefault="00004BC8" w:rsidP="00D446B0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auto"/>
            <w:tcMar>
              <w:top w:w="85" w:type="dxa"/>
              <w:bottom w:w="85" w:type="dxa"/>
            </w:tcMar>
          </w:tcPr>
          <w:p w14:paraId="2E9F8083" w14:textId="77777777" w:rsidR="00004BC8" w:rsidRPr="00D446B0" w:rsidRDefault="003C6EBB" w:rsidP="00D446B0">
            <w:pPr>
              <w:pStyle w:val="a4"/>
              <w:widowControl w:val="0"/>
              <w:spacing w:line="240" w:lineRule="auto"/>
              <w:ind w:firstLine="0"/>
              <w:jc w:val="left"/>
              <w:outlineLvl w:val="9"/>
              <w:rPr>
                <w:rFonts w:ascii="Sylfaen" w:eastAsia="Times New Roman" w:hAnsi="Sylfaen"/>
                <w:sz w:val="20"/>
                <w:szCs w:val="20"/>
              </w:rPr>
            </w:pPr>
            <w:r w:rsidRPr="00D446B0">
              <w:rPr>
                <w:rFonts w:ascii="Sylfaen" w:hAnsi="Sylfaen"/>
                <w:sz w:val="20"/>
                <w:szCs w:val="20"/>
              </w:rPr>
              <w:t>ուղարկող կենտրոնական մաքսային մարմին (P.CP.01.ACT.001), նշանակման կենտրոնական մաքսային մարմին (P.CP.01.ACT.002),</w:t>
            </w:r>
          </w:p>
          <w:p w14:paraId="3811EBFF" w14:textId="77777777" w:rsidR="006279CB" w:rsidRPr="00D446B0" w:rsidRDefault="003C6EBB" w:rsidP="00D446B0">
            <w:pPr>
              <w:pStyle w:val="a4"/>
              <w:widowControl w:val="0"/>
              <w:spacing w:line="240" w:lineRule="auto"/>
              <w:ind w:firstLine="0"/>
              <w:jc w:val="left"/>
              <w:outlineLvl w:val="9"/>
              <w:rPr>
                <w:rFonts w:ascii="Sylfaen" w:eastAsia="Times New Roman" w:hAnsi="Sylfaen"/>
                <w:sz w:val="20"/>
                <w:szCs w:val="20"/>
              </w:rPr>
            </w:pPr>
            <w:r w:rsidRPr="00D446B0">
              <w:rPr>
                <w:rFonts w:ascii="Sylfaen" w:hAnsi="Sylfaen"/>
                <w:sz w:val="20"/>
                <w:szCs w:val="20"/>
              </w:rPr>
              <w:t>միջանկյալ կենտրոնական մաքսային մարմին</w:t>
            </w:r>
          </w:p>
          <w:p w14:paraId="22975747" w14:textId="77777777" w:rsidR="006279CB" w:rsidRPr="00D446B0" w:rsidRDefault="006279CB" w:rsidP="00D446B0">
            <w:pPr>
              <w:pStyle w:val="a4"/>
              <w:widowControl w:val="0"/>
              <w:spacing w:line="240" w:lineRule="auto"/>
              <w:ind w:firstLine="0"/>
              <w:jc w:val="left"/>
              <w:outlineLvl w:val="9"/>
              <w:rPr>
                <w:rFonts w:ascii="Sylfaen" w:eastAsia="Times New Roman" w:hAnsi="Sylfaen"/>
                <w:sz w:val="20"/>
                <w:szCs w:val="20"/>
              </w:rPr>
            </w:pPr>
            <w:r w:rsidRPr="00D446B0">
              <w:rPr>
                <w:rFonts w:ascii="Sylfaen" w:hAnsi="Sylfaen"/>
                <w:sz w:val="20"/>
                <w:szCs w:val="20"/>
              </w:rPr>
              <w:t>(P.CP.01.ACT.003).</w:t>
            </w:r>
          </w:p>
          <w:p w14:paraId="22FBF6C4" w14:textId="77777777" w:rsidR="00AB27CC" w:rsidRPr="00D446B0" w:rsidRDefault="003C6EBB" w:rsidP="00D446B0">
            <w:pPr>
              <w:pStyle w:val="a4"/>
              <w:widowControl w:val="0"/>
              <w:spacing w:line="240" w:lineRule="auto"/>
              <w:ind w:firstLine="0"/>
              <w:jc w:val="left"/>
              <w:outlineLvl w:val="9"/>
              <w:rPr>
                <w:rFonts w:ascii="Sylfaen" w:eastAsia="Times New Roman" w:hAnsi="Sylfaen"/>
                <w:sz w:val="20"/>
                <w:szCs w:val="20"/>
              </w:rPr>
            </w:pPr>
            <w:r w:rsidRPr="00D446B0">
              <w:rPr>
                <w:rFonts w:ascii="Sylfaen" w:hAnsi="Sylfaen"/>
                <w:sz w:val="20"/>
                <w:szCs w:val="20"/>
              </w:rPr>
              <w:t>նախկինում չպլանավորված մաքսային գործառնություններ կատարող կենտրոնական մաքսային մարմին (P.CP.01.ACT.004).</w:t>
            </w:r>
          </w:p>
          <w:p w14:paraId="37368AFB" w14:textId="77777777" w:rsidR="003C6EBB" w:rsidRPr="00D446B0" w:rsidRDefault="003C6EBB" w:rsidP="00D446B0">
            <w:pPr>
              <w:pStyle w:val="a4"/>
              <w:widowControl w:val="0"/>
              <w:spacing w:line="240" w:lineRule="auto"/>
              <w:ind w:firstLine="0"/>
              <w:jc w:val="left"/>
              <w:outlineLvl w:val="9"/>
              <w:rPr>
                <w:rFonts w:ascii="Sylfaen" w:hAnsi="Sylfaen"/>
                <w:sz w:val="20"/>
                <w:szCs w:val="20"/>
              </w:rPr>
            </w:pPr>
            <w:r w:rsidRPr="00D446B0">
              <w:rPr>
                <w:rFonts w:ascii="Sylfaen" w:hAnsi="Sylfaen"/>
                <w:sz w:val="20"/>
                <w:szCs w:val="20"/>
              </w:rPr>
              <w:t xml:space="preserve">ապրանքների փոխադրման մասին ծանուցվող կենտրոնական մաքսային մարմին </w:t>
            </w:r>
          </w:p>
          <w:p w14:paraId="427E877D" w14:textId="77777777" w:rsidR="003C6EBB" w:rsidRPr="00D446B0" w:rsidRDefault="003C6EBB" w:rsidP="00D446B0">
            <w:pPr>
              <w:pStyle w:val="a4"/>
              <w:widowControl w:val="0"/>
              <w:spacing w:line="240" w:lineRule="auto"/>
              <w:ind w:firstLine="0"/>
              <w:jc w:val="left"/>
              <w:outlineLvl w:val="9"/>
              <w:rPr>
                <w:rFonts w:ascii="Sylfaen" w:eastAsia="Times New Roman" w:hAnsi="Sylfaen"/>
                <w:sz w:val="20"/>
                <w:szCs w:val="20"/>
              </w:rPr>
            </w:pPr>
            <w:r w:rsidRPr="00D446B0">
              <w:rPr>
                <w:rFonts w:ascii="Sylfaen" w:hAnsi="Sylfaen"/>
                <w:sz w:val="20"/>
                <w:szCs w:val="20"/>
              </w:rPr>
              <w:t>(P.CP.01.ACT.005).</w:t>
            </w:r>
          </w:p>
          <w:p w14:paraId="0B20AB1E" w14:textId="77777777" w:rsidR="003C6EBB" w:rsidRPr="00D446B0" w:rsidRDefault="003C6EBB" w:rsidP="00D446B0">
            <w:pPr>
              <w:pStyle w:val="a4"/>
              <w:widowControl w:val="0"/>
              <w:spacing w:line="240" w:lineRule="auto"/>
              <w:ind w:firstLine="0"/>
              <w:jc w:val="left"/>
              <w:outlineLvl w:val="9"/>
              <w:rPr>
                <w:rFonts w:ascii="Sylfaen" w:hAnsi="Sylfaen"/>
                <w:sz w:val="20"/>
                <w:szCs w:val="20"/>
              </w:rPr>
            </w:pPr>
            <w:r w:rsidRPr="00D446B0">
              <w:rPr>
                <w:rFonts w:ascii="Sylfaen" w:hAnsi="Sylfaen"/>
                <w:sz w:val="20"/>
                <w:szCs w:val="20"/>
              </w:rPr>
              <w:t>հավաստագրի գրանցման կենտրոնական մաքսային մարմին</w:t>
            </w:r>
          </w:p>
          <w:p w14:paraId="7F51562B" w14:textId="77777777" w:rsidR="003C6EBB" w:rsidRPr="00D446B0" w:rsidRDefault="003C6EBB" w:rsidP="00D446B0">
            <w:pPr>
              <w:pStyle w:val="a4"/>
              <w:widowControl w:val="0"/>
              <w:spacing w:line="240" w:lineRule="auto"/>
              <w:ind w:firstLine="0"/>
              <w:jc w:val="left"/>
              <w:outlineLvl w:val="9"/>
              <w:rPr>
                <w:rFonts w:ascii="Sylfaen" w:eastAsia="Times New Roman" w:hAnsi="Sylfaen"/>
                <w:sz w:val="20"/>
                <w:szCs w:val="20"/>
              </w:rPr>
            </w:pPr>
            <w:r w:rsidRPr="00D446B0">
              <w:rPr>
                <w:rFonts w:ascii="Sylfaen" w:hAnsi="Sylfaen"/>
                <w:sz w:val="20"/>
                <w:szCs w:val="20"/>
              </w:rPr>
              <w:t>(P.CP.01.ACT.006).</w:t>
            </w:r>
          </w:p>
          <w:p w14:paraId="6E639944" w14:textId="77777777" w:rsidR="003C6EBB" w:rsidRPr="00D446B0" w:rsidRDefault="003C6EBB" w:rsidP="00D446B0">
            <w:pPr>
              <w:pStyle w:val="a4"/>
              <w:widowControl w:val="0"/>
              <w:spacing w:line="240" w:lineRule="auto"/>
              <w:ind w:firstLine="0"/>
              <w:jc w:val="left"/>
              <w:outlineLvl w:val="9"/>
              <w:rPr>
                <w:rFonts w:ascii="Sylfaen" w:hAnsi="Sylfaen"/>
                <w:sz w:val="20"/>
                <w:szCs w:val="20"/>
              </w:rPr>
            </w:pPr>
            <w:r w:rsidRPr="00D446B0">
              <w:rPr>
                <w:rFonts w:ascii="Sylfaen" w:hAnsi="Sylfaen"/>
                <w:sz w:val="20"/>
                <w:szCs w:val="20"/>
              </w:rPr>
              <w:t>այլ անդամ պետության միջանկյալ կենտրոնական մաքսային մարմին (P.CP.01.ACT.007).</w:t>
            </w:r>
          </w:p>
          <w:p w14:paraId="7DFBCA66" w14:textId="77777777" w:rsidR="003C6EBB" w:rsidRPr="00D446B0" w:rsidRDefault="003C6EBB" w:rsidP="00D446B0">
            <w:pPr>
              <w:pStyle w:val="a4"/>
              <w:widowControl w:val="0"/>
              <w:spacing w:line="240" w:lineRule="auto"/>
              <w:ind w:firstLine="0"/>
              <w:jc w:val="left"/>
              <w:outlineLvl w:val="9"/>
              <w:rPr>
                <w:rFonts w:ascii="Sylfaen" w:hAnsi="Sylfaen"/>
                <w:sz w:val="20"/>
                <w:szCs w:val="20"/>
              </w:rPr>
            </w:pPr>
            <w:r w:rsidRPr="00D446B0">
              <w:rPr>
                <w:rFonts w:ascii="Sylfaen" w:hAnsi="Sylfaen"/>
                <w:sz w:val="20"/>
                <w:szCs w:val="20"/>
              </w:rPr>
              <w:t xml:space="preserve">կենտրոնական մաքսային մարմին, որին ենթակա են վճարման մաքսատուրքերը </w:t>
            </w:r>
            <w:r w:rsidR="00D446B0" w:rsidRPr="00D446B0">
              <w:rPr>
                <w:rFonts w:ascii="Sylfaen" w:hAnsi="Sylfaen"/>
                <w:sz w:val="20"/>
                <w:szCs w:val="20"/>
              </w:rPr>
              <w:t>եւ</w:t>
            </w:r>
            <w:r w:rsidRPr="00D446B0">
              <w:rPr>
                <w:rFonts w:ascii="Sylfaen" w:hAnsi="Sylfaen"/>
                <w:sz w:val="20"/>
                <w:szCs w:val="20"/>
              </w:rPr>
              <w:t xml:space="preserve"> հարկերը</w:t>
            </w:r>
          </w:p>
          <w:p w14:paraId="3F909F45" w14:textId="77777777" w:rsidR="007750AD" w:rsidRPr="00D446B0" w:rsidRDefault="003C6EBB" w:rsidP="00D446B0">
            <w:pPr>
              <w:pStyle w:val="a4"/>
              <w:widowControl w:val="0"/>
              <w:spacing w:line="240" w:lineRule="auto"/>
              <w:ind w:firstLine="0"/>
              <w:jc w:val="left"/>
              <w:outlineLvl w:val="9"/>
              <w:rPr>
                <w:rFonts w:ascii="Sylfaen" w:eastAsia="Times New Roman" w:hAnsi="Sylfaen"/>
                <w:sz w:val="20"/>
                <w:szCs w:val="20"/>
              </w:rPr>
            </w:pPr>
            <w:r w:rsidRPr="00D446B0">
              <w:rPr>
                <w:rFonts w:ascii="Sylfaen" w:hAnsi="Sylfaen"/>
                <w:sz w:val="20"/>
                <w:szCs w:val="20"/>
              </w:rPr>
              <w:t>(P.CP.01.ACT.008)</w:t>
            </w:r>
          </w:p>
        </w:tc>
      </w:tr>
      <w:tr w:rsidR="004F6652" w:rsidRPr="00D446B0" w14:paraId="58D18BE2" w14:textId="77777777" w:rsidTr="00AD76E1">
        <w:trPr>
          <w:cantSplit/>
          <w:jc w:val="center"/>
        </w:trPr>
        <w:tc>
          <w:tcPr>
            <w:tcW w:w="989" w:type="dxa"/>
            <w:shd w:val="clear" w:color="auto" w:fill="auto"/>
            <w:tcMar>
              <w:top w:w="85" w:type="dxa"/>
              <w:bottom w:w="85" w:type="dxa"/>
            </w:tcMar>
          </w:tcPr>
          <w:p w14:paraId="31196F0F" w14:textId="77777777" w:rsidR="00E44DEF" w:rsidRPr="00D446B0" w:rsidRDefault="00E44DEF" w:rsidP="00D446B0">
            <w:pPr>
              <w:pStyle w:val="a4"/>
              <w:widowControl w:val="0"/>
              <w:spacing w:line="240" w:lineRule="auto"/>
              <w:ind w:firstLine="0"/>
              <w:jc w:val="center"/>
              <w:outlineLvl w:val="9"/>
              <w:rPr>
                <w:rFonts w:ascii="Sylfaen" w:eastAsia="Times New Roman" w:hAnsi="Sylfaen"/>
                <w:sz w:val="20"/>
                <w:szCs w:val="20"/>
              </w:rPr>
            </w:pPr>
            <w:r w:rsidRPr="00D446B0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698" w:type="dxa"/>
            <w:shd w:val="clear" w:color="auto" w:fill="auto"/>
            <w:tcMar>
              <w:top w:w="85" w:type="dxa"/>
              <w:bottom w:w="85" w:type="dxa"/>
            </w:tcMar>
          </w:tcPr>
          <w:p w14:paraId="37C66D57" w14:textId="77777777" w:rsidR="00E44DEF" w:rsidRPr="00D446B0" w:rsidRDefault="003B3A72" w:rsidP="00D446B0">
            <w:pPr>
              <w:pStyle w:val="a4"/>
              <w:widowControl w:val="0"/>
              <w:spacing w:line="240" w:lineRule="auto"/>
              <w:ind w:firstLine="0"/>
              <w:jc w:val="left"/>
              <w:outlineLvl w:val="9"/>
              <w:rPr>
                <w:rFonts w:ascii="Sylfaen" w:eastAsia="Times New Roman" w:hAnsi="Sylfaen"/>
                <w:sz w:val="20"/>
                <w:szCs w:val="20"/>
              </w:rPr>
            </w:pPr>
            <w:r w:rsidRPr="00D446B0">
              <w:rPr>
                <w:rFonts w:ascii="Sylfaen" w:hAnsi="Sylfaen"/>
                <w:sz w:val="20"/>
                <w:szCs w:val="20"/>
              </w:rPr>
              <w:t>Ադմինիստրատոր</w:t>
            </w:r>
          </w:p>
        </w:tc>
        <w:tc>
          <w:tcPr>
            <w:tcW w:w="2682" w:type="dxa"/>
            <w:shd w:val="clear" w:color="auto" w:fill="auto"/>
            <w:tcMar>
              <w:top w:w="85" w:type="dxa"/>
              <w:bottom w:w="85" w:type="dxa"/>
            </w:tcMar>
          </w:tcPr>
          <w:p w14:paraId="525D62BE" w14:textId="77777777" w:rsidR="00E44DEF" w:rsidRPr="00D446B0" w:rsidRDefault="000C4CC9" w:rsidP="00D446B0">
            <w:pPr>
              <w:widowControl w:val="0"/>
              <w:spacing w:after="12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D446B0">
              <w:rPr>
                <w:rFonts w:ascii="Sylfaen" w:hAnsi="Sylfaen"/>
                <w:sz w:val="20"/>
                <w:szCs w:val="20"/>
              </w:rPr>
              <w:t>համակարգում է սույն կարգով նախատեսված ընթացակարգերի կատարումը</w:t>
            </w:r>
          </w:p>
        </w:tc>
        <w:tc>
          <w:tcPr>
            <w:tcW w:w="2987" w:type="dxa"/>
            <w:shd w:val="clear" w:color="auto" w:fill="auto"/>
            <w:tcMar>
              <w:top w:w="85" w:type="dxa"/>
              <w:bottom w:w="85" w:type="dxa"/>
            </w:tcMar>
          </w:tcPr>
          <w:p w14:paraId="63A1FF71" w14:textId="77777777" w:rsidR="00E44DEF" w:rsidRPr="00D446B0" w:rsidRDefault="002D407E" w:rsidP="00D446B0">
            <w:pPr>
              <w:pStyle w:val="a4"/>
              <w:widowControl w:val="0"/>
              <w:spacing w:line="240" w:lineRule="auto"/>
              <w:ind w:firstLine="0"/>
              <w:jc w:val="left"/>
              <w:outlineLvl w:val="9"/>
              <w:rPr>
                <w:rFonts w:ascii="Sylfaen" w:eastAsia="Times New Roman" w:hAnsi="Sylfaen"/>
                <w:sz w:val="20"/>
                <w:szCs w:val="20"/>
              </w:rPr>
            </w:pPr>
            <w:r w:rsidRPr="00D446B0">
              <w:rPr>
                <w:rFonts w:ascii="Sylfaen" w:hAnsi="Sylfaen"/>
                <w:noProof w:val="0"/>
                <w:sz w:val="20"/>
                <w:szCs w:val="20"/>
              </w:rPr>
              <w:t xml:space="preserve">Եվրասիական տնտեսական հանձնաժողով </w:t>
            </w:r>
          </w:p>
        </w:tc>
      </w:tr>
    </w:tbl>
    <w:p w14:paraId="79F04446" w14:textId="77777777" w:rsidR="00D446B0" w:rsidRDefault="00D446B0" w:rsidP="00D446B0">
      <w:pPr>
        <w:pStyle w:val="1"/>
        <w:keepNext w:val="0"/>
        <w:keepLines w:val="0"/>
        <w:widowControl w:val="0"/>
        <w:spacing w:before="0" w:after="160" w:line="360" w:lineRule="auto"/>
        <w:contextualSpacing w:val="0"/>
        <w:rPr>
          <w:rFonts w:ascii="Sylfaen" w:hAnsi="Sylfaen"/>
          <w:sz w:val="24"/>
          <w:szCs w:val="24"/>
        </w:rPr>
      </w:pPr>
    </w:p>
    <w:p w14:paraId="11783635" w14:textId="77777777" w:rsidR="00004BC8" w:rsidRPr="00D446B0" w:rsidRDefault="00004BC8" w:rsidP="00D14425">
      <w:pPr>
        <w:pStyle w:val="1"/>
        <w:keepNext w:val="0"/>
        <w:keepLines w:val="0"/>
        <w:widowControl w:val="0"/>
        <w:spacing w:before="0" w:after="160" w:line="353" w:lineRule="auto"/>
        <w:contextualSpacing w:val="0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V.</w:t>
      </w:r>
      <w:r w:rsidR="00D446B0">
        <w:rPr>
          <w:rFonts w:ascii="Sylfaen" w:hAnsi="Sylfaen"/>
          <w:sz w:val="24"/>
          <w:szCs w:val="24"/>
        </w:rPr>
        <w:t xml:space="preserve"> </w:t>
      </w:r>
      <w:r w:rsidRPr="00D446B0">
        <w:rPr>
          <w:rFonts w:ascii="Sylfaen" w:hAnsi="Sylfaen"/>
          <w:sz w:val="24"/>
          <w:szCs w:val="24"/>
        </w:rPr>
        <w:t>Միանալու ընթացակարգի նկարագրությունը</w:t>
      </w:r>
    </w:p>
    <w:p w14:paraId="4BC43DA2" w14:textId="77777777" w:rsidR="00004BC8" w:rsidRPr="00D446B0" w:rsidRDefault="00004BC8" w:rsidP="00D14425">
      <w:pPr>
        <w:pStyle w:val="aa"/>
        <w:widowControl w:val="0"/>
        <w:tabs>
          <w:tab w:val="left" w:pos="1134"/>
        </w:tabs>
        <w:spacing w:after="160" w:line="353" w:lineRule="auto"/>
        <w:ind w:firstLine="567"/>
        <w:outlineLvl w:val="2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lastRenderedPageBreak/>
        <w:t>6.</w:t>
      </w:r>
      <w:r w:rsidR="00D446B0">
        <w:rPr>
          <w:rFonts w:ascii="Sylfaen" w:hAnsi="Sylfaen"/>
          <w:sz w:val="24"/>
          <w:szCs w:val="24"/>
        </w:rPr>
        <w:tab/>
      </w:r>
      <w:r w:rsidRPr="00D446B0">
        <w:rPr>
          <w:rFonts w:ascii="Sylfaen" w:hAnsi="Sylfaen"/>
          <w:sz w:val="24"/>
          <w:szCs w:val="24"/>
        </w:rPr>
        <w:t>Մինչ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ընդհանուր գործընթացին միանալը ընդհանուր գործընթացին միացող մասնակցի կողմից պետք է կատարվեն ընդհանուր գործընթացի իրագործման 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տեղեկատվական փոխգործակցության ապահովման համար անհրաժեշտ՝ ինտեգրված տեղեկատվական համակարգի գործունեության ապահովման ժամանակ կիրառվող փաստաթղթերով սահմանված պահանջները, ինչպես նա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անդամ պետության ազգային սեգմենտի շրջանակներում տեղեկատվական փոխգործակցությունը կանոնակարգող՝ Միության անդամ պետության (այսուհետ՝ անդամ պետություն) օրենսդրության պահանջները:</w:t>
      </w:r>
      <w:r w:rsidR="00D446B0" w:rsidRPr="00D446B0">
        <w:rPr>
          <w:rFonts w:ascii="Sylfaen" w:hAnsi="Sylfaen"/>
          <w:sz w:val="24"/>
          <w:szCs w:val="24"/>
        </w:rPr>
        <w:t xml:space="preserve"> </w:t>
      </w:r>
    </w:p>
    <w:p w14:paraId="427D5A66" w14:textId="77777777" w:rsidR="00004BC8" w:rsidRPr="00D446B0" w:rsidRDefault="00004BC8" w:rsidP="00D14425">
      <w:pPr>
        <w:pStyle w:val="aa"/>
        <w:widowControl w:val="0"/>
        <w:tabs>
          <w:tab w:val="left" w:pos="1134"/>
        </w:tabs>
        <w:spacing w:after="160" w:line="353" w:lineRule="auto"/>
        <w:ind w:firstLine="567"/>
        <w:outlineLvl w:val="2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7.</w:t>
      </w:r>
      <w:r w:rsidR="00D446B0">
        <w:rPr>
          <w:rFonts w:ascii="Sylfaen" w:hAnsi="Sylfaen"/>
          <w:sz w:val="24"/>
          <w:szCs w:val="24"/>
        </w:rPr>
        <w:tab/>
      </w:r>
      <w:r w:rsidRPr="00D446B0">
        <w:rPr>
          <w:rFonts w:ascii="Sylfaen" w:hAnsi="Sylfaen"/>
          <w:sz w:val="24"/>
          <w:szCs w:val="24"/>
        </w:rPr>
        <w:t>Ընդհանուր գործընթացին մասնակցի միանալու ընթացակարգի կատարումը ներառում է</w:t>
      </w:r>
      <w:r w:rsidR="003A2361" w:rsidRPr="00D446B0">
        <w:rPr>
          <w:rFonts w:ascii="Sylfaen" w:hAnsi="Sylfaen"/>
          <w:sz w:val="24"/>
          <w:szCs w:val="24"/>
        </w:rPr>
        <w:t>՝</w:t>
      </w:r>
    </w:p>
    <w:p w14:paraId="5E01E022" w14:textId="77777777" w:rsidR="00004BC8" w:rsidRPr="00D446B0" w:rsidRDefault="00A15733" w:rsidP="00D14425">
      <w:pPr>
        <w:pStyle w:val="a6"/>
        <w:widowControl w:val="0"/>
        <w:tabs>
          <w:tab w:val="left" w:pos="1134"/>
        </w:tabs>
        <w:spacing w:after="160" w:line="353" w:lineRule="auto"/>
        <w:ind w:firstLine="567"/>
        <w:rPr>
          <w:rFonts w:ascii="Sylfaen" w:hAnsi="Sylfaen"/>
          <w:sz w:val="24"/>
        </w:rPr>
      </w:pPr>
      <w:r w:rsidRPr="00D446B0">
        <w:rPr>
          <w:rFonts w:ascii="Sylfaen" w:hAnsi="Sylfaen"/>
          <w:sz w:val="24"/>
        </w:rPr>
        <w:t>ա)</w:t>
      </w:r>
      <w:r w:rsidR="00D446B0">
        <w:rPr>
          <w:rFonts w:ascii="Sylfaen" w:hAnsi="Sylfaen"/>
          <w:sz w:val="24"/>
        </w:rPr>
        <w:tab/>
      </w:r>
      <w:r w:rsidRPr="00D446B0">
        <w:rPr>
          <w:rFonts w:ascii="Sylfaen" w:hAnsi="Sylfaen"/>
          <w:sz w:val="24"/>
        </w:rPr>
        <w:t xml:space="preserve">Եվրասիական տնտեսական հանձնաժողովի (այսուհետ՝ Հանձնաժողով) անդամ պետության կողմից ընդհանուր գործընթացին մասնակցի միանալու մասին տեղեկացնելը (նշելով տեղեկատվական փոխգործակցության ապահովման համար պատասխանատու լիազոր մարմինը </w:t>
      </w:r>
      <w:r w:rsidR="00D446B0" w:rsidRPr="00D446B0">
        <w:rPr>
          <w:rFonts w:ascii="Sylfaen" w:hAnsi="Sylfaen"/>
          <w:sz w:val="24"/>
        </w:rPr>
        <w:t>եւ</w:t>
      </w:r>
      <w:r w:rsidRPr="00D446B0">
        <w:rPr>
          <w:rFonts w:ascii="Sylfaen" w:hAnsi="Sylfaen"/>
          <w:sz w:val="24"/>
        </w:rPr>
        <w:t xml:space="preserve"> միացման պլանավորվող ժամկետները, որոնցում հաշվի են առնվում սույն կարգով նախատեսված՝ միացման միջոցառումների կատարման ամենավերջին ժամկետները)՝ </w:t>
      </w:r>
      <w:r w:rsidR="003A2361" w:rsidRPr="00D446B0">
        <w:rPr>
          <w:rFonts w:ascii="Sylfaen" w:hAnsi="Sylfaen"/>
          <w:sz w:val="24"/>
        </w:rPr>
        <w:t>««</w:t>
      </w:r>
      <w:r w:rsidRPr="00D446B0">
        <w:rPr>
          <w:rFonts w:ascii="Sylfaen" w:hAnsi="Sylfaen"/>
          <w:sz w:val="24"/>
        </w:rPr>
        <w:t>«Մաքսային տարանցում» մաքսային ընթացակարգին համապատասխան ապրանքների փոխադրումների վերահսկման ընթացքում Եվրասիական տնտեսական միության անդամ պետությունների մաքսային մարմինների միջ</w:t>
      </w:r>
      <w:r w:rsidR="00D446B0" w:rsidRPr="00D446B0">
        <w:rPr>
          <w:rFonts w:ascii="Sylfaen" w:hAnsi="Sylfaen"/>
          <w:sz w:val="24"/>
        </w:rPr>
        <w:t>եւ</w:t>
      </w:r>
      <w:r w:rsidRPr="00D446B0">
        <w:rPr>
          <w:rFonts w:ascii="Sylfaen" w:hAnsi="Sylfaen"/>
          <w:sz w:val="24"/>
        </w:rPr>
        <w:t xml:space="preserve"> էլեկտրոնային փաստաթղթերի </w:t>
      </w:r>
      <w:r w:rsidR="00D446B0" w:rsidRPr="00D446B0">
        <w:rPr>
          <w:rFonts w:ascii="Sylfaen" w:hAnsi="Sylfaen"/>
          <w:sz w:val="24"/>
        </w:rPr>
        <w:t>եւ</w:t>
      </w:r>
      <w:r w:rsidRPr="00D446B0">
        <w:rPr>
          <w:rFonts w:ascii="Sylfaen" w:hAnsi="Sylfaen"/>
          <w:sz w:val="24"/>
        </w:rPr>
        <w:t xml:space="preserve"> (կամ) տեղեկությունների փոխանակման ապահովում» ընդհանուր գործընթացի՝ Եվրասիական տնտեսական միության ինտեգրված տեղեկատվական համակարգի միջոցներով իրագործման ժամանակ տեղեկատվական փոխգործակցությունը կանոնակարգող տեխնոլոգիական փաստաթղթերի մասին» </w:t>
      </w:r>
      <w:r w:rsidR="005A3910" w:rsidRPr="00D446B0">
        <w:rPr>
          <w:rFonts w:ascii="Sylfaen" w:hAnsi="Sylfaen"/>
          <w:sz w:val="24"/>
        </w:rPr>
        <w:t xml:space="preserve">Եվրասիական տնտեսական հանձնաժողովի կոլեգիայի 2023 թվականի նոյեմբերի 21-ի </w:t>
      </w:r>
      <w:r w:rsidRPr="00D446B0">
        <w:rPr>
          <w:rFonts w:ascii="Sylfaen" w:hAnsi="Sylfaen"/>
          <w:sz w:val="24"/>
        </w:rPr>
        <w:t>թիվ 162 որոշմամբ (այսուհետ՝ Տեխնոլոգիական փաստաթղթերի հաստատման մասին Հանձնաժողովի կոլեգիայի որոշում) հաստատված տեխնոլոգիական փաստաթղթերի հրապարկման օրվանից 1 ամսվա ընթացքում.</w:t>
      </w:r>
    </w:p>
    <w:p w14:paraId="09005378" w14:textId="77777777" w:rsidR="00EE6856" w:rsidRPr="00D446B0" w:rsidRDefault="000C4CC9" w:rsidP="00D446B0">
      <w:pPr>
        <w:pStyle w:val="a6"/>
        <w:widowControl w:val="0"/>
        <w:tabs>
          <w:tab w:val="left" w:pos="1134"/>
        </w:tabs>
        <w:spacing w:after="160"/>
        <w:ind w:firstLine="567"/>
        <w:rPr>
          <w:rFonts w:ascii="Sylfaen" w:hAnsi="Sylfaen"/>
          <w:b/>
          <w:sz w:val="24"/>
        </w:rPr>
      </w:pPr>
      <w:r w:rsidRPr="00D446B0">
        <w:rPr>
          <w:rFonts w:ascii="Sylfaen" w:hAnsi="Sylfaen"/>
          <w:sz w:val="24"/>
        </w:rPr>
        <w:t>բ)</w:t>
      </w:r>
      <w:r w:rsidR="00D446B0">
        <w:rPr>
          <w:rFonts w:ascii="Sylfaen" w:hAnsi="Sylfaen"/>
          <w:sz w:val="24"/>
        </w:rPr>
        <w:tab/>
      </w:r>
      <w:r w:rsidRPr="00D446B0">
        <w:rPr>
          <w:rFonts w:ascii="Sylfaen" w:hAnsi="Sylfaen"/>
          <w:sz w:val="24"/>
        </w:rPr>
        <w:t xml:space="preserve">անհրաժեշտության դեպքում անդամ պետության նորմատիվ </w:t>
      </w:r>
      <w:r w:rsidRPr="00D446B0">
        <w:rPr>
          <w:rFonts w:ascii="Sylfaen" w:hAnsi="Sylfaen"/>
          <w:sz w:val="24"/>
        </w:rPr>
        <w:lastRenderedPageBreak/>
        <w:t>իրավական ակտերում տեխնոլոգիական փաստաթղթերի պահանջների կատարման համար անհրաժեշտ փոփոխություններ կատարելը՝ Տեխնոլոգիական փաստաթղթերի հաստատման մասին Հանձնաժողովի կոլեգիայի որոշ</w:t>
      </w:r>
      <w:r w:rsidR="003A2361" w:rsidRPr="00D446B0">
        <w:rPr>
          <w:rFonts w:ascii="Sylfaen" w:hAnsi="Sylfaen"/>
          <w:sz w:val="24"/>
        </w:rPr>
        <w:t>ումն</w:t>
      </w:r>
      <w:r w:rsidRPr="00D446B0">
        <w:rPr>
          <w:rFonts w:ascii="Sylfaen" w:hAnsi="Sylfaen"/>
          <w:sz w:val="24"/>
        </w:rPr>
        <w:t xml:space="preserve"> ուժի մեջ մտնելու օրվանից 2 ամսվա ընթացքում. </w:t>
      </w:r>
    </w:p>
    <w:p w14:paraId="6C8ED146" w14:textId="77777777" w:rsidR="00EE6856" w:rsidRPr="00D446B0" w:rsidRDefault="000C4CC9" w:rsidP="00D446B0">
      <w:pPr>
        <w:pStyle w:val="aa"/>
        <w:widowControl w:val="0"/>
        <w:tabs>
          <w:tab w:val="left" w:pos="1134"/>
        </w:tabs>
        <w:spacing w:after="160"/>
        <w:ind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գ)</w:t>
      </w:r>
      <w:r w:rsidR="00D446B0">
        <w:rPr>
          <w:rFonts w:ascii="Sylfaen" w:hAnsi="Sylfaen"/>
          <w:sz w:val="24"/>
          <w:szCs w:val="24"/>
        </w:rPr>
        <w:tab/>
      </w:r>
      <w:r w:rsidRPr="00D446B0">
        <w:rPr>
          <w:rFonts w:ascii="Sylfaen" w:hAnsi="Sylfaen"/>
          <w:sz w:val="24"/>
          <w:szCs w:val="24"/>
        </w:rPr>
        <w:t>ընդհանուր գործընթացին միացող մասնակցի տեղեկատվական համակարգի մշակումը (լրամշակումը)՝ Տեխնոլոգիական փաստաթղթերի հաստատման մասին Հանձնաժողովի կոլեգիայի որոշ</w:t>
      </w:r>
      <w:r w:rsidR="003A2361" w:rsidRPr="00D446B0">
        <w:rPr>
          <w:rFonts w:ascii="Sylfaen" w:hAnsi="Sylfaen"/>
          <w:sz w:val="24"/>
          <w:szCs w:val="24"/>
        </w:rPr>
        <w:t>ումն</w:t>
      </w:r>
      <w:r w:rsidRPr="00D446B0">
        <w:rPr>
          <w:rFonts w:ascii="Sylfaen" w:hAnsi="Sylfaen"/>
          <w:sz w:val="24"/>
          <w:szCs w:val="24"/>
        </w:rPr>
        <w:t xml:space="preserve"> ուժի մեջ մտնելու օրվանից 5 ամսվա ընթացքում.</w:t>
      </w:r>
    </w:p>
    <w:p w14:paraId="3DFF4A7D" w14:textId="77777777" w:rsidR="00EE6856" w:rsidRPr="00D446B0" w:rsidRDefault="000C4CC9" w:rsidP="00D446B0">
      <w:pPr>
        <w:pStyle w:val="aa"/>
        <w:widowControl w:val="0"/>
        <w:tabs>
          <w:tab w:val="left" w:pos="1134"/>
        </w:tabs>
        <w:spacing w:after="160"/>
        <w:ind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դ)</w:t>
      </w:r>
      <w:r w:rsidR="00D446B0">
        <w:rPr>
          <w:rFonts w:ascii="Sylfaen" w:hAnsi="Sylfaen"/>
          <w:sz w:val="24"/>
          <w:szCs w:val="24"/>
        </w:rPr>
        <w:tab/>
      </w:r>
      <w:r w:rsidRPr="00D446B0">
        <w:rPr>
          <w:rFonts w:ascii="Sylfaen" w:hAnsi="Sylfaen"/>
          <w:sz w:val="24"/>
          <w:szCs w:val="24"/>
        </w:rPr>
        <w:t>ընդհանուր գործընթացին միացող մասնակցի տեղեկատվական համակարգի միացումն ազգային սեգմենտին, եթե այդ միացումը նախկինում չի իրականացվել՝ Տեխնոլոգիական փաստաթղթերի հաստատման մասին Հանձնաժողովի կոլեգիայի որոշ</w:t>
      </w:r>
      <w:r w:rsidR="00632F28" w:rsidRPr="00D446B0">
        <w:rPr>
          <w:rFonts w:ascii="Sylfaen" w:hAnsi="Sylfaen"/>
          <w:sz w:val="24"/>
          <w:szCs w:val="24"/>
        </w:rPr>
        <w:t>ումն</w:t>
      </w:r>
      <w:r w:rsidRPr="00D446B0">
        <w:rPr>
          <w:rFonts w:ascii="Sylfaen" w:hAnsi="Sylfaen"/>
          <w:sz w:val="24"/>
          <w:szCs w:val="24"/>
        </w:rPr>
        <w:t xml:space="preserve"> ուժի մեջ մտնելու օրվանից 5 ամսվա ընթացքում. </w:t>
      </w:r>
    </w:p>
    <w:p w14:paraId="05D97228" w14:textId="77777777" w:rsidR="009375E9" w:rsidRPr="00D446B0" w:rsidRDefault="00EE6856" w:rsidP="00D446B0">
      <w:pPr>
        <w:pStyle w:val="aa"/>
        <w:widowControl w:val="0"/>
        <w:tabs>
          <w:tab w:val="left" w:pos="1134"/>
        </w:tabs>
        <w:spacing w:after="160"/>
        <w:ind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ե)</w:t>
      </w:r>
      <w:r w:rsidR="00D446B0">
        <w:rPr>
          <w:rFonts w:ascii="Sylfaen" w:hAnsi="Sylfaen"/>
          <w:sz w:val="24"/>
          <w:szCs w:val="24"/>
        </w:rPr>
        <w:tab/>
      </w:r>
      <w:r w:rsidRPr="00D446B0">
        <w:rPr>
          <w:rFonts w:ascii="Sylfaen" w:hAnsi="Sylfaen"/>
          <w:sz w:val="24"/>
          <w:szCs w:val="24"/>
        </w:rPr>
        <w:t>ընդհանուր գործընթացին միացող մասնակցի կողմից ադմինիստրատորի տարած</w:t>
      </w:r>
      <w:r w:rsidR="00632F28" w:rsidRPr="00D446B0">
        <w:rPr>
          <w:rFonts w:ascii="Sylfaen" w:hAnsi="Sylfaen"/>
          <w:sz w:val="24"/>
          <w:szCs w:val="24"/>
        </w:rPr>
        <w:t>ած</w:t>
      </w:r>
      <w:r w:rsidRPr="00D446B0">
        <w:rPr>
          <w:rFonts w:ascii="Sylfaen" w:hAnsi="Sylfaen"/>
          <w:sz w:val="24"/>
          <w:szCs w:val="24"/>
        </w:rPr>
        <w:t xml:space="preserve"> տեղեկատուների 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դասակարգիչների ստացումը՝ Տեխնոլոգիական փաստաթղթերի հաստատման մասին Հանձնաժողովի կոլեգիայի որոշ</w:t>
      </w:r>
      <w:r w:rsidR="00632F28" w:rsidRPr="00D446B0">
        <w:rPr>
          <w:rFonts w:ascii="Sylfaen" w:hAnsi="Sylfaen"/>
          <w:sz w:val="24"/>
          <w:szCs w:val="24"/>
        </w:rPr>
        <w:t>ումն</w:t>
      </w:r>
      <w:r w:rsidRPr="00D446B0">
        <w:rPr>
          <w:rFonts w:ascii="Sylfaen" w:hAnsi="Sylfaen"/>
          <w:sz w:val="24"/>
          <w:szCs w:val="24"/>
        </w:rPr>
        <w:t xml:space="preserve"> ուժի մեջ մտնելու օրվանից 3 ամսվա ընթացքում.</w:t>
      </w:r>
    </w:p>
    <w:p w14:paraId="01FD2CB8" w14:textId="77777777" w:rsidR="00544AAB" w:rsidRPr="00D446B0" w:rsidRDefault="00E06A5B" w:rsidP="00D446B0">
      <w:pPr>
        <w:pStyle w:val="aa"/>
        <w:widowControl w:val="0"/>
        <w:tabs>
          <w:tab w:val="left" w:pos="1134"/>
        </w:tabs>
        <w:spacing w:after="160"/>
        <w:ind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զ)</w:t>
      </w:r>
      <w:r w:rsidR="00D446B0">
        <w:rPr>
          <w:rFonts w:ascii="Sylfaen" w:hAnsi="Sylfaen"/>
          <w:sz w:val="24"/>
          <w:szCs w:val="24"/>
        </w:rPr>
        <w:tab/>
      </w:r>
      <w:r w:rsidRPr="00D446B0">
        <w:rPr>
          <w:rFonts w:ascii="Sylfaen" w:hAnsi="Sylfaen"/>
          <w:sz w:val="24"/>
          <w:szCs w:val="24"/>
        </w:rPr>
        <w:t xml:space="preserve">ընդհանուր գործընթացին միացող մասնակցի տեղեկատվական համակարգի 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անդամ պետության ազգային սեգմենտի օպերատորի տեղեկատվական համակարգի միջ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տեղեկատվական փոխգործակցության փորձարկումը 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Հանձնաժողովին փորձարկման այդ տեսակի հաջող անցկացման մասին տեղեկացնելը՝ Տեխնոլոգիական փաստաթղթերի հաստատման մասին Հանձնաժողովի կոլեգիայի որոշ</w:t>
      </w:r>
      <w:r w:rsidR="00632F28" w:rsidRPr="00D446B0">
        <w:rPr>
          <w:rFonts w:ascii="Sylfaen" w:hAnsi="Sylfaen"/>
          <w:sz w:val="24"/>
          <w:szCs w:val="24"/>
        </w:rPr>
        <w:t>ումն</w:t>
      </w:r>
      <w:r w:rsidRPr="00D446B0">
        <w:rPr>
          <w:rFonts w:ascii="Sylfaen" w:hAnsi="Sylfaen"/>
          <w:sz w:val="24"/>
          <w:szCs w:val="24"/>
        </w:rPr>
        <w:t xml:space="preserve"> ուժի մեջ մտնելու օրվանից 6 ամսվա ընթացքում. </w:t>
      </w:r>
    </w:p>
    <w:p w14:paraId="68A94D8E" w14:textId="77777777" w:rsidR="00EE6856" w:rsidRPr="00D446B0" w:rsidRDefault="00E06A5B" w:rsidP="00D14425">
      <w:pPr>
        <w:pStyle w:val="aa"/>
        <w:widowControl w:val="0"/>
        <w:tabs>
          <w:tab w:val="left" w:pos="1134"/>
        </w:tabs>
        <w:spacing w:after="160" w:line="353" w:lineRule="auto"/>
        <w:ind w:firstLine="567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է)</w:t>
      </w:r>
      <w:r w:rsidR="00D446B0">
        <w:rPr>
          <w:rFonts w:ascii="Sylfaen" w:hAnsi="Sylfaen"/>
          <w:sz w:val="24"/>
          <w:szCs w:val="24"/>
        </w:rPr>
        <w:tab/>
      </w:r>
      <w:r w:rsidRPr="00D446B0">
        <w:rPr>
          <w:rFonts w:ascii="Sylfaen" w:hAnsi="Sylfaen"/>
          <w:sz w:val="24"/>
          <w:szCs w:val="24"/>
        </w:rPr>
        <w:t>ընդհանուր գործընթացին միացող մասնակիցների տեղեկատվական համակարգերի միջ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տեղեկատվական փոխգործակցության՝ տեխնոլոգիական փաստաթղթերի պահանջներին համապատասխանության մասով փորձարկումը՝ Տեխնոլոգիական փաստաթղթերի հաստատման մասին Հանձնաժողովի կոլեգայի </w:t>
      </w:r>
      <w:r w:rsidRPr="00D446B0">
        <w:rPr>
          <w:rFonts w:ascii="Sylfaen" w:hAnsi="Sylfaen"/>
          <w:sz w:val="24"/>
          <w:szCs w:val="24"/>
        </w:rPr>
        <w:lastRenderedPageBreak/>
        <w:t>որոշ</w:t>
      </w:r>
      <w:r w:rsidR="00632F28" w:rsidRPr="00D446B0">
        <w:rPr>
          <w:rFonts w:ascii="Sylfaen" w:hAnsi="Sylfaen"/>
          <w:sz w:val="24"/>
          <w:szCs w:val="24"/>
        </w:rPr>
        <w:t>ումն</w:t>
      </w:r>
      <w:r w:rsidRPr="00D446B0">
        <w:rPr>
          <w:rFonts w:ascii="Sylfaen" w:hAnsi="Sylfaen"/>
          <w:sz w:val="24"/>
          <w:szCs w:val="24"/>
        </w:rPr>
        <w:t xml:space="preserve"> ուժի մեջ մտնելու օրվանից 9 ամսվա ընթացքում: </w:t>
      </w:r>
    </w:p>
    <w:p w14:paraId="42114211" w14:textId="77777777" w:rsidR="00004BC8" w:rsidRPr="00D446B0" w:rsidRDefault="005B5A0F" w:rsidP="00D14425">
      <w:pPr>
        <w:pStyle w:val="aa"/>
        <w:widowControl w:val="0"/>
        <w:tabs>
          <w:tab w:val="left" w:pos="1134"/>
        </w:tabs>
        <w:spacing w:after="160" w:line="353" w:lineRule="auto"/>
        <w:ind w:firstLine="567"/>
        <w:outlineLvl w:val="2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8.</w:t>
      </w:r>
      <w:r w:rsidR="00D446B0">
        <w:rPr>
          <w:rFonts w:ascii="Sylfaen" w:hAnsi="Sylfaen"/>
          <w:sz w:val="24"/>
          <w:szCs w:val="24"/>
        </w:rPr>
        <w:tab/>
      </w:r>
      <w:r w:rsidRPr="00D446B0">
        <w:rPr>
          <w:rFonts w:ascii="Sylfaen" w:hAnsi="Sylfaen"/>
          <w:sz w:val="24"/>
          <w:szCs w:val="24"/>
        </w:rPr>
        <w:t xml:space="preserve">Սույն կարգի 6-րդ 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7-րդ կետերին համապատասխան՝ պահանջների պահպանման եւ գործողությունների հաջող կատարման պայմանով ընդհանուր գործընթացի մասնակիցների միջեւ տեղեկությունների հետագա փոխանակումն իրականացվում է ընդհանուր գործընթաց</w:t>
      </w:r>
      <w:r w:rsidR="00632F28" w:rsidRPr="00D446B0">
        <w:rPr>
          <w:rFonts w:ascii="Sylfaen" w:hAnsi="Sylfaen"/>
          <w:sz w:val="24"/>
          <w:szCs w:val="24"/>
        </w:rPr>
        <w:t>ի</w:t>
      </w:r>
      <w:r w:rsidRPr="00D446B0">
        <w:rPr>
          <w:rFonts w:ascii="Sylfaen" w:hAnsi="Sylfaen"/>
          <w:sz w:val="24"/>
          <w:szCs w:val="24"/>
        </w:rPr>
        <w:t xml:space="preserve"> իրագործման ժամանակ տեղեկատվական փոխգործակցությունը կանոնակարգող տեխնոլոգիական փաստաթղթերին համապատասխան: </w:t>
      </w:r>
    </w:p>
    <w:p w14:paraId="2B204BDC" w14:textId="77777777" w:rsidR="006E324A" w:rsidRPr="00D446B0" w:rsidRDefault="005B5A0F" w:rsidP="00D14425">
      <w:pPr>
        <w:pStyle w:val="aa"/>
        <w:widowControl w:val="0"/>
        <w:tabs>
          <w:tab w:val="left" w:pos="1134"/>
        </w:tabs>
        <w:spacing w:after="160" w:line="353" w:lineRule="auto"/>
        <w:ind w:firstLine="567"/>
        <w:outlineLvl w:val="2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9.</w:t>
      </w:r>
      <w:r w:rsidR="00D446B0">
        <w:rPr>
          <w:rFonts w:ascii="Sylfaen" w:hAnsi="Sylfaen"/>
          <w:sz w:val="24"/>
          <w:szCs w:val="24"/>
        </w:rPr>
        <w:tab/>
      </w:r>
      <w:r w:rsidRPr="00D446B0">
        <w:rPr>
          <w:rFonts w:ascii="Sylfaen" w:hAnsi="Sylfaen"/>
          <w:sz w:val="24"/>
          <w:szCs w:val="24"/>
        </w:rPr>
        <w:t xml:space="preserve">Հանձնաժողովն իրականացնում է տեղեկատվական փոխգործակցության փորձարկման անցկացման 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ընդհանուր գործընթացի գործարկման աշխատանքների պլանավորում 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համակարգում, ինչպես նա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անդամ պետության լիազոր մարմիններ հարցում է կատարում ընդհանուր գործընթացին միացող մասնակիցների տեղեկատվական համակարգերի միջ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տեղեկատվական փոխգործակցության՝ տեխնոլոգիական փաստաթղթերի պահանջներին համապատասխանության մասով փորձարկմանը պատրաստականության ժամկետների մասին 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փոխանցում ստացված տեղեկատվությունը մյուս անդամ պետությունների լիազոր մարմիններին:</w:t>
      </w:r>
      <w:r w:rsidR="00D446B0" w:rsidRPr="00D446B0">
        <w:rPr>
          <w:rFonts w:ascii="Sylfaen" w:hAnsi="Sylfaen"/>
          <w:sz w:val="24"/>
          <w:szCs w:val="24"/>
        </w:rPr>
        <w:t xml:space="preserve"> </w:t>
      </w:r>
      <w:r w:rsidRPr="00D446B0">
        <w:rPr>
          <w:rFonts w:ascii="Sylfaen" w:hAnsi="Sylfaen"/>
          <w:sz w:val="24"/>
          <w:szCs w:val="24"/>
        </w:rPr>
        <w:t xml:space="preserve">Տեղեկատվական փոխգործակցության փորձարկման 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ընդհանուր գործընթացի գործարկման աշխատանքների կազմակերպման նպատակով Հանձնաժողովը Տեխնոլոգիական փաստաթղթերի հաստատման մասին Հանձնաժողովի կոլեգիայի </w:t>
      </w:r>
      <w:r w:rsidRPr="00AD76E1">
        <w:rPr>
          <w:rFonts w:ascii="Sylfaen" w:hAnsi="Sylfaen"/>
          <w:sz w:val="24"/>
          <w:szCs w:val="24"/>
        </w:rPr>
        <w:t>որոշ</w:t>
      </w:r>
      <w:r w:rsidR="00632F28" w:rsidRPr="00AD76E1">
        <w:rPr>
          <w:rFonts w:ascii="Sylfaen" w:hAnsi="Sylfaen"/>
          <w:sz w:val="24"/>
          <w:szCs w:val="24"/>
        </w:rPr>
        <w:t>ումն</w:t>
      </w:r>
      <w:r w:rsidRPr="00AD76E1">
        <w:rPr>
          <w:rFonts w:ascii="Sylfaen" w:hAnsi="Sylfaen"/>
          <w:sz w:val="24"/>
          <w:szCs w:val="24"/>
        </w:rPr>
        <w:t xml:space="preserve"> ուժի մեջ մտնելու օրվանից 3 ամսվա ընթացքում ապահովում է փորձնական օրինակով փորձարկումների ծրագրի </w:t>
      </w:r>
      <w:r w:rsidR="00D446B0" w:rsidRPr="00AD76E1">
        <w:rPr>
          <w:rFonts w:ascii="Sylfaen" w:hAnsi="Sylfaen"/>
          <w:sz w:val="24"/>
          <w:szCs w:val="24"/>
        </w:rPr>
        <w:t>եւ</w:t>
      </w:r>
      <w:r w:rsidRPr="00AD76E1">
        <w:rPr>
          <w:rFonts w:ascii="Sylfaen" w:hAnsi="Sylfaen"/>
          <w:sz w:val="24"/>
          <w:szCs w:val="24"/>
        </w:rPr>
        <w:t xml:space="preserve"> մեթոդակարգի պատրաստումը </w:t>
      </w:r>
      <w:r w:rsidR="00D446B0" w:rsidRPr="00AD76E1">
        <w:rPr>
          <w:rFonts w:ascii="Sylfaen" w:hAnsi="Sylfaen"/>
          <w:sz w:val="24"/>
          <w:szCs w:val="24"/>
        </w:rPr>
        <w:t>եւ</w:t>
      </w:r>
      <w:r w:rsidRPr="00AD76E1">
        <w:rPr>
          <w:rFonts w:ascii="Sylfaen" w:hAnsi="Sylfaen"/>
          <w:sz w:val="24"/>
          <w:szCs w:val="24"/>
        </w:rPr>
        <w:t xml:space="preserve"> դրա ուղարկում</w:t>
      </w:r>
      <w:r w:rsidR="00632F28" w:rsidRPr="00AD76E1">
        <w:rPr>
          <w:rFonts w:ascii="Sylfaen" w:hAnsi="Sylfaen"/>
          <w:sz w:val="24"/>
          <w:szCs w:val="24"/>
        </w:rPr>
        <w:t>ն</w:t>
      </w:r>
      <w:r w:rsidRPr="00AD76E1">
        <w:rPr>
          <w:rFonts w:ascii="Sylfaen" w:hAnsi="Sylfaen"/>
          <w:sz w:val="24"/>
          <w:szCs w:val="24"/>
        </w:rPr>
        <w:t xml:space="preserve"> ընդհանուր գործընթացի մասնակիցներին </w:t>
      </w:r>
      <w:r w:rsidR="00D446B0" w:rsidRPr="00AD76E1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անդամ պետությունների ազգային սեգմենտների օպերատորներին:</w:t>
      </w:r>
      <w:r w:rsidR="00D446B0" w:rsidRPr="00D446B0">
        <w:rPr>
          <w:rFonts w:ascii="Sylfaen" w:hAnsi="Sylfaen"/>
          <w:sz w:val="24"/>
          <w:szCs w:val="24"/>
        </w:rPr>
        <w:t xml:space="preserve"> </w:t>
      </w:r>
    </w:p>
    <w:p w14:paraId="110B0DEB" w14:textId="77777777" w:rsidR="00544AAB" w:rsidRPr="00D446B0" w:rsidRDefault="00FA1D8D" w:rsidP="00D14425">
      <w:pPr>
        <w:pStyle w:val="aa"/>
        <w:widowControl w:val="0"/>
        <w:tabs>
          <w:tab w:val="left" w:pos="1134"/>
        </w:tabs>
        <w:spacing w:after="160" w:line="353" w:lineRule="auto"/>
        <w:ind w:firstLine="567"/>
        <w:outlineLvl w:val="2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10.</w:t>
      </w:r>
      <w:r w:rsidR="00D446B0">
        <w:rPr>
          <w:rFonts w:ascii="Sylfaen" w:hAnsi="Sylfaen"/>
          <w:sz w:val="24"/>
          <w:szCs w:val="24"/>
        </w:rPr>
        <w:tab/>
      </w:r>
      <w:r w:rsidRPr="00D446B0">
        <w:rPr>
          <w:rFonts w:ascii="Sylfaen" w:hAnsi="Sylfaen"/>
          <w:sz w:val="24"/>
          <w:szCs w:val="24"/>
        </w:rPr>
        <w:t>Ընդհանուր գործընթացին բոլոր մասնակիցների միաժամանակյա միացումն ապահովելու նպատակով անդամ պետություններն ապահովում են ընդհանուր գործընթացի գործարկման ընթացակարգի կատարումը՝ Տեխնոլոգիական փաստաթղթերի հաստատման մասին Հանձնաժողովի կոլեգիայի որոշ</w:t>
      </w:r>
      <w:r w:rsidR="00632F28" w:rsidRPr="00D446B0">
        <w:rPr>
          <w:rFonts w:ascii="Sylfaen" w:hAnsi="Sylfaen"/>
          <w:sz w:val="24"/>
          <w:szCs w:val="24"/>
        </w:rPr>
        <w:t>ումն</w:t>
      </w:r>
      <w:r w:rsidRPr="00D446B0">
        <w:rPr>
          <w:rFonts w:ascii="Sylfaen" w:hAnsi="Sylfaen"/>
          <w:sz w:val="24"/>
          <w:szCs w:val="24"/>
        </w:rPr>
        <w:t xml:space="preserve"> ուժի մեջ մտնելու օրվանից 9 ամիսը չգերազանցող ժամկետում: </w:t>
      </w:r>
    </w:p>
    <w:p w14:paraId="70219F6C" w14:textId="77777777" w:rsidR="001B0937" w:rsidRPr="00D446B0" w:rsidRDefault="009375E9" w:rsidP="00D446B0">
      <w:pPr>
        <w:pStyle w:val="aa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11.</w:t>
      </w:r>
      <w:r w:rsidR="00D446B0">
        <w:rPr>
          <w:rFonts w:ascii="Sylfaen" w:hAnsi="Sylfaen"/>
          <w:sz w:val="24"/>
          <w:szCs w:val="24"/>
        </w:rPr>
        <w:tab/>
      </w:r>
      <w:r w:rsidRPr="00D446B0">
        <w:rPr>
          <w:rFonts w:ascii="Sylfaen" w:hAnsi="Sylfaen"/>
          <w:sz w:val="24"/>
          <w:szCs w:val="24"/>
        </w:rPr>
        <w:t xml:space="preserve">Ընդհանուր գործընթացը գործարկելուց հետո ընդհանուր գործընթացի </w:t>
      </w:r>
      <w:r w:rsidRPr="00D446B0">
        <w:rPr>
          <w:rFonts w:ascii="Sylfaen" w:hAnsi="Sylfaen"/>
          <w:sz w:val="24"/>
          <w:szCs w:val="24"/>
        </w:rPr>
        <w:lastRenderedPageBreak/>
        <w:t>շրջանակներում տեղեկատվական փոխգործակցությունն իրականացվում է Միության ինտեգրված տեղեկատվական համակարգի օգտագործմամբ՝ ընդհանուր գործընթացի իրագործման ժամանակ տեղեկատվական փոխգործակցությունը կանոնակարգող տեղեկատվական փաստաթղթերին համապատասխան՝ հաշվի առնելով սույն կարգի 12-րդ կետում սահմանված առանձնահատկությունները:</w:t>
      </w:r>
      <w:r w:rsidR="00D446B0" w:rsidRPr="00D446B0">
        <w:rPr>
          <w:rFonts w:ascii="Sylfaen" w:hAnsi="Sylfaen"/>
          <w:sz w:val="24"/>
          <w:szCs w:val="24"/>
        </w:rPr>
        <w:t xml:space="preserve"> </w:t>
      </w:r>
    </w:p>
    <w:p w14:paraId="54EDF522" w14:textId="77777777" w:rsidR="00D01BCD" w:rsidRPr="00D446B0" w:rsidRDefault="001B0937" w:rsidP="00D446B0">
      <w:pPr>
        <w:pStyle w:val="aa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  <w:szCs w:val="24"/>
        </w:rPr>
      </w:pPr>
      <w:r w:rsidRPr="00D446B0">
        <w:rPr>
          <w:rFonts w:ascii="Sylfaen" w:hAnsi="Sylfaen"/>
          <w:sz w:val="24"/>
          <w:szCs w:val="24"/>
        </w:rPr>
        <w:t>12.</w:t>
      </w:r>
      <w:r w:rsidR="00D446B0">
        <w:rPr>
          <w:rFonts w:ascii="Sylfaen" w:hAnsi="Sylfaen"/>
          <w:sz w:val="24"/>
          <w:szCs w:val="24"/>
        </w:rPr>
        <w:tab/>
      </w:r>
      <w:r w:rsidRPr="00D446B0">
        <w:rPr>
          <w:rFonts w:ascii="Sylfaen" w:hAnsi="Sylfaen"/>
          <w:sz w:val="24"/>
          <w:szCs w:val="24"/>
        </w:rPr>
        <w:t>«Մաքսային տարանցում» մաքսային ընթացակարգերի մասով, որոնց համապատասխան ապրանքների բացթողման մասին տեղեկություններն ուղարկվել են նշանակման կենտրոնական մաքսային մարմին Մաքսային միության անդամ պետությունների մաքսային ծառայությունների միացյալ կոլեգիայի</w:t>
      </w:r>
      <w:r w:rsidR="00632F28" w:rsidRPr="00D446B0">
        <w:rPr>
          <w:rFonts w:ascii="Sylfaen" w:hAnsi="Sylfaen"/>
          <w:sz w:val="24"/>
          <w:szCs w:val="24"/>
        </w:rPr>
        <w:t>՝</w:t>
      </w:r>
      <w:r w:rsidRPr="00D446B0">
        <w:rPr>
          <w:rFonts w:ascii="Sylfaen" w:hAnsi="Sylfaen"/>
          <w:sz w:val="24"/>
          <w:szCs w:val="24"/>
        </w:rPr>
        <w:t xml:space="preserve"> 2015 թվականի հունիսի 4-ի թիվ 15/6 որոշմամբ հաստատված՝ «Մաքսային տարանցում» մաքսային ընթացակարգին համապատասխան ապրանքների փոխադրումների վերահսկման ժամանակ Մաքսային միության անդամ պետությունների մաքսային մարմինների տեղեկատվական փոխգործակցության տեխնոլոգիայի (այսուհետ՝ Տեխնոլոգիա) պահանջներին համապատասխան, 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որոնց գործողություն</w:t>
      </w:r>
      <w:r w:rsidR="00D56857" w:rsidRPr="00D446B0">
        <w:rPr>
          <w:rFonts w:ascii="Sylfaen" w:hAnsi="Sylfaen"/>
          <w:sz w:val="24"/>
          <w:szCs w:val="24"/>
        </w:rPr>
        <w:t>ն</w:t>
      </w:r>
      <w:r w:rsidRPr="00D446B0">
        <w:rPr>
          <w:rFonts w:ascii="Sylfaen" w:hAnsi="Sylfaen"/>
          <w:sz w:val="24"/>
          <w:szCs w:val="24"/>
        </w:rPr>
        <w:t xml:space="preserve"> ընդհանուր գործընթացը գործարկ</w:t>
      </w:r>
      <w:r w:rsidR="00D56857" w:rsidRPr="00D446B0">
        <w:rPr>
          <w:rFonts w:ascii="Sylfaen" w:hAnsi="Sylfaen"/>
          <w:sz w:val="24"/>
          <w:szCs w:val="24"/>
        </w:rPr>
        <w:t>ելու</w:t>
      </w:r>
      <w:r w:rsidRPr="00D446B0">
        <w:rPr>
          <w:rFonts w:ascii="Sylfaen" w:hAnsi="Sylfaen"/>
          <w:sz w:val="24"/>
          <w:szCs w:val="24"/>
        </w:rPr>
        <w:t xml:space="preserve"> օրվա դրությամբ ավարտված չէ (դադարեցված չէ), տեղեկատվական փոխգործակցությունն իրականացվում է նշված Տեխնոլոգիայի իրագործման նպատակով տեղեկատվական փոխգործակցության համար կենտրոնական մաքսային մարմինների կողմից կիրառվող ծրագրային </w:t>
      </w:r>
      <w:r w:rsidR="00D446B0" w:rsidRPr="00D446B0">
        <w:rPr>
          <w:rFonts w:ascii="Sylfaen" w:hAnsi="Sylfaen"/>
          <w:sz w:val="24"/>
          <w:szCs w:val="24"/>
        </w:rPr>
        <w:t>եւ</w:t>
      </w:r>
      <w:r w:rsidRPr="00D446B0">
        <w:rPr>
          <w:rFonts w:ascii="Sylfaen" w:hAnsi="Sylfaen"/>
          <w:sz w:val="24"/>
          <w:szCs w:val="24"/>
        </w:rPr>
        <w:t xml:space="preserve"> տեխնիկական լուծումների օգտագործմամբ:</w:t>
      </w:r>
      <w:r w:rsidR="00D446B0" w:rsidRPr="00D446B0">
        <w:rPr>
          <w:rFonts w:ascii="Sylfaen" w:hAnsi="Sylfaen"/>
          <w:sz w:val="24"/>
          <w:szCs w:val="24"/>
        </w:rPr>
        <w:t xml:space="preserve"> </w:t>
      </w:r>
    </w:p>
    <w:p w14:paraId="47E1FFC7" w14:textId="77777777" w:rsidR="004C47B1" w:rsidRPr="00D446B0" w:rsidRDefault="004C47B1" w:rsidP="00D446B0">
      <w:pPr>
        <w:pStyle w:val="Default"/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eastAsia="Calibri" w:hAnsi="Sylfaen"/>
          <w:color w:val="auto"/>
        </w:rPr>
      </w:pPr>
      <w:r w:rsidRPr="00D446B0">
        <w:rPr>
          <w:rFonts w:ascii="Sylfaen" w:hAnsi="Sylfaen"/>
          <w:color w:val="auto"/>
        </w:rPr>
        <w:t>Ընդհանուր գործընթացի գործարկումից հետո տեղեկատվական փոխգործակցության անընդհատության ապահովման նպատակով ընդհանուր գործընթացի մասնակիցների միջ</w:t>
      </w:r>
      <w:r w:rsidR="00D446B0" w:rsidRPr="00D446B0">
        <w:rPr>
          <w:rFonts w:ascii="Sylfaen" w:hAnsi="Sylfaen"/>
          <w:color w:val="auto"/>
        </w:rPr>
        <w:t>եւ</w:t>
      </w:r>
      <w:r w:rsidRPr="00D446B0">
        <w:rPr>
          <w:rFonts w:ascii="Sylfaen" w:hAnsi="Sylfaen"/>
          <w:color w:val="auto"/>
        </w:rPr>
        <w:t xml:space="preserve"> այդ տեղեկատվական փոխգործակցությանը խոչընդոտող արտակարգ իրավիճակների առաջացման դեպքում ընդհանուր գործընթացի իրագործման ժամանակ տեղեկատվական փոխգործակցությունը կանոնակարգող տեխնոլոգիական փաստաթղթերին համապատասխան փոխգործակցության մասնակիցների </w:t>
      </w:r>
      <w:r w:rsidR="00D446B0" w:rsidRPr="00D446B0">
        <w:rPr>
          <w:rFonts w:ascii="Sylfaen" w:hAnsi="Sylfaen"/>
          <w:color w:val="auto"/>
        </w:rPr>
        <w:t>եւ</w:t>
      </w:r>
      <w:r w:rsidRPr="00D446B0">
        <w:rPr>
          <w:rFonts w:ascii="Sylfaen" w:hAnsi="Sylfaen"/>
          <w:color w:val="auto"/>
        </w:rPr>
        <w:t xml:space="preserve"> Հանձնաժողովի կողմից ապահովվում է </w:t>
      </w:r>
      <w:r w:rsidR="00D56857" w:rsidRPr="00D446B0">
        <w:rPr>
          <w:rFonts w:ascii="Sylfaen" w:hAnsi="Sylfaen"/>
          <w:color w:val="auto"/>
        </w:rPr>
        <w:t xml:space="preserve">տեխնիկական աջակցություն </w:t>
      </w:r>
      <w:r w:rsidRPr="00D446B0">
        <w:rPr>
          <w:rFonts w:ascii="Sylfaen" w:hAnsi="Sylfaen"/>
          <w:color w:val="auto"/>
        </w:rPr>
        <w:t xml:space="preserve">Տեխնոլոգիայի շրջանակներում տեղեկատվական փոխգործակցության համար կենտրոնական մաքսային մարմինների կողմից </w:t>
      </w:r>
      <w:r w:rsidRPr="00D446B0">
        <w:rPr>
          <w:rFonts w:ascii="Sylfaen" w:hAnsi="Sylfaen"/>
          <w:color w:val="auto"/>
        </w:rPr>
        <w:lastRenderedPageBreak/>
        <w:t xml:space="preserve">կիրառվող ծրագրային </w:t>
      </w:r>
      <w:r w:rsidR="00D446B0" w:rsidRPr="00D446B0">
        <w:rPr>
          <w:rFonts w:ascii="Sylfaen" w:hAnsi="Sylfaen"/>
          <w:color w:val="auto"/>
        </w:rPr>
        <w:t>եւ</w:t>
      </w:r>
      <w:r w:rsidRPr="00D446B0">
        <w:rPr>
          <w:rFonts w:ascii="Sylfaen" w:hAnsi="Sylfaen"/>
          <w:color w:val="auto"/>
        </w:rPr>
        <w:t xml:space="preserve"> տեխնիկական լուծումների </w:t>
      </w:r>
      <w:r w:rsidRPr="00AD76E1">
        <w:rPr>
          <w:rFonts w:ascii="Sylfaen" w:hAnsi="Sylfaen"/>
          <w:color w:val="auto"/>
        </w:rPr>
        <w:t>գործառմանը:</w:t>
      </w:r>
      <w:r w:rsidR="00D446B0" w:rsidRPr="00D446B0">
        <w:rPr>
          <w:rFonts w:ascii="Sylfaen" w:hAnsi="Sylfaen"/>
          <w:color w:val="auto"/>
        </w:rPr>
        <w:t xml:space="preserve"> </w:t>
      </w:r>
      <w:r w:rsidRPr="00D446B0">
        <w:rPr>
          <w:rFonts w:ascii="Sylfaen" w:hAnsi="Sylfaen"/>
          <w:color w:val="auto"/>
        </w:rPr>
        <w:t>Այդ աջակցության ժամկետը կազմում է ընդհանուր գործընթացի գործարկման օրվանից սկսած</w:t>
      </w:r>
      <w:r w:rsidR="00D56857" w:rsidRPr="00D446B0">
        <w:rPr>
          <w:rFonts w:ascii="Sylfaen" w:hAnsi="Sylfaen"/>
          <w:color w:val="auto"/>
        </w:rPr>
        <w:t>՝</w:t>
      </w:r>
      <w:r w:rsidRPr="00D446B0">
        <w:rPr>
          <w:rFonts w:ascii="Sylfaen" w:hAnsi="Sylfaen"/>
          <w:color w:val="auto"/>
        </w:rPr>
        <w:t xml:space="preserve"> 9 ամիս:</w:t>
      </w:r>
    </w:p>
    <w:p w14:paraId="441E5ABF" w14:textId="77777777" w:rsidR="004C47B1" w:rsidRPr="005E4CCA" w:rsidRDefault="004C47B1" w:rsidP="00D446B0">
      <w:pPr>
        <w:pStyle w:val="Default"/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color w:val="auto"/>
        </w:rPr>
      </w:pPr>
      <w:r w:rsidRPr="00D446B0">
        <w:rPr>
          <w:rFonts w:ascii="Sylfaen" w:hAnsi="Sylfaen"/>
          <w:color w:val="auto"/>
        </w:rPr>
        <w:t xml:space="preserve">Տեխնոլոգիայի շրջանակներում տեղեկատվական փոխգործակցության համար կենտրոնական մաքսային մարմինների կողմից կիրառվող ծրագրային </w:t>
      </w:r>
      <w:r w:rsidR="00D446B0" w:rsidRPr="00D446B0">
        <w:rPr>
          <w:rFonts w:ascii="Sylfaen" w:hAnsi="Sylfaen"/>
          <w:color w:val="auto"/>
        </w:rPr>
        <w:t>եւ</w:t>
      </w:r>
      <w:r w:rsidRPr="00D446B0">
        <w:rPr>
          <w:rFonts w:ascii="Sylfaen" w:hAnsi="Sylfaen"/>
          <w:color w:val="auto"/>
        </w:rPr>
        <w:t xml:space="preserve"> տեխնիկական լուծումների գործառմանը տեխնիկական աջակցության ժամկետի ընթացքում Տեխնոլոգիային համապատասխան տեղեկատվական փոխգործակցությանը ժամանակավոր անցումը կարող է իրականացվել երկու </w:t>
      </w:r>
      <w:r w:rsidR="00D446B0" w:rsidRPr="00D446B0">
        <w:rPr>
          <w:rFonts w:ascii="Sylfaen" w:hAnsi="Sylfaen"/>
          <w:color w:val="auto"/>
        </w:rPr>
        <w:t>եւ</w:t>
      </w:r>
      <w:r w:rsidRPr="00D446B0">
        <w:rPr>
          <w:rFonts w:ascii="Sylfaen" w:hAnsi="Sylfaen"/>
          <w:color w:val="auto"/>
        </w:rPr>
        <w:t xml:space="preserve"> ավելի անդամ պետությունների կենտրոնական մաքսային մարմինների պայմանավորվածության հիման վրա, որոնցից մեկի մոտ առաջացել է արտակարգ իրավիճակ, որի վերացման համար երկար ժամանակ է պահանջվում:</w:t>
      </w:r>
      <w:r w:rsidR="005E4CCA">
        <w:rPr>
          <w:rFonts w:ascii="Sylfaen" w:hAnsi="Sylfaen"/>
          <w:color w:val="auto"/>
        </w:rPr>
        <w:t>»</w:t>
      </w:r>
      <w:r w:rsidR="005E4CCA" w:rsidRPr="005E4CCA">
        <w:rPr>
          <w:rFonts w:ascii="Sylfaen" w:hAnsi="Sylfaen"/>
          <w:color w:val="auto"/>
        </w:rPr>
        <w:t>:</w:t>
      </w:r>
    </w:p>
    <w:p w14:paraId="5B8C28FA" w14:textId="77777777" w:rsidR="00AD76E1" w:rsidRDefault="00AD76E1" w:rsidP="00D446B0">
      <w:pPr>
        <w:pStyle w:val="Default"/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color w:val="auto"/>
        </w:rPr>
      </w:pPr>
    </w:p>
    <w:p w14:paraId="2B0CE5A0" w14:textId="77777777" w:rsidR="00AD76E1" w:rsidRPr="00025ECC" w:rsidRDefault="00025ECC" w:rsidP="00025ECC">
      <w:pPr>
        <w:pStyle w:val="Default"/>
        <w:widowControl w:val="0"/>
        <w:tabs>
          <w:tab w:val="left" w:pos="1134"/>
        </w:tabs>
        <w:spacing w:after="160" w:line="360" w:lineRule="auto"/>
        <w:jc w:val="center"/>
        <w:rPr>
          <w:rFonts w:ascii="Sylfaen" w:eastAsia="Calibri" w:hAnsi="Sylfaen"/>
          <w:color w:val="auto"/>
          <w:lang w:val="en-US"/>
        </w:rPr>
      </w:pPr>
      <w:r>
        <w:rPr>
          <w:rFonts w:ascii="Sylfaen" w:eastAsia="Calibri" w:hAnsi="Sylfaen"/>
          <w:color w:val="auto"/>
          <w:lang w:val="en-US"/>
        </w:rPr>
        <w:t>_______________</w:t>
      </w:r>
    </w:p>
    <w:sectPr w:rsidR="00AD76E1" w:rsidRPr="00025ECC" w:rsidSect="00025ECC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220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AE83C" w14:textId="77777777" w:rsidR="007C0163" w:rsidRDefault="007C0163" w:rsidP="007B29FD">
      <w:pPr>
        <w:spacing w:after="0" w:line="240" w:lineRule="auto"/>
      </w:pPr>
      <w:r>
        <w:separator/>
      </w:r>
    </w:p>
  </w:endnote>
  <w:endnote w:type="continuationSeparator" w:id="0">
    <w:p w14:paraId="5E6B3E77" w14:textId="77777777" w:rsidR="007C0163" w:rsidRDefault="007C0163" w:rsidP="007B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07547"/>
      <w:docPartObj>
        <w:docPartGallery w:val="Page Numbers (Bottom of Page)"/>
        <w:docPartUnique/>
      </w:docPartObj>
    </w:sdtPr>
    <w:sdtEndPr>
      <w:rPr>
        <w:rFonts w:ascii="Sylfaen" w:hAnsi="Sylfaen"/>
        <w:sz w:val="24"/>
      </w:rPr>
    </w:sdtEndPr>
    <w:sdtContent>
      <w:p w14:paraId="279BB938" w14:textId="77777777" w:rsidR="00AD76E1" w:rsidRPr="00AD76E1" w:rsidRDefault="003D77FC" w:rsidP="00AD76E1">
        <w:pPr>
          <w:pStyle w:val="Footer"/>
          <w:jc w:val="center"/>
          <w:rPr>
            <w:rFonts w:ascii="Sylfaen" w:hAnsi="Sylfaen"/>
            <w:sz w:val="24"/>
          </w:rPr>
        </w:pPr>
        <w:r w:rsidRPr="00AD76E1">
          <w:rPr>
            <w:rFonts w:ascii="Sylfaen" w:hAnsi="Sylfaen"/>
            <w:sz w:val="24"/>
          </w:rPr>
          <w:fldChar w:fldCharType="begin"/>
        </w:r>
        <w:r w:rsidR="00AD76E1" w:rsidRPr="00AD76E1">
          <w:rPr>
            <w:rFonts w:ascii="Sylfaen" w:hAnsi="Sylfaen"/>
            <w:sz w:val="24"/>
          </w:rPr>
          <w:instrText xml:space="preserve"> PAGE   \* MERGEFORMAT </w:instrText>
        </w:r>
        <w:r w:rsidRPr="00AD76E1">
          <w:rPr>
            <w:rFonts w:ascii="Sylfaen" w:hAnsi="Sylfaen"/>
            <w:sz w:val="24"/>
          </w:rPr>
          <w:fldChar w:fldCharType="separate"/>
        </w:r>
        <w:r w:rsidR="00025ECC">
          <w:rPr>
            <w:rFonts w:ascii="Sylfaen" w:hAnsi="Sylfaen"/>
            <w:noProof/>
            <w:sz w:val="24"/>
          </w:rPr>
          <w:t>2217</w:t>
        </w:r>
        <w:r w:rsidRPr="00AD76E1">
          <w:rPr>
            <w:rFonts w:ascii="Sylfaen" w:hAnsi="Sylfae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33FEA" w14:textId="77777777" w:rsidR="007C0163" w:rsidRDefault="007C0163" w:rsidP="007B29FD">
      <w:pPr>
        <w:spacing w:after="0" w:line="240" w:lineRule="auto"/>
      </w:pPr>
      <w:r>
        <w:separator/>
      </w:r>
    </w:p>
  </w:footnote>
  <w:footnote w:type="continuationSeparator" w:id="0">
    <w:p w14:paraId="7153A422" w14:textId="77777777" w:rsidR="007C0163" w:rsidRDefault="007C0163" w:rsidP="007B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EDB9E" w14:textId="77777777" w:rsidR="00C457BD" w:rsidRPr="00025ECC" w:rsidRDefault="00C457BD" w:rsidP="00C457BD">
    <w:pPr>
      <w:pStyle w:val="Header"/>
      <w:spacing w:line="360" w:lineRule="auto"/>
      <w:jc w:val="center"/>
      <w:rPr>
        <w:rFonts w:ascii="Sylfaen" w:hAnsi="Sylfaen"/>
        <w:sz w:val="24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31FC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E1EE0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1E0652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5A3BE7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4A64CAA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E727E6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CDF41AE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18D37EF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6081A44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26B4CE1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E612502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3A11B34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A4B0777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FA306AC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B900907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E92771F"/>
    <w:multiLevelType w:val="hybridMultilevel"/>
    <w:tmpl w:val="3E849EC6"/>
    <w:lvl w:ilvl="0" w:tplc="39945A9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669283061">
    <w:abstractNumId w:val="15"/>
  </w:num>
  <w:num w:numId="2" w16cid:durableId="32196605">
    <w:abstractNumId w:val="2"/>
  </w:num>
  <w:num w:numId="3" w16cid:durableId="1460562658">
    <w:abstractNumId w:val="0"/>
  </w:num>
  <w:num w:numId="4" w16cid:durableId="1970939876">
    <w:abstractNumId w:val="3"/>
  </w:num>
  <w:num w:numId="5" w16cid:durableId="1837725155">
    <w:abstractNumId w:val="11"/>
  </w:num>
  <w:num w:numId="6" w16cid:durableId="648096510">
    <w:abstractNumId w:val="13"/>
  </w:num>
  <w:num w:numId="7" w16cid:durableId="788469780">
    <w:abstractNumId w:val="5"/>
  </w:num>
  <w:num w:numId="8" w16cid:durableId="1803889683">
    <w:abstractNumId w:val="4"/>
  </w:num>
  <w:num w:numId="9" w16cid:durableId="613098301">
    <w:abstractNumId w:val="14"/>
  </w:num>
  <w:num w:numId="10" w16cid:durableId="716513742">
    <w:abstractNumId w:val="8"/>
  </w:num>
  <w:num w:numId="11" w16cid:durableId="1732653908">
    <w:abstractNumId w:val="6"/>
  </w:num>
  <w:num w:numId="12" w16cid:durableId="1006707267">
    <w:abstractNumId w:val="12"/>
  </w:num>
  <w:num w:numId="13" w16cid:durableId="1961721699">
    <w:abstractNumId w:val="10"/>
  </w:num>
  <w:num w:numId="14" w16cid:durableId="1058940285">
    <w:abstractNumId w:val="1"/>
  </w:num>
  <w:num w:numId="15" w16cid:durableId="1652558768">
    <w:abstractNumId w:val="7"/>
  </w:num>
  <w:num w:numId="16" w16cid:durableId="10854911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1NzU1MDA1s7A0tzRU0lEKTi0uzszPAykwqQUAWAf4iCwAAAA="/>
  </w:docVars>
  <w:rsids>
    <w:rsidRoot w:val="00F03A3C"/>
    <w:rsid w:val="00004BC8"/>
    <w:rsid w:val="00006B31"/>
    <w:rsid w:val="00025ECC"/>
    <w:rsid w:val="00051266"/>
    <w:rsid w:val="0005176B"/>
    <w:rsid w:val="0006040A"/>
    <w:rsid w:val="000717AE"/>
    <w:rsid w:val="00084BC6"/>
    <w:rsid w:val="00087853"/>
    <w:rsid w:val="000946AA"/>
    <w:rsid w:val="000A1C90"/>
    <w:rsid w:val="000B47E5"/>
    <w:rsid w:val="000C067D"/>
    <w:rsid w:val="000C45A8"/>
    <w:rsid w:val="000C4CC9"/>
    <w:rsid w:val="000D33D6"/>
    <w:rsid w:val="000D5356"/>
    <w:rsid w:val="000E18E8"/>
    <w:rsid w:val="000F1AC7"/>
    <w:rsid w:val="000F79A7"/>
    <w:rsid w:val="00103103"/>
    <w:rsid w:val="00105168"/>
    <w:rsid w:val="001064B2"/>
    <w:rsid w:val="00111F8E"/>
    <w:rsid w:val="001203D8"/>
    <w:rsid w:val="00125F5D"/>
    <w:rsid w:val="00132CD0"/>
    <w:rsid w:val="00134A75"/>
    <w:rsid w:val="0015698D"/>
    <w:rsid w:val="00163F61"/>
    <w:rsid w:val="00175FCC"/>
    <w:rsid w:val="00182424"/>
    <w:rsid w:val="00184357"/>
    <w:rsid w:val="00191C64"/>
    <w:rsid w:val="001B0937"/>
    <w:rsid w:val="001B1AB4"/>
    <w:rsid w:val="001B4AD6"/>
    <w:rsid w:val="001B7B02"/>
    <w:rsid w:val="001C20B9"/>
    <w:rsid w:val="001D2EB1"/>
    <w:rsid w:val="001E5EED"/>
    <w:rsid w:val="001E67B6"/>
    <w:rsid w:val="001F1B7C"/>
    <w:rsid w:val="001F727C"/>
    <w:rsid w:val="00207A40"/>
    <w:rsid w:val="00225FCF"/>
    <w:rsid w:val="002261C0"/>
    <w:rsid w:val="00235DA5"/>
    <w:rsid w:val="0024196B"/>
    <w:rsid w:val="002427AC"/>
    <w:rsid w:val="00271317"/>
    <w:rsid w:val="00283866"/>
    <w:rsid w:val="00292875"/>
    <w:rsid w:val="00294050"/>
    <w:rsid w:val="00296CBA"/>
    <w:rsid w:val="002A35B8"/>
    <w:rsid w:val="002B4E69"/>
    <w:rsid w:val="002B5F8B"/>
    <w:rsid w:val="002D07AB"/>
    <w:rsid w:val="002D407E"/>
    <w:rsid w:val="002D4626"/>
    <w:rsid w:val="002E034C"/>
    <w:rsid w:val="002E139C"/>
    <w:rsid w:val="002E21AF"/>
    <w:rsid w:val="00301D9F"/>
    <w:rsid w:val="003070FE"/>
    <w:rsid w:val="003275D1"/>
    <w:rsid w:val="0034295A"/>
    <w:rsid w:val="00352D52"/>
    <w:rsid w:val="00355F28"/>
    <w:rsid w:val="003611A2"/>
    <w:rsid w:val="00362303"/>
    <w:rsid w:val="00372117"/>
    <w:rsid w:val="00380C4B"/>
    <w:rsid w:val="003909DF"/>
    <w:rsid w:val="00395FB1"/>
    <w:rsid w:val="003A15FE"/>
    <w:rsid w:val="003A1B44"/>
    <w:rsid w:val="003A2361"/>
    <w:rsid w:val="003B3A72"/>
    <w:rsid w:val="003C1783"/>
    <w:rsid w:val="003C6EBB"/>
    <w:rsid w:val="003D678C"/>
    <w:rsid w:val="003D77C0"/>
    <w:rsid w:val="003D77FC"/>
    <w:rsid w:val="003E132F"/>
    <w:rsid w:val="003E45C8"/>
    <w:rsid w:val="003E6918"/>
    <w:rsid w:val="003F6B73"/>
    <w:rsid w:val="003F7852"/>
    <w:rsid w:val="00404296"/>
    <w:rsid w:val="00406829"/>
    <w:rsid w:val="004078BC"/>
    <w:rsid w:val="00421B54"/>
    <w:rsid w:val="00433B20"/>
    <w:rsid w:val="00441C33"/>
    <w:rsid w:val="00445C1D"/>
    <w:rsid w:val="00456B61"/>
    <w:rsid w:val="00470B0C"/>
    <w:rsid w:val="00483A9C"/>
    <w:rsid w:val="00487884"/>
    <w:rsid w:val="00496DE2"/>
    <w:rsid w:val="00496E4D"/>
    <w:rsid w:val="004B6C08"/>
    <w:rsid w:val="004C10B3"/>
    <w:rsid w:val="004C16EE"/>
    <w:rsid w:val="004C3667"/>
    <w:rsid w:val="004C47B1"/>
    <w:rsid w:val="004D608C"/>
    <w:rsid w:val="004E46C6"/>
    <w:rsid w:val="004E5738"/>
    <w:rsid w:val="004E7633"/>
    <w:rsid w:val="004F6652"/>
    <w:rsid w:val="00504939"/>
    <w:rsid w:val="0051031B"/>
    <w:rsid w:val="00512EB5"/>
    <w:rsid w:val="0051454A"/>
    <w:rsid w:val="00516729"/>
    <w:rsid w:val="00517396"/>
    <w:rsid w:val="00517F20"/>
    <w:rsid w:val="00540EFD"/>
    <w:rsid w:val="00544AAB"/>
    <w:rsid w:val="00556EE6"/>
    <w:rsid w:val="0056581D"/>
    <w:rsid w:val="00575D6D"/>
    <w:rsid w:val="005844FA"/>
    <w:rsid w:val="005A067C"/>
    <w:rsid w:val="005A3910"/>
    <w:rsid w:val="005A5989"/>
    <w:rsid w:val="005B0544"/>
    <w:rsid w:val="005B5A0F"/>
    <w:rsid w:val="005B6092"/>
    <w:rsid w:val="005B6987"/>
    <w:rsid w:val="005C134B"/>
    <w:rsid w:val="005C7610"/>
    <w:rsid w:val="005D6EC8"/>
    <w:rsid w:val="005E4CCA"/>
    <w:rsid w:val="005F5477"/>
    <w:rsid w:val="005F74E3"/>
    <w:rsid w:val="00606387"/>
    <w:rsid w:val="006104F8"/>
    <w:rsid w:val="00624669"/>
    <w:rsid w:val="006279CB"/>
    <w:rsid w:val="00632B8F"/>
    <w:rsid w:val="00632EF4"/>
    <w:rsid w:val="00632F28"/>
    <w:rsid w:val="00634723"/>
    <w:rsid w:val="0066024F"/>
    <w:rsid w:val="00676CD3"/>
    <w:rsid w:val="00682F77"/>
    <w:rsid w:val="006908C8"/>
    <w:rsid w:val="00693887"/>
    <w:rsid w:val="00697BCD"/>
    <w:rsid w:val="006A2D68"/>
    <w:rsid w:val="006A331D"/>
    <w:rsid w:val="006A5978"/>
    <w:rsid w:val="006A5D6D"/>
    <w:rsid w:val="006D4E34"/>
    <w:rsid w:val="006E324A"/>
    <w:rsid w:val="006F370E"/>
    <w:rsid w:val="006F4474"/>
    <w:rsid w:val="006F44AA"/>
    <w:rsid w:val="00713A24"/>
    <w:rsid w:val="0071716F"/>
    <w:rsid w:val="00721952"/>
    <w:rsid w:val="00724586"/>
    <w:rsid w:val="00751A11"/>
    <w:rsid w:val="007733CB"/>
    <w:rsid w:val="007750AD"/>
    <w:rsid w:val="007B29FD"/>
    <w:rsid w:val="007B356B"/>
    <w:rsid w:val="007C0140"/>
    <w:rsid w:val="007C0163"/>
    <w:rsid w:val="007C3836"/>
    <w:rsid w:val="007C3C8B"/>
    <w:rsid w:val="007C6788"/>
    <w:rsid w:val="007D0302"/>
    <w:rsid w:val="007D648F"/>
    <w:rsid w:val="007F50D9"/>
    <w:rsid w:val="007F795C"/>
    <w:rsid w:val="0080270A"/>
    <w:rsid w:val="0080449E"/>
    <w:rsid w:val="00825D9C"/>
    <w:rsid w:val="008439A1"/>
    <w:rsid w:val="00843D00"/>
    <w:rsid w:val="00853D63"/>
    <w:rsid w:val="008656CB"/>
    <w:rsid w:val="00866C21"/>
    <w:rsid w:val="00872CD2"/>
    <w:rsid w:val="00876E27"/>
    <w:rsid w:val="00891B45"/>
    <w:rsid w:val="0089661F"/>
    <w:rsid w:val="00896F78"/>
    <w:rsid w:val="008B3C83"/>
    <w:rsid w:val="008C0F3C"/>
    <w:rsid w:val="008C6372"/>
    <w:rsid w:val="008D74B8"/>
    <w:rsid w:val="008E033C"/>
    <w:rsid w:val="008F4EBA"/>
    <w:rsid w:val="008F65EC"/>
    <w:rsid w:val="0090758E"/>
    <w:rsid w:val="00921772"/>
    <w:rsid w:val="009309B0"/>
    <w:rsid w:val="00934C86"/>
    <w:rsid w:val="009375E9"/>
    <w:rsid w:val="00957107"/>
    <w:rsid w:val="0096435B"/>
    <w:rsid w:val="00967678"/>
    <w:rsid w:val="009763C3"/>
    <w:rsid w:val="00977F09"/>
    <w:rsid w:val="00982B51"/>
    <w:rsid w:val="00995D75"/>
    <w:rsid w:val="009A5F65"/>
    <w:rsid w:val="009B1E06"/>
    <w:rsid w:val="009B2EBB"/>
    <w:rsid w:val="009C3F9F"/>
    <w:rsid w:val="009D088A"/>
    <w:rsid w:val="009D0C1A"/>
    <w:rsid w:val="009D53A8"/>
    <w:rsid w:val="009D78C2"/>
    <w:rsid w:val="009E057E"/>
    <w:rsid w:val="009E571C"/>
    <w:rsid w:val="009F0E97"/>
    <w:rsid w:val="009F1217"/>
    <w:rsid w:val="00A049F0"/>
    <w:rsid w:val="00A14587"/>
    <w:rsid w:val="00A15733"/>
    <w:rsid w:val="00A16D45"/>
    <w:rsid w:val="00A172CD"/>
    <w:rsid w:val="00A21F06"/>
    <w:rsid w:val="00A220D9"/>
    <w:rsid w:val="00A37C54"/>
    <w:rsid w:val="00A42CC5"/>
    <w:rsid w:val="00A72F29"/>
    <w:rsid w:val="00A74F73"/>
    <w:rsid w:val="00A840A1"/>
    <w:rsid w:val="00A94813"/>
    <w:rsid w:val="00AA47B3"/>
    <w:rsid w:val="00AA52AB"/>
    <w:rsid w:val="00AA601F"/>
    <w:rsid w:val="00AA64F7"/>
    <w:rsid w:val="00AB27CC"/>
    <w:rsid w:val="00AC6122"/>
    <w:rsid w:val="00AD76E1"/>
    <w:rsid w:val="00AE1503"/>
    <w:rsid w:val="00AF3BAF"/>
    <w:rsid w:val="00B03884"/>
    <w:rsid w:val="00B11404"/>
    <w:rsid w:val="00B11625"/>
    <w:rsid w:val="00B1387D"/>
    <w:rsid w:val="00B26E5D"/>
    <w:rsid w:val="00B27BA1"/>
    <w:rsid w:val="00B3021B"/>
    <w:rsid w:val="00B417BE"/>
    <w:rsid w:val="00B57F78"/>
    <w:rsid w:val="00B64F2D"/>
    <w:rsid w:val="00B752C5"/>
    <w:rsid w:val="00B77B82"/>
    <w:rsid w:val="00B85719"/>
    <w:rsid w:val="00B871D7"/>
    <w:rsid w:val="00B924D4"/>
    <w:rsid w:val="00B92ED5"/>
    <w:rsid w:val="00BB367C"/>
    <w:rsid w:val="00BC237E"/>
    <w:rsid w:val="00BC4D7B"/>
    <w:rsid w:val="00BC5956"/>
    <w:rsid w:val="00BD0166"/>
    <w:rsid w:val="00BE17DE"/>
    <w:rsid w:val="00BE1B4F"/>
    <w:rsid w:val="00BE3423"/>
    <w:rsid w:val="00BE38D1"/>
    <w:rsid w:val="00BF6B24"/>
    <w:rsid w:val="00BF7BB9"/>
    <w:rsid w:val="00C22429"/>
    <w:rsid w:val="00C2302D"/>
    <w:rsid w:val="00C23174"/>
    <w:rsid w:val="00C2502E"/>
    <w:rsid w:val="00C317A9"/>
    <w:rsid w:val="00C4420C"/>
    <w:rsid w:val="00C457BD"/>
    <w:rsid w:val="00C54CC8"/>
    <w:rsid w:val="00C644E1"/>
    <w:rsid w:val="00C724E9"/>
    <w:rsid w:val="00C8298F"/>
    <w:rsid w:val="00C82DCB"/>
    <w:rsid w:val="00C8321B"/>
    <w:rsid w:val="00C853C5"/>
    <w:rsid w:val="00CA6BDE"/>
    <w:rsid w:val="00CB02DD"/>
    <w:rsid w:val="00CC43BC"/>
    <w:rsid w:val="00CD01B3"/>
    <w:rsid w:val="00CD070D"/>
    <w:rsid w:val="00CD4AC0"/>
    <w:rsid w:val="00CE2D1F"/>
    <w:rsid w:val="00CE319B"/>
    <w:rsid w:val="00CF327B"/>
    <w:rsid w:val="00D01BCD"/>
    <w:rsid w:val="00D0489E"/>
    <w:rsid w:val="00D14425"/>
    <w:rsid w:val="00D2733F"/>
    <w:rsid w:val="00D446B0"/>
    <w:rsid w:val="00D44DC4"/>
    <w:rsid w:val="00D50939"/>
    <w:rsid w:val="00D55523"/>
    <w:rsid w:val="00D56857"/>
    <w:rsid w:val="00D67410"/>
    <w:rsid w:val="00D741CC"/>
    <w:rsid w:val="00D77B5D"/>
    <w:rsid w:val="00D961AB"/>
    <w:rsid w:val="00DA0B29"/>
    <w:rsid w:val="00DA38A4"/>
    <w:rsid w:val="00DB4545"/>
    <w:rsid w:val="00DB7F86"/>
    <w:rsid w:val="00DC0B62"/>
    <w:rsid w:val="00DC36E1"/>
    <w:rsid w:val="00DC3885"/>
    <w:rsid w:val="00DD1D3A"/>
    <w:rsid w:val="00DD35F5"/>
    <w:rsid w:val="00DD77DE"/>
    <w:rsid w:val="00DF1A4A"/>
    <w:rsid w:val="00E06A5B"/>
    <w:rsid w:val="00E13C4E"/>
    <w:rsid w:val="00E33528"/>
    <w:rsid w:val="00E44DEF"/>
    <w:rsid w:val="00E52030"/>
    <w:rsid w:val="00E66336"/>
    <w:rsid w:val="00E768C7"/>
    <w:rsid w:val="00E86143"/>
    <w:rsid w:val="00E92DA4"/>
    <w:rsid w:val="00EA2DF4"/>
    <w:rsid w:val="00EA3642"/>
    <w:rsid w:val="00EC5035"/>
    <w:rsid w:val="00EC6DDD"/>
    <w:rsid w:val="00ED21D6"/>
    <w:rsid w:val="00EE6856"/>
    <w:rsid w:val="00EF2D54"/>
    <w:rsid w:val="00F03A3C"/>
    <w:rsid w:val="00F122F5"/>
    <w:rsid w:val="00F2272D"/>
    <w:rsid w:val="00F3380C"/>
    <w:rsid w:val="00F36513"/>
    <w:rsid w:val="00F370FD"/>
    <w:rsid w:val="00F40761"/>
    <w:rsid w:val="00F47C94"/>
    <w:rsid w:val="00F53B52"/>
    <w:rsid w:val="00F53EB4"/>
    <w:rsid w:val="00F61567"/>
    <w:rsid w:val="00F71761"/>
    <w:rsid w:val="00F83B97"/>
    <w:rsid w:val="00F86FB5"/>
    <w:rsid w:val="00F915A4"/>
    <w:rsid w:val="00FA17CE"/>
    <w:rsid w:val="00FA1D8D"/>
    <w:rsid w:val="00FA2708"/>
    <w:rsid w:val="00FB7A7D"/>
    <w:rsid w:val="00FD19B5"/>
    <w:rsid w:val="00FE19D8"/>
    <w:rsid w:val="00FE326E"/>
    <w:rsid w:val="00FE694D"/>
    <w:rsid w:val="00FF1716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73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y-AM" w:eastAsia="hy-AM" w:bidi="hy-A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0C"/>
    <w:pPr>
      <w:spacing w:after="160" w:line="259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7B29FD"/>
    <w:pPr>
      <w:keepNext/>
      <w:keepLines/>
      <w:spacing w:before="240" w:after="240"/>
      <w:contextualSpacing/>
      <w:jc w:val="center"/>
      <w:outlineLvl w:val="0"/>
    </w:pPr>
    <w:rPr>
      <w:rFonts w:ascii="Times New Roman" w:eastAsia="Times New Roman" w:hAnsi="Times New Roman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70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708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/>
      <w:b/>
      <w:bCs/>
      <w:i/>
      <w:iCs/>
      <w:color w:val="5B9BD5"/>
      <w:sz w:val="22"/>
      <w:szCs w:val="22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/>
      <w:color w:val="1F4D78"/>
      <w:sz w:val="22"/>
      <w:szCs w:val="22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7B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9FD"/>
  </w:style>
  <w:style w:type="paragraph" w:styleId="Footer">
    <w:name w:val="footer"/>
    <w:basedOn w:val="Normal"/>
    <w:link w:val="FooterChar"/>
    <w:uiPriority w:val="99"/>
    <w:unhideWhenUsed/>
    <w:rsid w:val="007B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9FD"/>
  </w:style>
  <w:style w:type="character" w:customStyle="1" w:styleId="Heading1Char">
    <w:name w:val="Heading 1 Char"/>
    <w:link w:val="Heading1"/>
    <w:uiPriority w:val="9"/>
    <w:rsid w:val="007B29FD"/>
    <w:rPr>
      <w:rFonts w:ascii="Times New Roman" w:eastAsia="Times New Roman" w:hAnsi="Times New Roman" w:cs="Times New Roman"/>
      <w:sz w:val="30"/>
      <w:szCs w:val="32"/>
    </w:rPr>
  </w:style>
  <w:style w:type="paragraph" w:customStyle="1" w:styleId="a">
    <w:name w:val="Заголовок документа"/>
    <w:qFormat/>
    <w:rsid w:val="007B29FD"/>
    <w:pPr>
      <w:keepLines/>
      <w:spacing w:after="440"/>
      <w:contextualSpacing/>
      <w:jc w:val="center"/>
    </w:pPr>
    <w:rPr>
      <w:rFonts w:ascii="Times New Roman" w:eastAsia="Times New Roman" w:hAnsi="Times New Roman"/>
      <w:b/>
      <w:sz w:val="30"/>
      <w:szCs w:val="28"/>
    </w:rPr>
  </w:style>
  <w:style w:type="paragraph" w:customStyle="1" w:styleId="a0">
    <w:name w:val="Вид документа"/>
    <w:link w:val="a1"/>
    <w:qFormat/>
    <w:rsid w:val="007B29FD"/>
    <w:pPr>
      <w:spacing w:before="480"/>
      <w:jc w:val="center"/>
    </w:pPr>
    <w:rPr>
      <w:rFonts w:ascii="Times New Roman Полужирный" w:eastAsia="Times New Roman" w:hAnsi="Times New Roman Полужирный"/>
      <w:b/>
      <w:caps/>
      <w:spacing w:val="40"/>
      <w:sz w:val="30"/>
      <w:szCs w:val="28"/>
    </w:rPr>
  </w:style>
  <w:style w:type="paragraph" w:customStyle="1" w:styleId="a2">
    <w:name w:val="Обычный с красной строки"/>
    <w:basedOn w:val="Normal"/>
    <w:link w:val="a3"/>
    <w:qFormat/>
    <w:rsid w:val="007B29FD"/>
    <w:pPr>
      <w:spacing w:after="120" w:line="276" w:lineRule="auto"/>
      <w:ind w:firstLine="709"/>
      <w:jc w:val="both"/>
    </w:pPr>
    <w:rPr>
      <w:rFonts w:ascii="Times New Roman" w:hAnsi="Times New Roman"/>
      <w:sz w:val="30"/>
    </w:rPr>
  </w:style>
  <w:style w:type="character" w:customStyle="1" w:styleId="a3">
    <w:name w:val="Обычный с красной строки Знак"/>
    <w:link w:val="a2"/>
    <w:rsid w:val="007B29FD"/>
    <w:rPr>
      <w:rFonts w:ascii="Times New Roman" w:hAnsi="Times New Roman"/>
      <w:sz w:val="30"/>
    </w:rPr>
  </w:style>
  <w:style w:type="paragraph" w:customStyle="1" w:styleId="a4">
    <w:name w:val="Обычный с номером"/>
    <w:basedOn w:val="a2"/>
    <w:link w:val="a5"/>
    <w:qFormat/>
    <w:rsid w:val="007B29FD"/>
    <w:pPr>
      <w:outlineLvl w:val="2"/>
    </w:pPr>
    <w:rPr>
      <w:noProof/>
    </w:rPr>
  </w:style>
  <w:style w:type="character" w:customStyle="1" w:styleId="a5">
    <w:name w:val="Обычный с номером Знак"/>
    <w:link w:val="a4"/>
    <w:rsid w:val="007B29FD"/>
    <w:rPr>
      <w:rFonts w:ascii="Times New Roman" w:hAnsi="Times New Roman"/>
      <w:noProof/>
      <w:sz w:val="30"/>
    </w:rPr>
  </w:style>
  <w:style w:type="table" w:styleId="TableGrid">
    <w:name w:val="Table Grid"/>
    <w:basedOn w:val="TableNormal"/>
    <w:uiPriority w:val="59"/>
    <w:rsid w:val="003070FE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paragraph" w:customStyle="1" w:styleId="a6">
    <w:name w:val="_Основной с красной строки"/>
    <w:basedOn w:val="Normal"/>
    <w:link w:val="a7"/>
    <w:qFormat/>
    <w:rsid w:val="00C853C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30"/>
      <w:szCs w:val="24"/>
    </w:rPr>
  </w:style>
  <w:style w:type="character" w:customStyle="1" w:styleId="a7">
    <w:name w:val="_Основной с красной строки Знак"/>
    <w:link w:val="a6"/>
    <w:rsid w:val="00C853C5"/>
    <w:rPr>
      <w:rFonts w:ascii="Times New Roman" w:eastAsia="Times New Roman" w:hAnsi="Times New Roman" w:cs="Times New Roman"/>
      <w:sz w:val="30"/>
      <w:szCs w:val="24"/>
    </w:rPr>
  </w:style>
  <w:style w:type="character" w:customStyle="1" w:styleId="Heading2Char">
    <w:name w:val="Heading 2 Char"/>
    <w:link w:val="Heading2"/>
    <w:uiPriority w:val="9"/>
    <w:rsid w:val="00FA2708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a8">
    <w:name w:val="Обычный ПВД (абзац)"/>
    <w:basedOn w:val="Heading3"/>
    <w:qFormat/>
    <w:rsid w:val="00FA2708"/>
    <w:pPr>
      <w:keepNext w:val="0"/>
      <w:keepLines w:val="0"/>
      <w:widowControl w:val="0"/>
      <w:spacing w:before="0" w:line="360" w:lineRule="auto"/>
      <w:ind w:firstLine="709"/>
      <w:jc w:val="both"/>
    </w:pPr>
    <w:rPr>
      <w:rFonts w:ascii="Times New Roman" w:hAnsi="Times New Roman"/>
      <w:color w:val="auto"/>
      <w:sz w:val="30"/>
    </w:rPr>
  </w:style>
  <w:style w:type="paragraph" w:customStyle="1" w:styleId="1">
    <w:name w:val="Заголовок 1 ПВД"/>
    <w:basedOn w:val="Heading1"/>
    <w:qFormat/>
    <w:rsid w:val="00FA2708"/>
    <w:pPr>
      <w:spacing w:before="360" w:after="360"/>
    </w:pPr>
  </w:style>
  <w:style w:type="character" w:customStyle="1" w:styleId="Heading3Char">
    <w:name w:val="Heading 3 Char"/>
    <w:link w:val="Heading3"/>
    <w:uiPriority w:val="9"/>
    <w:semiHidden/>
    <w:rsid w:val="00FA2708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2">
    <w:name w:val="Заголовок 2 ПВД"/>
    <w:basedOn w:val="Heading1"/>
    <w:qFormat/>
    <w:rsid w:val="00FA2708"/>
    <w:pPr>
      <w:spacing w:before="360" w:after="360"/>
      <w:outlineLvl w:val="1"/>
    </w:pPr>
  </w:style>
  <w:style w:type="character" w:styleId="Hyperlink">
    <w:name w:val="Hyperlink"/>
    <w:uiPriority w:val="99"/>
    <w:unhideWhenUsed/>
    <w:rsid w:val="00F3380C"/>
    <w:rPr>
      <w:color w:val="0563C1"/>
      <w:u w:val="single"/>
    </w:rPr>
  </w:style>
  <w:style w:type="paragraph" w:customStyle="1" w:styleId="a9">
    <w:name w:val="Табл. текст влево"/>
    <w:basedOn w:val="Normal"/>
    <w:qFormat/>
    <w:rsid w:val="00004BC8"/>
    <w:pPr>
      <w:spacing w:after="0" w:line="277" w:lineRule="auto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aa">
    <w:name w:val="ПВД_Обычный с номером"/>
    <w:basedOn w:val="Normal"/>
    <w:qFormat/>
    <w:rsid w:val="00004BC8"/>
    <w:pPr>
      <w:spacing w:after="0" w:line="360" w:lineRule="auto"/>
      <w:ind w:firstLine="709"/>
      <w:jc w:val="both"/>
    </w:pPr>
    <w:rPr>
      <w:sz w:val="30"/>
    </w:rPr>
  </w:style>
  <w:style w:type="character" w:styleId="CommentReference">
    <w:name w:val="annotation reference"/>
    <w:uiPriority w:val="99"/>
    <w:semiHidden/>
    <w:unhideWhenUsed/>
    <w:rsid w:val="00C72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2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4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24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24E9"/>
    <w:rPr>
      <w:rFonts w:ascii="Segoe UI" w:hAnsi="Segoe UI" w:cs="Segoe UI"/>
      <w:sz w:val="18"/>
      <w:szCs w:val="18"/>
    </w:rPr>
  </w:style>
  <w:style w:type="character" w:customStyle="1" w:styleId="a1">
    <w:name w:val="Вид документа Знак"/>
    <w:basedOn w:val="DefaultParagraphFont"/>
    <w:link w:val="a0"/>
    <w:locked/>
    <w:rsid w:val="00FA1D8D"/>
    <w:rPr>
      <w:rFonts w:ascii="Times New Roman Полужирный" w:eastAsia="Times New Roman" w:hAnsi="Times New Roman Полужирный"/>
      <w:b/>
      <w:caps/>
      <w:spacing w:val="40"/>
      <w:sz w:val="30"/>
      <w:szCs w:val="28"/>
      <w:lang w:eastAsia="hy-AM"/>
    </w:rPr>
  </w:style>
  <w:style w:type="paragraph" w:customStyle="1" w:styleId="Default">
    <w:name w:val="Default"/>
    <w:rsid w:val="004C47B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FDC44-71D6-478D-9469-4AE36A74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2245</Words>
  <Characters>12801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2024-10-01T07:11:00Z</dcterms:created>
  <dcterms:modified xsi:type="dcterms:W3CDTF">2025-01-10T12:23:00Z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">
    <vt:lpwstr>0.2.1</vt:lpwstr>
  </property>
</Properties>
</file>