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EFF8" w14:textId="77777777" w:rsidR="00E538BD" w:rsidRDefault="00E538BD">
      <w:pPr>
        <w:pStyle w:val="BodyText"/>
        <w:rPr>
          <w:sz w:val="20"/>
        </w:rPr>
      </w:pPr>
    </w:p>
    <w:p w14:paraId="6B1AF1D4" w14:textId="77777777" w:rsidR="00E538BD" w:rsidRDefault="00E538BD">
      <w:pPr>
        <w:pStyle w:val="BodyText"/>
        <w:rPr>
          <w:sz w:val="20"/>
        </w:rPr>
      </w:pPr>
    </w:p>
    <w:p w14:paraId="03BC5239" w14:textId="77777777" w:rsidR="00E538BD" w:rsidRDefault="00E538BD">
      <w:pPr>
        <w:pStyle w:val="BodyText"/>
        <w:rPr>
          <w:sz w:val="18"/>
        </w:rPr>
      </w:pPr>
    </w:p>
    <w:p w14:paraId="5B850095" w14:textId="77777777" w:rsidR="00E538BD" w:rsidRDefault="00E538BD">
      <w:pPr>
        <w:pStyle w:val="BodyText"/>
        <w:spacing w:before="6"/>
        <w:rPr>
          <w:sz w:val="27"/>
        </w:rPr>
      </w:pPr>
    </w:p>
    <w:p w14:paraId="1874469F" w14:textId="7D028AAF" w:rsidR="00E538BD" w:rsidRDefault="00000000">
      <w:pPr>
        <w:pStyle w:val="BodyText"/>
        <w:ind w:left="10768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4</w:t>
      </w:r>
    </w:p>
    <w:p w14:paraId="3FC60A38" w14:textId="77777777" w:rsidR="00E538BD" w:rsidRDefault="00000000">
      <w:pPr>
        <w:pStyle w:val="BodyText"/>
        <w:spacing w:before="62" w:line="309" w:lineRule="auto"/>
        <w:ind w:left="9866" w:right="1396" w:hanging="92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հուլիսի</w:t>
      </w:r>
      <w:proofErr w:type="spellEnd"/>
      <w:r>
        <w:rPr>
          <w:w w:val="110"/>
        </w:rPr>
        <w:t xml:space="preserve"> 21-ի N 1108-Ն </w:t>
      </w:r>
      <w:proofErr w:type="spellStart"/>
      <w:r>
        <w:rPr>
          <w:w w:val="110"/>
        </w:rPr>
        <w:t>որոշման</w:t>
      </w:r>
      <w:proofErr w:type="spellEnd"/>
    </w:p>
    <w:p w14:paraId="2B82D29F" w14:textId="77777777" w:rsidR="00E538BD" w:rsidRDefault="00000000">
      <w:pPr>
        <w:pStyle w:val="BodyText"/>
        <w:spacing w:before="206" w:line="288" w:lineRule="auto"/>
        <w:ind w:left="4423" w:right="1396" w:hanging="3269"/>
      </w:pPr>
      <w:r>
        <w:rPr>
          <w:w w:val="105"/>
        </w:rPr>
        <w:t xml:space="preserve">ՀԱՅԱՍՏԱՆԻ ՀԱՆՐԱՊԵՏՈՒԹՅԱՆ ԿԱՌԱՎԱՐՈՒԹՅԱՆ 2021 ԹՎԱԿԱՆԻ ԴԵԿՏԵՄԲԵՐԻ 23-ի N 2121-Ն ՈՐՈՇՄԱՆ </w:t>
      </w:r>
      <w:r>
        <w:rPr>
          <w:w w:val="110"/>
        </w:rPr>
        <w:t>N 8 ՀԱՎԵԼՎԱԾԻ ՑԱՆԿՈՒՄ ԿԱՏԱՐՎՈՂ ԼՐԱՑՈՒՄԸ</w:t>
      </w:r>
    </w:p>
    <w:p w14:paraId="54D6F427" w14:textId="77777777" w:rsidR="00E538BD" w:rsidRDefault="00E538BD">
      <w:pPr>
        <w:pStyle w:val="BodyText"/>
        <w:rPr>
          <w:sz w:val="20"/>
        </w:rPr>
      </w:pPr>
    </w:p>
    <w:p w14:paraId="55616691" w14:textId="77777777" w:rsidR="00E538BD" w:rsidRDefault="00E538BD">
      <w:pPr>
        <w:pStyle w:val="BodyText"/>
        <w:rPr>
          <w:sz w:val="20"/>
        </w:rPr>
      </w:pPr>
    </w:p>
    <w:p w14:paraId="14A89FD2" w14:textId="77777777" w:rsidR="00E538BD" w:rsidRDefault="00E538BD">
      <w:pPr>
        <w:pStyle w:val="BodyText"/>
        <w:rPr>
          <w:sz w:val="20"/>
        </w:rPr>
      </w:pPr>
    </w:p>
    <w:p w14:paraId="2407F848" w14:textId="77777777" w:rsidR="00E538BD" w:rsidRDefault="00E538BD">
      <w:pPr>
        <w:pStyle w:val="BodyText"/>
        <w:rPr>
          <w:sz w:val="20"/>
        </w:rPr>
      </w:pPr>
    </w:p>
    <w:p w14:paraId="60CCB673" w14:textId="77777777" w:rsidR="00E538BD" w:rsidRDefault="00E538BD">
      <w:pPr>
        <w:pStyle w:val="BodyText"/>
        <w:rPr>
          <w:sz w:val="20"/>
        </w:rPr>
      </w:pPr>
    </w:p>
    <w:p w14:paraId="288040E1" w14:textId="77777777" w:rsidR="00E538BD" w:rsidRDefault="00E538BD">
      <w:pPr>
        <w:pStyle w:val="BodyText"/>
        <w:rPr>
          <w:sz w:val="20"/>
        </w:rPr>
      </w:pPr>
    </w:p>
    <w:p w14:paraId="5B45CF2E" w14:textId="77777777" w:rsidR="00E538BD" w:rsidRDefault="00E538BD">
      <w:pPr>
        <w:pStyle w:val="BodyText"/>
        <w:rPr>
          <w:sz w:val="20"/>
        </w:rPr>
      </w:pPr>
    </w:p>
    <w:p w14:paraId="2029F094" w14:textId="77777777" w:rsidR="00E538BD" w:rsidRDefault="00E538BD">
      <w:pPr>
        <w:pStyle w:val="BodyText"/>
        <w:rPr>
          <w:sz w:val="20"/>
        </w:rPr>
      </w:pPr>
    </w:p>
    <w:p w14:paraId="03FF2194" w14:textId="77777777" w:rsidR="00E538BD" w:rsidRDefault="00E538BD">
      <w:pPr>
        <w:pStyle w:val="BodyText"/>
        <w:rPr>
          <w:sz w:val="20"/>
        </w:rPr>
      </w:pPr>
    </w:p>
    <w:p w14:paraId="6DB7ED00" w14:textId="77777777" w:rsidR="00E538BD" w:rsidRDefault="00E538BD">
      <w:pPr>
        <w:pStyle w:val="BodyText"/>
        <w:rPr>
          <w:sz w:val="20"/>
        </w:rPr>
      </w:pPr>
    </w:p>
    <w:p w14:paraId="440C08B8" w14:textId="77777777" w:rsidR="00E538BD" w:rsidRDefault="00E538BD">
      <w:pPr>
        <w:pStyle w:val="BodyText"/>
        <w:rPr>
          <w:sz w:val="20"/>
        </w:rPr>
      </w:pPr>
    </w:p>
    <w:p w14:paraId="1CB74E17" w14:textId="77777777" w:rsidR="00E538BD" w:rsidRDefault="00E538BD">
      <w:pPr>
        <w:pStyle w:val="BodyText"/>
        <w:rPr>
          <w:sz w:val="20"/>
        </w:rPr>
      </w:pPr>
    </w:p>
    <w:p w14:paraId="3F3B9AA1" w14:textId="77777777" w:rsidR="00E538BD" w:rsidRDefault="00E538BD">
      <w:pPr>
        <w:pStyle w:val="BodyText"/>
        <w:rPr>
          <w:sz w:val="20"/>
        </w:rPr>
      </w:pPr>
    </w:p>
    <w:p w14:paraId="6CA7D6E5" w14:textId="77777777" w:rsidR="00E538BD" w:rsidRDefault="00E538BD">
      <w:pPr>
        <w:pStyle w:val="BodyText"/>
        <w:rPr>
          <w:sz w:val="20"/>
        </w:rPr>
      </w:pPr>
    </w:p>
    <w:p w14:paraId="7DEC092C" w14:textId="77777777" w:rsidR="00E538BD" w:rsidRDefault="00E538BD">
      <w:pPr>
        <w:pStyle w:val="BodyText"/>
        <w:spacing w:before="8"/>
        <w:rPr>
          <w:sz w:val="29"/>
        </w:rPr>
      </w:pPr>
    </w:p>
    <w:p w14:paraId="6328D218" w14:textId="658F6152" w:rsidR="00E538BD" w:rsidRDefault="00000000">
      <w:pPr>
        <w:pStyle w:val="BodyText"/>
        <w:spacing w:before="97"/>
        <w:ind w:right="98"/>
        <w:jc w:val="right"/>
      </w:pPr>
      <w:r>
        <w:pict w14:anchorId="520DD4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15pt;margin-top:-159.35pt;width:729.55pt;height:178.3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1"/>
                    <w:gridCol w:w="667"/>
                    <w:gridCol w:w="593"/>
                    <w:gridCol w:w="847"/>
                    <w:gridCol w:w="1185"/>
                    <w:gridCol w:w="10765"/>
                  </w:tblGrid>
                  <w:tr w:rsidR="00E538BD" w14:paraId="1D716FBA" w14:textId="77777777">
                    <w:trPr>
                      <w:trHeight w:val="609"/>
                    </w:trPr>
                    <w:tc>
                      <w:tcPr>
                        <w:tcW w:w="1781" w:type="dxa"/>
                        <w:gridSpan w:val="3"/>
                      </w:tcPr>
                      <w:p w14:paraId="098234AB" w14:textId="77777777" w:rsidR="00E538BD" w:rsidRDefault="00000000">
                        <w:pPr>
                          <w:pStyle w:val="TableParagraph"/>
                          <w:spacing w:before="32"/>
                          <w:ind w:left="118" w:right="110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Գործառական</w:t>
                        </w:r>
                        <w:proofErr w:type="spellEnd"/>
                      </w:p>
                      <w:p w14:paraId="632B3054" w14:textId="77777777" w:rsidR="00E538BD" w:rsidRDefault="00000000">
                        <w:pPr>
                          <w:pStyle w:val="TableParagraph"/>
                          <w:spacing w:before="52" w:line="252" w:lineRule="exact"/>
                          <w:ind w:left="117" w:right="110"/>
                          <w:jc w:val="center"/>
                        </w:pPr>
                        <w:proofErr w:type="spellStart"/>
                        <w:r>
                          <w:rPr>
                            <w:w w:val="115"/>
                          </w:rPr>
                          <w:t>դասիչ</w:t>
                        </w:r>
                        <w:proofErr w:type="spellEnd"/>
                      </w:p>
                    </w:tc>
                    <w:tc>
                      <w:tcPr>
                        <w:tcW w:w="2032" w:type="dxa"/>
                        <w:gridSpan w:val="2"/>
                      </w:tcPr>
                      <w:p w14:paraId="0AE9E6CD" w14:textId="77777777" w:rsidR="00E538BD" w:rsidRDefault="00000000">
                        <w:pPr>
                          <w:pStyle w:val="TableParagraph"/>
                          <w:spacing w:before="32"/>
                          <w:ind w:left="376" w:right="365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Ծրագրային</w:t>
                        </w:r>
                        <w:proofErr w:type="spellEnd"/>
                      </w:p>
                      <w:p w14:paraId="4A48099C" w14:textId="77777777" w:rsidR="00E538BD" w:rsidRDefault="00000000">
                        <w:pPr>
                          <w:pStyle w:val="TableParagraph"/>
                          <w:spacing w:before="52" w:line="252" w:lineRule="exact"/>
                          <w:ind w:left="376" w:right="364"/>
                          <w:jc w:val="center"/>
                        </w:pPr>
                        <w:proofErr w:type="spellStart"/>
                        <w:r>
                          <w:rPr>
                            <w:w w:val="115"/>
                          </w:rPr>
                          <w:t>դասիչը</w:t>
                        </w:r>
                        <w:proofErr w:type="spellEnd"/>
                      </w:p>
                    </w:tc>
                    <w:tc>
                      <w:tcPr>
                        <w:tcW w:w="10765" w:type="dxa"/>
                      </w:tcPr>
                      <w:p w14:paraId="48A575EB" w14:textId="77777777" w:rsidR="00E538BD" w:rsidRDefault="00000000">
                        <w:pPr>
                          <w:pStyle w:val="TableParagraph"/>
                          <w:spacing w:before="32"/>
                          <w:ind w:left="720" w:right="704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Բյուջետային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հատկացումների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գլխավոր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կարգադրիչների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ծրագրերի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միջոցառումների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</w:t>
                        </w:r>
                      </w:p>
                      <w:p w14:paraId="0EA9A6D2" w14:textId="77777777" w:rsidR="00E538BD" w:rsidRDefault="00000000">
                        <w:pPr>
                          <w:pStyle w:val="TableParagraph"/>
                          <w:spacing w:before="52" w:line="252" w:lineRule="exact"/>
                          <w:ind w:left="720" w:right="704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միջոցառումներն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իրականացնող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պետական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մարմինների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անվանումները</w:t>
                        </w:r>
                        <w:proofErr w:type="spellEnd"/>
                      </w:p>
                    </w:tc>
                  </w:tr>
                  <w:tr w:rsidR="00E538BD" w14:paraId="5C3221AC" w14:textId="77777777">
                    <w:trPr>
                      <w:trHeight w:val="1209"/>
                    </w:trPr>
                    <w:tc>
                      <w:tcPr>
                        <w:tcW w:w="521" w:type="dxa"/>
                        <w:textDirection w:val="btLr"/>
                      </w:tcPr>
                      <w:p w14:paraId="23D7F735" w14:textId="77777777" w:rsidR="00E538BD" w:rsidRDefault="00000000">
                        <w:pPr>
                          <w:pStyle w:val="TableParagraph"/>
                          <w:spacing w:before="140"/>
                          <w:ind w:left="194"/>
                        </w:pPr>
                        <w:proofErr w:type="spellStart"/>
                        <w:r>
                          <w:rPr>
                            <w:w w:val="110"/>
                          </w:rPr>
                          <w:t>բաժինը</w:t>
                        </w:r>
                        <w:proofErr w:type="spellEnd"/>
                      </w:p>
                    </w:tc>
                    <w:tc>
                      <w:tcPr>
                        <w:tcW w:w="667" w:type="dxa"/>
                        <w:textDirection w:val="btLr"/>
                      </w:tcPr>
                      <w:p w14:paraId="2F336E6B" w14:textId="77777777" w:rsidR="00E538BD" w:rsidRDefault="00000000">
                        <w:pPr>
                          <w:pStyle w:val="TableParagraph"/>
                          <w:spacing w:before="214"/>
                          <w:ind w:left="222"/>
                        </w:pPr>
                        <w:proofErr w:type="spellStart"/>
                        <w:r>
                          <w:rPr>
                            <w:w w:val="105"/>
                          </w:rPr>
                          <w:t>խումբը</w:t>
                        </w:r>
                        <w:proofErr w:type="spellEnd"/>
                      </w:p>
                    </w:tc>
                    <w:tc>
                      <w:tcPr>
                        <w:tcW w:w="593" w:type="dxa"/>
                        <w:textDirection w:val="btLr"/>
                      </w:tcPr>
                      <w:p w14:paraId="631FC141" w14:textId="77777777" w:rsidR="00E538BD" w:rsidRDefault="00000000">
                        <w:pPr>
                          <w:pStyle w:val="TableParagraph"/>
                          <w:spacing w:before="173"/>
                          <w:ind w:left="311"/>
                        </w:pPr>
                        <w:proofErr w:type="spellStart"/>
                        <w:r>
                          <w:rPr>
                            <w:w w:val="110"/>
                          </w:rPr>
                          <w:t>դասը</w:t>
                        </w:r>
                        <w:proofErr w:type="spellEnd"/>
                      </w:p>
                    </w:tc>
                    <w:tc>
                      <w:tcPr>
                        <w:tcW w:w="847" w:type="dxa"/>
                        <w:textDirection w:val="btLr"/>
                      </w:tcPr>
                      <w:p w14:paraId="5445D844" w14:textId="77777777" w:rsidR="00E538BD" w:rsidRDefault="00E538BD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6"/>
                          </w:rPr>
                        </w:pPr>
                      </w:p>
                      <w:p w14:paraId="168699FF" w14:textId="77777777" w:rsidR="00E538BD" w:rsidRDefault="00000000">
                        <w:pPr>
                          <w:pStyle w:val="TableParagraph"/>
                          <w:ind w:left="129"/>
                        </w:pPr>
                        <w:proofErr w:type="spellStart"/>
                        <w:r>
                          <w:rPr>
                            <w:w w:val="110"/>
                          </w:rPr>
                          <w:t>ծրագիրը</w:t>
                        </w:r>
                        <w:proofErr w:type="spellEnd"/>
                      </w:p>
                    </w:tc>
                    <w:tc>
                      <w:tcPr>
                        <w:tcW w:w="1185" w:type="dxa"/>
                        <w:textDirection w:val="btLr"/>
                      </w:tcPr>
                      <w:p w14:paraId="44CE97B0" w14:textId="77777777" w:rsidR="00E538BD" w:rsidRDefault="00E538BD">
                        <w:pPr>
                          <w:pStyle w:val="TableParagraph"/>
                          <w:spacing w:before="6"/>
                          <w:rPr>
                            <w:rFonts w:ascii="Arial"/>
                            <w:sz w:val="27"/>
                          </w:rPr>
                        </w:pPr>
                      </w:p>
                      <w:p w14:paraId="449E22CA" w14:textId="77777777" w:rsidR="00E538BD" w:rsidRDefault="00000000">
                        <w:pPr>
                          <w:pStyle w:val="TableParagraph"/>
                          <w:spacing w:line="290" w:lineRule="auto"/>
                          <w:ind w:left="314" w:hanging="152"/>
                        </w:pPr>
                        <w:proofErr w:type="spellStart"/>
                        <w:r>
                          <w:rPr>
                            <w:w w:val="105"/>
                          </w:rPr>
                          <w:t>միջոցա</w:t>
                        </w:r>
                        <w:proofErr w:type="spellEnd"/>
                        <w:r>
                          <w:rPr>
                            <w:w w:val="10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05"/>
                          </w:rPr>
                          <w:t>ռումը</w:t>
                        </w:r>
                        <w:proofErr w:type="spellEnd"/>
                      </w:p>
                    </w:tc>
                    <w:tc>
                      <w:tcPr>
                        <w:tcW w:w="10765" w:type="dxa"/>
                      </w:tcPr>
                      <w:p w14:paraId="01A96FC9" w14:textId="77777777" w:rsidR="00E538BD" w:rsidRDefault="00E538BD">
                        <w:pPr>
                          <w:pStyle w:val="TableParagraph"/>
                        </w:pPr>
                      </w:p>
                    </w:tc>
                  </w:tr>
                  <w:tr w:rsidR="00E538BD" w14:paraId="4B1DFB6E" w14:textId="77777777">
                    <w:trPr>
                      <w:trHeight w:val="325"/>
                    </w:trPr>
                    <w:tc>
                      <w:tcPr>
                        <w:tcW w:w="521" w:type="dxa"/>
                      </w:tcPr>
                      <w:p w14:paraId="0A42B169" w14:textId="77777777" w:rsidR="00E538BD" w:rsidRDefault="00000000">
                        <w:pPr>
                          <w:pStyle w:val="TableParagraph"/>
                          <w:spacing w:before="46"/>
                          <w:ind w:left="122"/>
                        </w:pPr>
                        <w:r>
                          <w:rPr>
                            <w:w w:val="125"/>
                          </w:rPr>
                          <w:t>09</w:t>
                        </w:r>
                      </w:p>
                    </w:tc>
                    <w:tc>
                      <w:tcPr>
                        <w:tcW w:w="667" w:type="dxa"/>
                      </w:tcPr>
                      <w:p w14:paraId="3B9CB3A1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3" w:type="dxa"/>
                      </w:tcPr>
                      <w:p w14:paraId="05A400F5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7FC565D5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5" w:type="dxa"/>
                      </w:tcPr>
                      <w:p w14:paraId="52E08A5F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65" w:type="dxa"/>
                      </w:tcPr>
                      <w:p w14:paraId="0B29513B" w14:textId="77777777" w:rsidR="00E538BD" w:rsidRDefault="00000000">
                        <w:pPr>
                          <w:pStyle w:val="TableParagraph"/>
                          <w:spacing w:before="46"/>
                          <w:ind w:left="103"/>
                        </w:pPr>
                        <w:r>
                          <w:rPr>
                            <w:w w:val="115"/>
                          </w:rPr>
                          <w:t>ԿՐԹՈՒԹՅՈՒՆ</w:t>
                        </w:r>
                      </w:p>
                    </w:tc>
                  </w:tr>
                  <w:tr w:rsidR="00E538BD" w14:paraId="504729E8" w14:textId="77777777">
                    <w:trPr>
                      <w:trHeight w:val="321"/>
                    </w:trPr>
                    <w:tc>
                      <w:tcPr>
                        <w:tcW w:w="521" w:type="dxa"/>
                      </w:tcPr>
                      <w:p w14:paraId="5843913D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</w:tcPr>
                      <w:p w14:paraId="3327A8AD" w14:textId="77777777" w:rsidR="00E538BD" w:rsidRDefault="00000000">
                        <w:pPr>
                          <w:pStyle w:val="TableParagraph"/>
                          <w:spacing w:before="44"/>
                          <w:ind w:left="218"/>
                        </w:pPr>
                        <w:r>
                          <w:rPr>
                            <w:w w:val="105"/>
                          </w:rPr>
                          <w:t>01</w:t>
                        </w:r>
                      </w:p>
                    </w:tc>
                    <w:tc>
                      <w:tcPr>
                        <w:tcW w:w="593" w:type="dxa"/>
                      </w:tcPr>
                      <w:p w14:paraId="137ED4AF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03B1FD44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5" w:type="dxa"/>
                      </w:tcPr>
                      <w:p w14:paraId="5E4DDC50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65" w:type="dxa"/>
                      </w:tcPr>
                      <w:p w14:paraId="6C09D542" w14:textId="77777777" w:rsidR="00E538BD" w:rsidRDefault="00000000">
                        <w:pPr>
                          <w:pStyle w:val="TableParagraph"/>
                          <w:spacing w:before="44"/>
                          <w:ind w:left="170"/>
                        </w:pPr>
                        <w:proofErr w:type="spellStart"/>
                        <w:r>
                          <w:rPr>
                            <w:w w:val="115"/>
                          </w:rPr>
                          <w:t>Նախադպրոցական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5"/>
                          </w:rPr>
                          <w:t>տարրական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ընդհանուր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կրթություն</w:t>
                        </w:r>
                        <w:proofErr w:type="spellEnd"/>
                      </w:p>
                    </w:tc>
                  </w:tr>
                  <w:tr w:rsidR="00E538BD" w14:paraId="2617B35E" w14:textId="77777777">
                    <w:trPr>
                      <w:trHeight w:val="324"/>
                    </w:trPr>
                    <w:tc>
                      <w:tcPr>
                        <w:tcW w:w="521" w:type="dxa"/>
                      </w:tcPr>
                      <w:p w14:paraId="551F7688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</w:tcPr>
                      <w:p w14:paraId="331323A9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3" w:type="dxa"/>
                      </w:tcPr>
                      <w:p w14:paraId="004BE596" w14:textId="77777777" w:rsidR="00E538BD" w:rsidRDefault="00000000">
                        <w:pPr>
                          <w:pStyle w:val="TableParagraph"/>
                          <w:spacing w:before="46"/>
                          <w:ind w:left="177"/>
                        </w:pPr>
                        <w:r>
                          <w:rPr>
                            <w:w w:val="105"/>
                          </w:rPr>
                          <w:t>01</w:t>
                        </w:r>
                      </w:p>
                    </w:tc>
                    <w:tc>
                      <w:tcPr>
                        <w:tcW w:w="847" w:type="dxa"/>
                      </w:tcPr>
                      <w:p w14:paraId="7AB36123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5" w:type="dxa"/>
                      </w:tcPr>
                      <w:p w14:paraId="4EA27E04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65" w:type="dxa"/>
                      </w:tcPr>
                      <w:p w14:paraId="4AC942E2" w14:textId="77777777" w:rsidR="00E538BD" w:rsidRDefault="00000000">
                        <w:pPr>
                          <w:pStyle w:val="TableParagraph"/>
                          <w:spacing w:before="46"/>
                          <w:ind w:left="170"/>
                        </w:pPr>
                        <w:proofErr w:type="spellStart"/>
                        <w:r>
                          <w:rPr>
                            <w:w w:val="115"/>
                          </w:rPr>
                          <w:t>Նախադպրոցական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կրթություն</w:t>
                        </w:r>
                        <w:proofErr w:type="spellEnd"/>
                      </w:p>
                    </w:tc>
                  </w:tr>
                  <w:tr w:rsidR="00E538BD" w14:paraId="6D74FAB6" w14:textId="77777777">
                    <w:trPr>
                      <w:trHeight w:val="324"/>
                    </w:trPr>
                    <w:tc>
                      <w:tcPr>
                        <w:tcW w:w="521" w:type="dxa"/>
                      </w:tcPr>
                      <w:p w14:paraId="7648D9C3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</w:tcPr>
                      <w:p w14:paraId="63D70C04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3" w:type="dxa"/>
                      </w:tcPr>
                      <w:p w14:paraId="4BF4F129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0ED48777" w14:textId="77777777" w:rsidR="00E538BD" w:rsidRDefault="00000000">
                        <w:pPr>
                          <w:pStyle w:val="TableParagraph"/>
                          <w:spacing w:before="43"/>
                          <w:ind w:left="218"/>
                        </w:pPr>
                        <w:r>
                          <w:t>1146</w:t>
                        </w:r>
                      </w:p>
                    </w:tc>
                    <w:tc>
                      <w:tcPr>
                        <w:tcW w:w="1185" w:type="dxa"/>
                      </w:tcPr>
                      <w:p w14:paraId="0A5DA458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765" w:type="dxa"/>
                      </w:tcPr>
                      <w:p w14:paraId="45767BB7" w14:textId="77777777" w:rsidR="00E538BD" w:rsidRDefault="00000000">
                        <w:pPr>
                          <w:pStyle w:val="TableParagraph"/>
                          <w:spacing w:before="47"/>
                          <w:ind w:left="170"/>
                        </w:pPr>
                        <w:proofErr w:type="spellStart"/>
                        <w:r>
                          <w:rPr>
                            <w:w w:val="115"/>
                          </w:rPr>
                          <w:t>Հանրակրթության</w:t>
                        </w:r>
                        <w:proofErr w:type="spellEnd"/>
                        <w:r>
                          <w:rPr>
                            <w:w w:val="1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</w:rPr>
                          <w:t>ծրագիր</w:t>
                        </w:r>
                        <w:proofErr w:type="spellEnd"/>
                      </w:p>
                    </w:tc>
                  </w:tr>
                  <w:tr w:rsidR="00E538BD" w14:paraId="6471C368" w14:textId="77777777">
                    <w:trPr>
                      <w:trHeight w:val="371"/>
                    </w:trPr>
                    <w:tc>
                      <w:tcPr>
                        <w:tcW w:w="521" w:type="dxa"/>
                      </w:tcPr>
                      <w:p w14:paraId="3BC31326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67" w:type="dxa"/>
                      </w:tcPr>
                      <w:p w14:paraId="45C27C89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3" w:type="dxa"/>
                      </w:tcPr>
                      <w:p w14:paraId="5130648B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47" w:type="dxa"/>
                      </w:tcPr>
                      <w:p w14:paraId="488DFAFE" w14:textId="77777777" w:rsidR="00E538BD" w:rsidRDefault="00E538B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85" w:type="dxa"/>
                      </w:tcPr>
                      <w:p w14:paraId="09E2BB97" w14:textId="77777777" w:rsidR="00E538BD" w:rsidRDefault="00000000">
                        <w:pPr>
                          <w:pStyle w:val="TableParagraph"/>
                          <w:spacing w:before="65"/>
                          <w:ind w:left="335"/>
                        </w:pPr>
                        <w:r>
                          <w:t>12013</w:t>
                        </w:r>
                      </w:p>
                    </w:tc>
                    <w:tc>
                      <w:tcPr>
                        <w:tcW w:w="10765" w:type="dxa"/>
                      </w:tcPr>
                      <w:p w14:paraId="5A43571C" w14:textId="77777777" w:rsidR="00E538BD" w:rsidRDefault="00000000">
                        <w:pPr>
                          <w:pStyle w:val="TableParagraph"/>
                          <w:spacing w:before="65"/>
                          <w:ind w:left="166"/>
                        </w:pPr>
                        <w:proofErr w:type="spellStart"/>
                        <w:r>
                          <w:rPr>
                            <w:w w:val="110"/>
                          </w:rPr>
                          <w:t>Սոցիալական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որոշ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խմբերի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1.5-5 </w:t>
                        </w:r>
                        <w:proofErr w:type="spellStart"/>
                        <w:r>
                          <w:rPr>
                            <w:w w:val="110"/>
                          </w:rPr>
                          <w:t>տարեկան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երեխաների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նախադպրոցական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կրթության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ապահովում</w:t>
                        </w:r>
                        <w:proofErr w:type="spellEnd"/>
                      </w:p>
                    </w:tc>
                  </w:tr>
                </w:tbl>
                <w:p w14:paraId="7B625EBE" w14:textId="77777777" w:rsidR="00E538BD" w:rsidRDefault="00E538B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010DF53" w14:textId="77777777" w:rsidR="00E538BD" w:rsidRDefault="00E538BD">
      <w:pPr>
        <w:pStyle w:val="BodyText"/>
        <w:spacing w:before="10"/>
        <w:rPr>
          <w:sz w:val="33"/>
        </w:rPr>
      </w:pPr>
    </w:p>
    <w:p w14:paraId="12544F9E" w14:textId="77777777" w:rsidR="00E538BD" w:rsidRDefault="00000000">
      <w:pPr>
        <w:pStyle w:val="BodyText"/>
        <w:spacing w:line="288" w:lineRule="auto"/>
        <w:ind w:left="1165" w:right="8634" w:hanging="125"/>
      </w:pPr>
      <w:r>
        <w:rPr>
          <w:w w:val="105"/>
        </w:rPr>
        <w:t>ՀԱՅԱՍՏԱՆԻ ՀԱՆՐԱՊԵՏՈՒԹՅԱՆ ՎԱՐՉԱՊԵՏԻ ԱՇԽԱՏԱԿԱԶՄԻ</w:t>
      </w:r>
    </w:p>
    <w:p w14:paraId="477F196B" w14:textId="77777777" w:rsidR="00E538BD" w:rsidRDefault="00000000">
      <w:pPr>
        <w:pStyle w:val="BodyText"/>
        <w:tabs>
          <w:tab w:val="left" w:pos="10536"/>
        </w:tabs>
        <w:spacing w:before="3"/>
        <w:ind w:left="200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71FF0079" w14:textId="77777777" w:rsidR="00E538BD" w:rsidRDefault="00E538BD">
      <w:pPr>
        <w:pStyle w:val="BodyText"/>
        <w:rPr>
          <w:sz w:val="20"/>
        </w:rPr>
      </w:pPr>
    </w:p>
    <w:p w14:paraId="5EC223A8" w14:textId="77777777" w:rsidR="00E538BD" w:rsidRDefault="00E538BD">
      <w:pPr>
        <w:pStyle w:val="BodyText"/>
        <w:rPr>
          <w:sz w:val="20"/>
        </w:rPr>
      </w:pPr>
    </w:p>
    <w:p w14:paraId="58DECE0E" w14:textId="77777777" w:rsidR="00E538BD" w:rsidRDefault="00E538BD">
      <w:pPr>
        <w:pStyle w:val="BodyText"/>
        <w:rPr>
          <w:sz w:val="20"/>
        </w:rPr>
      </w:pPr>
    </w:p>
    <w:p w14:paraId="7693C9BF" w14:textId="77777777" w:rsidR="00E538BD" w:rsidRDefault="00E538BD">
      <w:pPr>
        <w:pStyle w:val="BodyText"/>
        <w:spacing w:before="6"/>
        <w:rPr>
          <w:sz w:val="20"/>
        </w:rPr>
      </w:pPr>
    </w:p>
    <w:p w14:paraId="1EAF9C59" w14:textId="77777777" w:rsidR="00E538BD" w:rsidRDefault="00000000">
      <w:pPr>
        <w:spacing w:before="1"/>
        <w:ind w:right="70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AA254" wp14:editId="68225E22">
            <wp:simplePos x="0" y="0"/>
            <wp:positionH relativeFrom="page">
              <wp:posOffset>8695880</wp:posOffset>
            </wp:positionH>
            <wp:positionV relativeFrom="paragraph">
              <wp:posOffset>172657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E538BD">
      <w:type w:val="continuous"/>
      <w:pgSz w:w="15840" w:h="12240" w:orient="landscape"/>
      <w:pgMar w:top="114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BD"/>
    <w:rsid w:val="00A70C2E"/>
    <w:rsid w:val="00E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A8D453"/>
  <w15:docId w15:val="{19F87633-0254-4DDB-AA3C-29FEA94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2023-02-06T06:02:00Z</dcterms:created>
  <dcterms:modified xsi:type="dcterms:W3CDTF">2023-02-06T07:43:00Z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