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74" w:rsidRPr="005A26DE" w:rsidRDefault="00C56232" w:rsidP="005A26DE">
      <w:pPr>
        <w:spacing w:after="160" w:line="360" w:lineRule="auto"/>
        <w:jc w:val="center"/>
        <w:rPr>
          <w:rFonts w:ascii="Sylfaen" w:hAnsi="Sylfaen"/>
        </w:rPr>
      </w:pPr>
      <w:r>
        <w:rPr>
          <w:rFonts w:ascii="Sylfaen" w:hAnsi="Sylfaen"/>
        </w:rPr>
        <w:fldChar w:fldCharType="begin"/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instrText>INCLUDEPICTURE  "C:\\Users\\Erik\\Desktop\\nor\\media\\image1.jpeg" \* MERGEFORMATINET</w:instrText>
      </w:r>
      <w:r>
        <w:rPr>
          <w:rFonts w:ascii="Sylfaen" w:hAnsi="Sylfaen"/>
        </w:rPr>
        <w:instrText xml:space="preserve"> </w:instrText>
      </w:r>
      <w:r>
        <w:rPr>
          <w:rFonts w:ascii="Sylfaen" w:hAnsi="Sylfaen"/>
        </w:rPr>
        <w:fldChar w:fldCharType="separate"/>
      </w:r>
      <w:r w:rsidR="007C5920">
        <w:rPr>
          <w:rFonts w:ascii="Sylfaen" w:hAnsi="Sylfa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63.75pt">
            <v:imagedata r:id="rId7" r:href="rId8"/>
          </v:shape>
        </w:pict>
      </w:r>
      <w:r>
        <w:rPr>
          <w:rFonts w:ascii="Sylfaen" w:hAnsi="Sylfaen"/>
        </w:rPr>
        <w:fldChar w:fldCharType="end"/>
      </w:r>
    </w:p>
    <w:p w:rsidR="00661DEA" w:rsidRPr="005A26DE" w:rsidRDefault="00ED51EE" w:rsidP="005A26DE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5A26DE">
        <w:rPr>
          <w:sz w:val="24"/>
          <w:szCs w:val="24"/>
        </w:rPr>
        <w:t xml:space="preserve">ՀԱՎԵԼՎԱԾ </w:t>
      </w:r>
    </w:p>
    <w:p w:rsidR="00014374" w:rsidRPr="005A26DE" w:rsidRDefault="00ED51EE" w:rsidP="005A26DE">
      <w:pPr>
        <w:pStyle w:val="Bodytext20"/>
        <w:shd w:val="clear" w:color="auto" w:fill="auto"/>
        <w:spacing w:before="0" w:after="160" w:line="360" w:lineRule="auto"/>
        <w:ind w:left="5103" w:right="-8"/>
        <w:jc w:val="center"/>
        <w:rPr>
          <w:sz w:val="24"/>
          <w:szCs w:val="24"/>
        </w:rPr>
      </w:pPr>
      <w:r w:rsidRPr="005A26DE">
        <w:rPr>
          <w:sz w:val="24"/>
          <w:szCs w:val="24"/>
        </w:rPr>
        <w:t xml:space="preserve">Եվրասիական տնտեսական հանձնաժողովի խորհրդի </w:t>
      </w:r>
      <w:r w:rsidR="005A26DE" w:rsidRPr="005A26DE">
        <w:rPr>
          <w:sz w:val="24"/>
          <w:szCs w:val="24"/>
        </w:rPr>
        <w:br/>
      </w:r>
      <w:r w:rsidRPr="005A26DE">
        <w:rPr>
          <w:sz w:val="24"/>
          <w:szCs w:val="24"/>
        </w:rPr>
        <w:t>2018 թվականի սեպտեմբերի 14-ի թիվ 73 որոշման</w:t>
      </w:r>
    </w:p>
    <w:p w:rsidR="00661DEA" w:rsidRPr="005A26DE" w:rsidRDefault="00661DEA" w:rsidP="005A26DE">
      <w:pPr>
        <w:pStyle w:val="Bodytext40"/>
        <w:shd w:val="clear" w:color="auto" w:fill="auto"/>
        <w:spacing w:before="0" w:after="160" w:line="360" w:lineRule="auto"/>
        <w:ind w:right="260"/>
        <w:rPr>
          <w:rStyle w:val="Bodytext4Spacing2pt"/>
          <w:b/>
          <w:bCs/>
          <w:spacing w:val="0"/>
          <w:sz w:val="24"/>
          <w:szCs w:val="24"/>
        </w:rPr>
      </w:pPr>
    </w:p>
    <w:p w:rsidR="00014374" w:rsidRPr="005A26DE" w:rsidRDefault="00ED51EE" w:rsidP="005A26DE">
      <w:pPr>
        <w:pStyle w:val="Bodytext4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5A26DE">
        <w:rPr>
          <w:rStyle w:val="Bodytext4Spacing2pt"/>
          <w:b/>
          <w:spacing w:val="0"/>
          <w:sz w:val="24"/>
          <w:szCs w:val="24"/>
        </w:rPr>
        <w:t>ԴՐՈՒՅՔԱՉԱՓԵՐ</w:t>
      </w:r>
    </w:p>
    <w:p w:rsidR="00014374" w:rsidRPr="005A26DE" w:rsidRDefault="00ED51EE" w:rsidP="005A26DE">
      <w:pPr>
        <w:pStyle w:val="Bodytext40"/>
        <w:shd w:val="clear" w:color="auto" w:fill="auto"/>
        <w:spacing w:before="0" w:after="160" w:line="360" w:lineRule="auto"/>
        <w:ind w:left="567" w:right="559"/>
        <w:rPr>
          <w:sz w:val="24"/>
          <w:szCs w:val="24"/>
        </w:rPr>
      </w:pPr>
      <w:r w:rsidRPr="005A26DE">
        <w:rPr>
          <w:sz w:val="24"/>
          <w:szCs w:val="24"/>
        </w:rPr>
        <w:t>Եվրասիական տնտեսական միության միասնական մաքսային սակագնի ներմուծման մաք</w:t>
      </w:r>
      <w:bookmarkStart w:id="0" w:name="_GoBack"/>
      <w:bookmarkEnd w:id="0"/>
      <w:r w:rsidRPr="005A26DE">
        <w:rPr>
          <w:sz w:val="24"/>
          <w:szCs w:val="24"/>
        </w:rPr>
        <w:t>սատուրքերի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3"/>
        <w:gridCol w:w="4678"/>
        <w:gridCol w:w="2693"/>
      </w:tblGrid>
      <w:tr w:rsidR="00014374" w:rsidRPr="005A26DE" w:rsidTr="00016407">
        <w:trPr>
          <w:tblHeader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ԱՏԳ ԱԱ</w:t>
            </w:r>
            <w:r w:rsidR="005A26DE" w:rsidRPr="005A26DE">
              <w:rPr>
                <w:rStyle w:val="Bodytext21"/>
                <w:sz w:val="20"/>
                <w:szCs w:val="20"/>
                <w:lang w:val="en-US"/>
              </w:rPr>
              <w:t xml:space="preserve"> </w:t>
            </w:r>
            <w:r w:rsidR="00661DEA" w:rsidRPr="005A26DE">
              <w:rPr>
                <w:rStyle w:val="Bodytext21"/>
                <w:sz w:val="20"/>
                <w:szCs w:val="20"/>
              </w:rPr>
              <w:t>ծածկագիրը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ind w:left="960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Դիրքի անվանումը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Ներմուծման մաքսատուրքի դրույքաչափը (մաքսային արժեքից տոկոսներով՝ կամ եվրոյով, կամ ԱՄՆ դոլարով)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tcBorders>
              <w:top w:val="single" w:sz="4" w:space="0" w:color="auto"/>
            </w:tcBorders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3208 20 900 1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ind w:left="429" w:right="132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3208 90 190 1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ind w:left="569" w:right="132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3208 90 910 1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ind w:left="541" w:right="132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3209 10 000 1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D05FD1">
            <w:pPr>
              <w:pStyle w:val="Bodytext20"/>
              <w:shd w:val="clear" w:color="auto" w:fill="auto"/>
              <w:spacing w:before="0" w:after="120" w:line="264" w:lineRule="auto"/>
              <w:ind w:left="303" w:right="132" w:hanging="28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- 8701-8705 ապրանքային դիրքերում ընդգրկված շարժիչային տրանսպորտային միջոցների, դրանց հանգույցների եւ ագրեգատների արդյունաբերական </w:t>
            </w:r>
            <w:r w:rsidRPr="005A26DE">
              <w:rPr>
                <w:sz w:val="20"/>
                <w:szCs w:val="20"/>
              </w:rPr>
              <w:lastRenderedPageBreak/>
              <w:t>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3910 00 000 1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ind w:left="163" w:right="132" w:hanging="137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3917 23 100 1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ind w:left="583" w:right="132" w:hanging="543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3917 31 000 1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401" w:right="2" w:hanging="36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3917 32 000 2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541" w:right="2" w:hanging="50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4009 12 000 1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415" w:right="2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27Դ)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4009 22 000 1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415" w:right="2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27Դ)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4016 93 000 1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415" w:right="2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4016 99 520 1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667" w:right="2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5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28Դ)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4016 99 570 1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695" w:right="2" w:hanging="65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- 8701-8705 ապրանքային դիրքերում ընդգրկված շարժիչային տրանսպորտային միջոցների, դրանց հանգույցների եւ ագրեգատների արդյունաբերական </w:t>
            </w:r>
            <w:r w:rsidRPr="005A26DE">
              <w:rPr>
                <w:sz w:val="20"/>
                <w:szCs w:val="20"/>
              </w:rPr>
              <w:lastRenderedPageBreak/>
              <w:t>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lastRenderedPageBreak/>
              <w:t>5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28Դ)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7007 11 100 1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541" w:right="2" w:hanging="50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3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7007 21 200 1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541" w:right="2" w:hanging="50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3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7009 10 000 1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541" w:right="44" w:hanging="49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3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7209 17 900 1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583" w:right="44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0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7209 27 900 1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569" w:right="44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"/>
                <w:sz w:val="20"/>
                <w:szCs w:val="20"/>
              </w:rPr>
              <w:t>0</w:t>
            </w:r>
            <w:r w:rsidRPr="005A26DE">
              <w:rPr>
                <w:rStyle w:val="Bodytext212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7210 49 000 1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429" w:right="44" w:hanging="37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- 1500 մմ կամ ավելի լայնությամբ,</w:t>
            </w:r>
            <w:r w:rsidR="005A26DE" w:rsidRPr="005A26DE">
              <w:rPr>
                <w:rStyle w:val="Bodytext21"/>
                <w:sz w:val="20"/>
                <w:szCs w:val="20"/>
              </w:rPr>
              <w:t xml:space="preserve"> </w:t>
            </w:r>
            <w:r w:rsidRPr="005A26DE">
              <w:rPr>
                <w:rStyle w:val="Bodytext21"/>
                <w:sz w:val="20"/>
                <w:szCs w:val="20"/>
              </w:rPr>
              <w:t>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7219 34 900 1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569" w:right="44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7220 20 490 1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569" w:right="44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7304 31 200 1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569" w:right="44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միջոցների, դրանց հանգույցների եւ ագրեգատների արդյունաբերական </w:t>
            </w:r>
            <w:r w:rsidRPr="005A26DE">
              <w:rPr>
                <w:sz w:val="20"/>
                <w:szCs w:val="20"/>
              </w:rPr>
              <w:lastRenderedPageBreak/>
              <w:t>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lastRenderedPageBreak/>
              <w:t>5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7306 30 770 1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ind w:left="807" w:right="44" w:hanging="75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D05FD1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5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7306 40 800 1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443" w:right="44" w:hanging="39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5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7306 90 100 1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317" w:right="30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5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7307 99 800 1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569" w:right="30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0"/>
                <w:sz w:val="20"/>
                <w:szCs w:val="20"/>
              </w:rPr>
              <w:t>5</w:t>
            </w:r>
            <w:r w:rsidRPr="005A26DE">
              <w:rPr>
                <w:rStyle w:val="Bodytext28pt0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7318 21 000 1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429" w:right="30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0"/>
                <w:sz w:val="20"/>
                <w:szCs w:val="20"/>
              </w:rPr>
              <w:t>5</w:t>
            </w:r>
            <w:r w:rsidRPr="005A26DE">
              <w:rPr>
                <w:rStyle w:val="Bodytext28pt0"/>
                <w:sz w:val="20"/>
                <w:szCs w:val="20"/>
                <w:vertAlign w:val="superscript"/>
              </w:rPr>
              <w:t>28Դ)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7318 22 000 1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429" w:right="30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0"/>
                <w:sz w:val="20"/>
                <w:szCs w:val="20"/>
              </w:rPr>
              <w:t>5</w:t>
            </w:r>
            <w:r w:rsidRPr="005A26DE">
              <w:rPr>
                <w:rStyle w:val="Bodytext219pt0"/>
                <w:sz w:val="20"/>
                <w:szCs w:val="20"/>
                <w:vertAlign w:val="superscript"/>
              </w:rPr>
              <w:t>28Դ)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7318 29 000 1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443" w:right="30" w:hanging="39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0"/>
                <w:sz w:val="20"/>
                <w:szCs w:val="20"/>
              </w:rPr>
              <w:t>5</w:t>
            </w:r>
            <w:r w:rsidRPr="005A26DE">
              <w:rPr>
                <w:rStyle w:val="Bodytext28pt0"/>
                <w:sz w:val="20"/>
                <w:szCs w:val="20"/>
                <w:vertAlign w:val="superscript"/>
              </w:rPr>
              <w:t>28Դ)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7320 20 200 1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289" w:right="30" w:hanging="23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0"/>
                <w:sz w:val="20"/>
                <w:szCs w:val="20"/>
              </w:rPr>
              <w:t>0</w:t>
            </w:r>
            <w:r w:rsidRPr="005A26DE">
              <w:rPr>
                <w:rStyle w:val="Bodytext28pt0"/>
                <w:sz w:val="20"/>
                <w:szCs w:val="20"/>
                <w:vertAlign w:val="superscript"/>
              </w:rPr>
              <w:t>35Դ)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7320 20 810 1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64" w:lineRule="auto"/>
              <w:ind w:left="569" w:right="30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0"/>
                <w:sz w:val="20"/>
                <w:szCs w:val="20"/>
              </w:rPr>
              <w:t>0</w:t>
            </w:r>
            <w:r w:rsidRPr="005A26DE">
              <w:rPr>
                <w:rStyle w:val="Bodytext28pt0"/>
                <w:sz w:val="20"/>
                <w:szCs w:val="20"/>
                <w:vertAlign w:val="superscript"/>
              </w:rPr>
              <w:t>35Դ)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lastRenderedPageBreak/>
              <w:t>7320 20 850 1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64" w:lineRule="auto"/>
              <w:ind w:left="569" w:right="30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0</w:t>
            </w:r>
            <w:r w:rsidRPr="005A26DE">
              <w:rPr>
                <w:rStyle w:val="Bodytext212pt1"/>
                <w:sz w:val="20"/>
                <w:szCs w:val="20"/>
                <w:vertAlign w:val="superscript"/>
              </w:rPr>
              <w:t>35Դ)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7320 20 890 1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541" w:right="30" w:hanging="50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0</w:t>
            </w:r>
            <w:r w:rsidRPr="005A26DE">
              <w:rPr>
                <w:rStyle w:val="Bodytext212pt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7320 90 900 1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415" w:right="30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5</w:t>
            </w:r>
            <w:r w:rsidRPr="005A26DE">
              <w:rPr>
                <w:rStyle w:val="Bodytext212pt1"/>
                <w:sz w:val="20"/>
                <w:szCs w:val="20"/>
                <w:vertAlign w:val="superscript"/>
              </w:rPr>
              <w:t>36Դ)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7326 90 980 1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527" w:right="30" w:hanging="49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5</w:t>
            </w:r>
            <w:r w:rsidRPr="005A26DE">
              <w:rPr>
                <w:rStyle w:val="Bodytext212pt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7616 99 100 1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541" w:right="30" w:hanging="50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037Դ)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8301 20 000 1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289" w:right="30" w:hanging="25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3</w:t>
            </w:r>
            <w:r w:rsidRPr="005A26DE">
              <w:rPr>
                <w:rStyle w:val="Bodytext212pt1"/>
                <w:sz w:val="20"/>
                <w:szCs w:val="20"/>
                <w:vertAlign w:val="superscript"/>
              </w:rPr>
              <w:t>38Դ)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8301 60 000 1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331" w:right="30" w:hanging="25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կողպեքների</w:t>
            </w:r>
            <w:r w:rsidR="003941B0" w:rsidRPr="005A26DE">
              <w:rPr>
                <w:sz w:val="20"/>
                <w:szCs w:val="20"/>
              </w:rPr>
              <w:t>,որոնք նախատեսված են</w:t>
            </w:r>
            <w:r w:rsidRPr="005A26DE">
              <w:rPr>
                <w:sz w:val="20"/>
                <w:szCs w:val="20"/>
              </w:rPr>
              <w:t xml:space="preserve">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2pt1"/>
                <w:sz w:val="20"/>
                <w:szCs w:val="20"/>
              </w:rPr>
              <w:t>0</w:t>
            </w:r>
            <w:r w:rsidRPr="005A26DE">
              <w:rPr>
                <w:rStyle w:val="Bodytext212pt1"/>
                <w:sz w:val="20"/>
                <w:szCs w:val="20"/>
                <w:vertAlign w:val="superscript"/>
              </w:rPr>
              <w:t>36Դ)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8302 30 000 1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61DEA" w:rsidP="00B94560">
            <w:pPr>
              <w:pStyle w:val="Bodytext20"/>
              <w:shd w:val="clear" w:color="auto" w:fill="auto"/>
              <w:spacing w:before="0" w:after="120" w:line="240" w:lineRule="auto"/>
              <w:ind w:left="289" w:right="30" w:hanging="25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t>3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38Դ)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8302 60 000 1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9B2C65" w:rsidP="00B94560">
            <w:pPr>
              <w:pStyle w:val="Bodytext20"/>
              <w:shd w:val="clear" w:color="auto" w:fill="auto"/>
              <w:spacing w:before="0" w:after="120" w:line="240" w:lineRule="auto"/>
              <w:ind w:left="303" w:right="30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t>3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8407 34 100 0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401" w:right="30" w:hanging="364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 xml:space="preserve">- - - արդյունաբերական հավաքման համար` կողքից քայլող վարորդի կառավարմամբ եւ </w:t>
            </w:r>
            <w:r w:rsidRPr="005A26DE">
              <w:rPr>
                <w:rStyle w:val="Bodytext21"/>
                <w:sz w:val="20"/>
                <w:szCs w:val="20"/>
              </w:rPr>
              <w:lastRenderedPageBreak/>
              <w:t>8701 10 ենթադիրքում նշված տրակտորների. 8703 ապրանքային դիրքում ընդգրկված շարժիչային տրանսպորտային միջոցների. 8704 ապրանքային դիրքում ընդգրկված շարժիչային տրանսպորտային միջոցների, որոնց շարժիչի գլանների աշխատանքային ծավալը փոքր է 2800 սմ³-ից. 8705 ապրանքային դիրքում ընդգրկված շարժիչային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8407 34 990 2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B94560">
            <w:pPr>
              <w:pStyle w:val="Bodytext20"/>
              <w:shd w:val="clear" w:color="auto" w:fill="auto"/>
              <w:spacing w:before="0" w:after="120" w:line="240" w:lineRule="auto"/>
              <w:ind w:left="779" w:right="132" w:hanging="75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>շարժիչի գլանների 2800 սմ³-ից ոչ պակաս աշխատանքային ծավալով, 8701-8705 ապրանքային դիրքերում ընդգրկված շարժիչային տրանսպորտային միջոցների արդյունաբերական հավաքման համար՝ բացի 8407 34 100 0 ստորաենթադիրքերում նշված շարժիչային տրանսպորտային միջոցներից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t>0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8407 90 500 0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64" w:lineRule="auto"/>
              <w:ind w:left="429" w:right="132" w:hanging="406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արդյունաբերական հավաքման համար` կողքից քայլող վարորդի կառավարմամբ եւ 8701 10 ենթադիրքում նշված տրակտորների. 8703 ապրանքային դիրքում ընդգրկված շարժիչային տրանսպորտային միջոցների. 8704 ապրանքային դիրքում ընդգրկված շարժիչային տրանսպորտային միջոցների, որոնց շարժիչի գլանների աշխատանքային ծավալը փոքր է 2800 սմ³-ից. 8705 ապրանքային դիրքում ընդգրկված շարժիչային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8407 90 900 1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64" w:lineRule="auto"/>
              <w:ind w:left="667" w:right="132" w:hanging="64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>շարժիչի գլանների 2800 սմ³-ից ոչ պակաս աշխատանքային ծավալով, 8701-8705 ապրանքային դիրքերում ընդգրկված շարժիչային տրանսպորտային միջոցների արդյունաբերական հավաքման համար՝ բացի 8407 90 500 0 ստորաենթադիրքերում նշված շարժիչային տրանսպորտային միջոցներից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8408 20 100 0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B94560" w:rsidRDefault="009B2C65" w:rsidP="00E44F56">
            <w:pPr>
              <w:pStyle w:val="Bodytext20"/>
              <w:shd w:val="clear" w:color="auto" w:fill="auto"/>
              <w:spacing w:before="0" w:after="120" w:line="240" w:lineRule="auto"/>
              <w:ind w:left="275" w:right="132" w:hanging="252"/>
              <w:jc w:val="left"/>
              <w:rPr>
                <w:sz w:val="20"/>
                <w:szCs w:val="20"/>
                <w:lang w:val="en-US"/>
              </w:rPr>
            </w:pPr>
            <w:r w:rsidRPr="005A26DE">
              <w:rPr>
                <w:rStyle w:val="Bodytext21"/>
                <w:sz w:val="20"/>
                <w:szCs w:val="20"/>
              </w:rPr>
              <w:t xml:space="preserve">- - արդյունաբերական հավաքման համար` կողքից քայլող վարորդի կառավարմամբ եւ 8701 10 ենթադիրքում նշված տրակտորների. 8703 ապրանքային դիրքում ընդգրկված շարժիչային տրանսպորտային միջոցների. </w:t>
            </w:r>
            <w:r w:rsidRPr="005A26DE">
              <w:rPr>
                <w:rStyle w:val="Bodytext21"/>
                <w:sz w:val="20"/>
                <w:szCs w:val="20"/>
              </w:rPr>
              <w:lastRenderedPageBreak/>
              <w:t>8704 ապրանքային դիրքում ընդգրկված շարժիչային տրանսպորտային միջոցների, որոնց շարժիչի գլանների աշխատանքային ծավալը փոքր է 2500 սմ³-ից. 8705 ապրանքային դիրքում ընդգրկված շարժիչային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  <w:r w:rsidRPr="005A26DE">
              <w:rPr>
                <w:rStyle w:val="Bodytext2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37Դ</w:t>
            </w:r>
            <w:r w:rsidRPr="005A26DE">
              <w:rPr>
                <w:rStyle w:val="Bodytext21"/>
                <w:sz w:val="20"/>
                <w:szCs w:val="20"/>
              </w:rPr>
              <w:t>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8408 20 310 1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64" w:lineRule="auto"/>
              <w:ind w:left="667" w:right="132" w:hanging="64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շարժիչի գլանների 2500 սմ³-ից ոչ պակաս, բայց 3000 սմ³-ից ոչ ավելի աշխատանքային ծավալով տրակտորների արդյունաբերական հավաքման համար՝ բացի 8408 20 100 0 ստորաենթադիրքում նշված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37Դ</w:t>
            </w:r>
            <w:r w:rsidRPr="005A26DE">
              <w:rPr>
                <w:rStyle w:val="Bodytext29pt2"/>
                <w:sz w:val="20"/>
                <w:szCs w:val="20"/>
              </w:rPr>
              <w:t>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8408 20 350 1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67" w:right="44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շարժիչի գլանների 2500 սմ³-ից ոչ պակաս, բայց 3000 սմ³-ից ոչ ավելի աշխատանքային ծավալով տրակտորների արդյունաբերական հավաքման համար՝ բացի 8408 20 100 0 ստորաենթադիրքում նշված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37Դ</w:t>
            </w:r>
            <w:r w:rsidRPr="005A26DE">
              <w:rPr>
                <w:rStyle w:val="Bodytext21"/>
                <w:sz w:val="20"/>
                <w:szCs w:val="20"/>
              </w:rPr>
              <w:t>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8408 20 370 1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67" w:right="44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շարժիչի գլանների 2500 սմ³-ից ոչ պակաս, բայց 3000 սմ³-ից ոչ ավելի աշխատանքային ծավալով տրակտորների արդյունաբերական հավաքման համար՝ բացի 8408 20 100 0 ստորաենթադիրքում նշված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37Դ</w:t>
            </w:r>
            <w:r w:rsidRPr="005A26DE">
              <w:rPr>
                <w:rStyle w:val="Bodytext29pt2"/>
                <w:sz w:val="20"/>
                <w:szCs w:val="20"/>
              </w:rPr>
              <w:t>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8408 20 510 2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95" w:right="44" w:hanging="65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շարժիչի գլանների 2500 սմ³-ից ոչ պակաս, բայց 3000 սմ³-ից ոչ ավելի աշխատանքային ծավալով, 8701-8705 ապրանքային դիրքերում ընդգրկված շարժիչային տրանսպորտային միջոցների արդյունաբերական հավաքման համար՝ բացի 8408 20 100 0 ստորաենթադիրքում նշված շարժիչային տրանսպորտային միջոցներից, գյուղատնտեսական կամ անտառատնտեսական անվավոր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8408 20 550 2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67" w:right="44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շարժիչի գլանների 2500 սմ³-ից ոչ պակաս, բայց 3000 սմ³-ից ոչ ավելի աշխատանքային ծավալով, 8701-8705 ապրանքային դիրքերում ընդգրկված շարժիչային տրանսպորտային միջոցների արդյունաբերական հավաքման համար՝ բացի 8408 20 100 0 ստորաենթադիրքում նշված շարժիչային տրանսպորտային միջոցներից, գյուղատնտեսական կամ </w:t>
            </w:r>
            <w:r w:rsidRPr="005A26DE">
              <w:rPr>
                <w:sz w:val="20"/>
                <w:szCs w:val="20"/>
              </w:rPr>
              <w:lastRenderedPageBreak/>
              <w:t>անտառատնտեսական անվավոր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8408 20 571 1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807" w:right="44" w:hanging="77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շարժիչի գլանների 2500 սմ³-ից ոչ պակաս, բայց 3000 սմ³-ից ոչ ավելի աշխատանքային ծավալով,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8408 20 579 1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807" w:right="30" w:hanging="78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շարժիչի գլանների 2500 սմ³-ից ոչ պակաս, բայց 3000 սմ³-ից ոչ ավելի աշխատանքային ծավալով, 8701-8705 ապրանքային դիրքերում ընդգրկված շարժիչային տրանսպորտային միջոցների արդյունաբերական հավաքման համար՝ բացի 8408 20 100 0 ստորաենթադիրքում նշված շարժիչային տրանսպորտային միջոցներից, գյուղատնտեսական կամ անտառատնտեսական անվավոր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8408 20 990 2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67" w:right="132" w:hanging="64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շարժիչի գլանների 2500 սմ³-ից ոչ պակաս, բայց 3000 սմ³-ից ոչ ավելի աշխատանքային ծավալով, 8701-8705 ապրանքային դիրքերում ընդգրկված շարժիչային տրանսպորտային միջոցների արդյունաբերական հավաքման համար՝ բացի 8408 20 100 0 ստորաենթադիրքում նշված շարժիչային տրանսպորտային միջոցներից, գյուղատնտեսական կամ անտառատնտեսական անվավոր տրակտորներից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8409 91 000 1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132" w:hanging="406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 նախատեսված շարժիչների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27Դ)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8409 99 000 1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15" w:right="132" w:hanging="392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 նախատեսված շարժիչների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8412 21 800 6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81" w:right="132" w:hanging="65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- 8701-8705 ապրանքային դիրքերում ընդգրկված շարժիչային տրանսպորտային միջոցների, դրանց հանգույցների եւ ագրեգատների </w:t>
            </w:r>
            <w:r w:rsidRPr="005A26DE">
              <w:rPr>
                <w:sz w:val="20"/>
                <w:szCs w:val="20"/>
              </w:rPr>
              <w:lastRenderedPageBreak/>
              <w:t>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8412 90 400 3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43" w:right="132" w:hanging="42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8482 10 100 1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72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8482 10 900 2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41" w:right="72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8482 20 000 1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016407">
            <w:pPr>
              <w:pStyle w:val="Bodytext20"/>
              <w:shd w:val="clear" w:color="auto" w:fill="auto"/>
              <w:spacing w:before="0" w:after="120" w:line="264" w:lineRule="auto"/>
              <w:ind w:left="289" w:right="72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8482 40 000 1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016407">
            <w:pPr>
              <w:pStyle w:val="Bodytext20"/>
              <w:shd w:val="clear" w:color="auto" w:fill="auto"/>
              <w:spacing w:before="0" w:after="120" w:line="264" w:lineRule="auto"/>
              <w:ind w:left="303" w:right="72" w:hanging="28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8482 50 000 1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016407">
            <w:pPr>
              <w:pStyle w:val="Bodytext20"/>
              <w:shd w:val="clear" w:color="auto" w:fill="auto"/>
              <w:spacing w:before="0" w:after="120" w:line="264" w:lineRule="auto"/>
              <w:ind w:left="289" w:right="72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8482 80 000 1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016407">
            <w:pPr>
              <w:pStyle w:val="Bodytext20"/>
              <w:shd w:val="clear" w:color="auto" w:fill="auto"/>
              <w:spacing w:before="0" w:after="120" w:line="264" w:lineRule="auto"/>
              <w:ind w:left="289" w:right="72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8483 10 210 1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541" w:right="72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8483 10 250 1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541" w:right="72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միջոցների, դրանց հանգույցների եւ ագրեգատների արդյունաբերական </w:t>
            </w:r>
            <w:r w:rsidRPr="005A26DE">
              <w:rPr>
                <w:sz w:val="20"/>
                <w:szCs w:val="20"/>
              </w:rPr>
              <w:lastRenderedPageBreak/>
              <w:t>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8483 10 290 1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541" w:right="72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8483 30 800 1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415" w:right="44" w:hanging="39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8483 90 200 1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15" w:right="44" w:hanging="39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8483 90 890 1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83" w:right="44" w:hanging="56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27Դ)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8507 10 200 2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44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- 5 կգ-ից ավելի զանգվածով,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>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5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39Դ)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8511 40 000 2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44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B377C2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3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8511 50 000 2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9B2C65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44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8511 90 100 2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403" w:right="45" w:hanging="38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5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ЗЗԴ)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8512 20 000 1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289" w:right="44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- 8701-8705 ապրանքային դիրքերում ընդգրկված շարժիչային տրանսպորտային միջոցների, </w:t>
            </w:r>
            <w:r w:rsidRPr="005A26DE">
              <w:rPr>
                <w:sz w:val="20"/>
                <w:szCs w:val="20"/>
              </w:rPr>
              <w:lastRenderedPageBreak/>
              <w:t>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40Դ)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8512 30 100 1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44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40Դ)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8512 30 900 1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44" w:hanging="40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40Դ)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8512 40 000 1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317" w:right="58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28Դ)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8512 90 900 1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լուսավորության, տեսողական կամ այլ ձայնային ազդանշանման սարքերի, ապակեմաքրիչների, հակասառցապատիչների եւ հակաքրտնակալիչների</w:t>
            </w:r>
            <w:r w:rsidR="008665CE" w:rsidRPr="005A26DE">
              <w:rPr>
                <w:rStyle w:val="Bodytext21"/>
                <w:sz w:val="20"/>
                <w:szCs w:val="20"/>
              </w:rPr>
              <w:t>, որոնք նախատեսված են</w:t>
            </w:r>
            <w:r w:rsidRPr="005A26DE">
              <w:rPr>
                <w:rStyle w:val="Bodytext21"/>
                <w:sz w:val="20"/>
                <w:szCs w:val="20"/>
              </w:rPr>
              <w:t xml:space="preserve">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40Դ)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8526 92 000 1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8527 21 200 1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8527 21 520 1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807" w:right="58" w:hanging="75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B377C2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8527 21 590 1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807" w:right="58" w:hanging="75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- 8701-8705 ապրանքային դիրքերում ընդգրկված շարժիչային տրանսպորտային միջոցների, դրանց հանգույցների եւ ագրեգատների </w:t>
            </w:r>
            <w:r w:rsidRPr="005A26DE">
              <w:rPr>
                <w:sz w:val="20"/>
                <w:szCs w:val="20"/>
              </w:rPr>
              <w:lastRenderedPageBreak/>
              <w:t>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B377C2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8527 29 000 1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+8536 20 100 1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8536 20 900 1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15" w:right="58" w:hanging="36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8536 50 110 1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8536 50 150 1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8536 50 190 1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34Դ)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8539 21 300 1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583" w:right="58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6416D3" w:rsidRPr="005A26DE" w:rsidRDefault="006416D3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35Դ)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8539 29 300 1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583" w:right="58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6416D3" w:rsidRPr="005A26DE" w:rsidRDefault="006416D3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33Դ)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+ 8543 70 300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415" w:right="58" w:hanging="36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- 8701-8705 ապրանքային դիրքերում ընդգրկված շարժիչային տրանսպորտային միջոցների, դրանց հանգույցների եւ </w:t>
            </w:r>
            <w:r w:rsidRPr="005A26DE">
              <w:rPr>
                <w:sz w:val="20"/>
                <w:szCs w:val="20"/>
              </w:rPr>
              <w:lastRenderedPageBreak/>
              <w:t>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6416D3" w:rsidRPr="005A26DE" w:rsidRDefault="006416D3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8544 30 000 1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D07210" w:rsidP="00E44F56">
            <w:pPr>
              <w:pStyle w:val="Bodytext20"/>
              <w:shd w:val="clear" w:color="auto" w:fill="auto"/>
              <w:spacing w:before="0" w:after="120" w:line="240" w:lineRule="auto"/>
              <w:ind w:left="317" w:right="58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6416D3" w:rsidRPr="005A26DE" w:rsidRDefault="006416D3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3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41Դ)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8544 49 930 1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821" w:right="58" w:hanging="77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6416D3" w:rsidRPr="005A26DE" w:rsidRDefault="006416D3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10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35Դ)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8544 60 900 1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416D3" w:rsidRPr="005A26DE" w:rsidRDefault="00D07210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10</w:t>
            </w:r>
            <w:r w:rsidRPr="005A26DE">
              <w:rPr>
                <w:sz w:val="20"/>
                <w:szCs w:val="20"/>
                <w:vertAlign w:val="superscript"/>
              </w:rPr>
              <w:t>41Դ)</w:t>
            </w:r>
          </w:p>
        </w:tc>
      </w:tr>
      <w:tr w:rsidR="006416D3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6416D3" w:rsidRPr="005A26DE" w:rsidRDefault="006416D3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8547 20 000 1</w:t>
            </w:r>
          </w:p>
        </w:tc>
        <w:tc>
          <w:tcPr>
            <w:tcW w:w="4678" w:type="dxa"/>
            <w:shd w:val="clear" w:color="auto" w:fill="FFFFFF"/>
          </w:tcPr>
          <w:p w:rsidR="006416D3" w:rsidRPr="005A26DE" w:rsidRDefault="00D07210" w:rsidP="00E44F56">
            <w:pPr>
              <w:pStyle w:val="Bodytext20"/>
              <w:shd w:val="clear" w:color="auto" w:fill="auto"/>
              <w:spacing w:before="0" w:after="120" w:line="240" w:lineRule="auto"/>
              <w:ind w:left="289" w:right="58" w:hanging="23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6416D3" w:rsidRPr="005A26DE" w:rsidRDefault="006416D3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8706 00 910 1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42Դ)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8707 10 100 0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D07210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36Դ)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8708 10 100 0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D07210" w:rsidP="00016407">
            <w:pPr>
              <w:pStyle w:val="Bodytext20"/>
              <w:shd w:val="clear" w:color="auto" w:fill="auto"/>
              <w:spacing w:before="0" w:after="120" w:line="240" w:lineRule="auto"/>
              <w:ind w:left="300" w:right="57" w:hanging="249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արդյունաբերական հավաքման համար՝ 8703</w:t>
            </w:r>
            <w:r w:rsidR="00E44F56" w:rsidRPr="00E44F56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ապրանքային դիրքում ընդգրկված տրանսպորտային միջոցների, 8704 ապրանքային դիրքում ընդգրկված՝ սեղմումով բոցավառվող ներքին այրման մխոցային շարժիչով (դիզելով կամ կիսադիզելով) եւ</w:t>
            </w:r>
            <w:r w:rsidR="005A26DE" w:rsidRPr="005A26DE">
              <w:rPr>
                <w:rStyle w:val="Bodytext21"/>
                <w:sz w:val="20"/>
                <w:szCs w:val="20"/>
              </w:rPr>
              <w:t xml:space="preserve"> </w:t>
            </w:r>
            <w:r w:rsidRPr="005A26DE">
              <w:rPr>
                <w:rStyle w:val="Bodytext21"/>
                <w:sz w:val="20"/>
                <w:szCs w:val="20"/>
              </w:rPr>
              <w:t>2500</w:t>
            </w:r>
            <w:r w:rsidR="00E44F56" w:rsidRPr="00E44F56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սմ³-ից ոչ ավելի շարժիչի գլանների աշխատանքային ծավալով կամ կայծային բռնկմամբ ներքին այրման մխոցային շարժիչով ու</w:t>
            </w:r>
            <w:r w:rsidR="005A26DE" w:rsidRPr="005A26DE">
              <w:rPr>
                <w:rStyle w:val="Bodytext21"/>
                <w:sz w:val="20"/>
                <w:szCs w:val="20"/>
              </w:rPr>
              <w:t xml:space="preserve"> </w:t>
            </w:r>
            <w:r w:rsidRPr="005A26DE">
              <w:rPr>
                <w:rStyle w:val="Bodytext21"/>
                <w:sz w:val="20"/>
                <w:szCs w:val="20"/>
              </w:rPr>
              <w:t>2800 սմ³-ից ոչ ավելի շարժիչի գլանների աշխատանքային ծավալով տրանսպորտային միջոցների, 8705</w:t>
            </w:r>
            <w:r w:rsidR="00E44F56" w:rsidRPr="00E44F56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ապրանքային դիրքում ընդգրկված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8708 10 900 1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 արդյունաբերական հավաքման համար՝ բացի 8708 10 100 0 ստորաենթադիրքում նշված շարժիչային տրանսպորտային միջոցներից,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 xml:space="preserve">8701-8705 ապրանքային դիրքերում ընդգրկված շարժիչային տրանսպորտային միջոցների հանգույցների եւ ագրեգատների </w:t>
            </w:r>
            <w:r w:rsidRPr="005A26DE">
              <w:rPr>
                <w:sz w:val="20"/>
                <w:szCs w:val="20"/>
              </w:rPr>
              <w:lastRenderedPageBreak/>
              <w:t>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8708 21 100 0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արդյունաբերական հավաքման համար՝ 8703</w:t>
            </w:r>
            <w:r w:rsidR="00E44F56" w:rsidRPr="00E44F56">
              <w:rPr>
                <w:sz w:val="20"/>
                <w:szCs w:val="20"/>
              </w:rPr>
              <w:t> </w:t>
            </w:r>
            <w:r w:rsidRPr="005A26DE">
              <w:rPr>
                <w:sz w:val="20"/>
                <w:szCs w:val="20"/>
              </w:rPr>
              <w:t>ապրանքային դիրքում ընդգրկված տրանսպորտային միջոցների, 8704 ապրանքային դիրքում ընդգրկված՝ սեղմումով բոցավառվող ներքին այրման մխոցային շարժիչով (դիզելով կամ կիսադիզելով) եւ 2500 սմ³-ից ոչ ավելի շարժիչի գլանների աշխատանքային ծավալով կամ կայծային բռնկմամբ ներքին այրման մխոցային շարժիչով ու 2800 սմ³-ից ոչ ավելի շարժիչի գլանների աշխատանքային ծավալով տրանսպորտային միջոցների, 8705</w:t>
            </w:r>
            <w:r w:rsidR="00E44F56" w:rsidRPr="00E44F56">
              <w:rPr>
                <w:sz w:val="20"/>
                <w:szCs w:val="20"/>
              </w:rPr>
              <w:t> </w:t>
            </w:r>
            <w:r w:rsidRPr="005A26DE">
              <w:rPr>
                <w:sz w:val="20"/>
                <w:szCs w:val="20"/>
              </w:rPr>
              <w:t>ապրանքային դիրքում ընդգրկված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8708 21 900 1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443" w:right="58" w:hanging="39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- 8701-8705 ապրանքային դիրքերում ընդգրկված շարժիչային տրանսպորտային միջոցների արդյունաբերական հավաքման համար՝ բացի 8708 21 100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8708 29 100 0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431" w:right="57" w:hanging="380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արդյունաբերական հավաքման համար՝ 8701</w:t>
            </w:r>
            <w:r w:rsidR="00E44F56" w:rsidRPr="00E44F56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10 ենթադիրքում նշված միասռնի տրակտորների, 8703 ապրանքային դիրքում ընդգրկված տրանսպորտային միջոցների, 8704 ապրանքային դիրքում ընդգրկված՝ սեղմումով բոցավառվող ներքին այրման մխոցային շարժիչով (դիզելով կամ կիսադիզելով) եւ 2500 սմ³-ից ոչ ավելի շարժիչի գլանների աշխատանքային ծավալով կամ կայծային բռնկմամբ ներքին այրման մխոցային շարժիչով ու 2800 սմ³-ից ոչ ավելի շարժիչի գլանների աշխատանքային ծավալով տրանսպորտային միջոցների, 8705 ապրանքային դիրքում ընդգրկված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8708 29 900 1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 արդյունաբերական հավաքման համար՝ բացի 8708 29 100 0 </w:t>
            </w:r>
            <w:r w:rsidRPr="005A26DE">
              <w:rPr>
                <w:sz w:val="20"/>
                <w:szCs w:val="20"/>
              </w:rPr>
              <w:lastRenderedPageBreak/>
              <w:t>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8708 30 100 0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16574A" w:rsidP="009745B1">
            <w:pPr>
              <w:pStyle w:val="Bodytext20"/>
              <w:shd w:val="clear" w:color="auto" w:fill="auto"/>
              <w:spacing w:before="0" w:after="120" w:line="240" w:lineRule="auto"/>
              <w:ind w:left="289" w:right="58" w:hanging="23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արդյունաբերական հավաքման համար՝ 8701</w:t>
            </w:r>
            <w:r w:rsidR="009745B1" w:rsidRPr="009745B1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10 ենթադիրքում նշված միասռնի տրակտորների, 8703 ապրանքային դիրքում ընդգրկված տրանսպորտային միջոցների, 8704</w:t>
            </w:r>
            <w:r w:rsidR="009745B1" w:rsidRPr="009745B1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ապրանքային դիրքում ընդգրկված՝ սեղմումով բոցավառվող ներքին այրման մխոցային շարժիչով (դիզելով կամ կիսադիզելով) եւ 2500</w:t>
            </w:r>
            <w:r w:rsidR="009745B1" w:rsidRPr="009745B1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սմ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</w:t>
            </w:r>
            <w:r w:rsidRPr="005A26DE">
              <w:rPr>
                <w:rStyle w:val="Bodytext21"/>
                <w:sz w:val="20"/>
                <w:szCs w:val="20"/>
              </w:rPr>
              <w:t>-ից ոչ ավելի շարժիչի գլանների աշխատանքային ծավալով կամ կայծային բռնկմամբ ներքին այրման մխոցային շարժիչով ու 2800 սմ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3</w:t>
            </w:r>
            <w:r w:rsidRPr="005A26DE">
              <w:rPr>
                <w:rStyle w:val="Bodytext21"/>
                <w:sz w:val="20"/>
                <w:szCs w:val="20"/>
              </w:rPr>
              <w:t>-ից ոչ ավելի շարժիչի գլանների աշխատանքային ծավալով տրանսպորտային միջոցների, 8705 ապրանքային դիրքում ընդգրկված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8708 30 910 1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30 100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8708 90 100 1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30 100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8708 40 200 1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փոխանցման տուփեր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8708 40 200 9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մասեր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8708 40 500 1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583" w:right="58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 արդյունաբերական հավաքման </w:t>
            </w:r>
            <w:r w:rsidRPr="005A26DE">
              <w:rPr>
                <w:sz w:val="20"/>
                <w:szCs w:val="20"/>
              </w:rPr>
              <w:lastRenderedPageBreak/>
              <w:t>համար՝ բացի 8708 40 200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8708 40 910 1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40 200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t>0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8708 40 990 1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40 200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t>0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8708 50 200 1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443" w:right="58" w:hanging="39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տանող կամրջակներ՝ դիֆերենցիալով, հավաքված կամ փոխհաղորդչի մյուս դետալներից առանձին, եւ չտանող կամրջակներ, չտանող կամրջակների մասերը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0"/>
                <w:sz w:val="20"/>
                <w:szCs w:val="20"/>
              </w:rPr>
              <w:t>0</w:t>
            </w:r>
            <w:r w:rsidRPr="005A26DE">
              <w:rPr>
                <w:rStyle w:val="Bodytext29pt0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8708 50 350 1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41" w:right="58" w:hanging="49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50 200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8708 50 550 1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- 8701-8705 ապրանքային դիրքերում ընդգրկված շարժիչային տրանսպորտային միջոցների արդյունաբերական հավաքման համար՝ բացի 8708 50 200 </w:t>
            </w:r>
            <w:r w:rsidRPr="005A26DE">
              <w:rPr>
                <w:sz w:val="20"/>
                <w:szCs w:val="20"/>
              </w:rPr>
              <w:lastRenderedPageBreak/>
              <w:t>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8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8708 50 910 1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821" w:right="58" w:hanging="77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 արդյունաբերական հավաքման համար՝ բացի 8708 50 200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8708 50 990 1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821" w:right="58" w:hanging="77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 արդյունաբերական հավաքման համար՝ բացի 8708 50 200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"/>
                <w:sz w:val="20"/>
                <w:szCs w:val="20"/>
              </w:rPr>
              <w:t>0</w:t>
            </w:r>
            <w:r w:rsidRPr="005A26DE">
              <w:rPr>
                <w:rStyle w:val="Bodytext219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8708 70 100 0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16574A" w:rsidP="009745B1">
            <w:pPr>
              <w:pStyle w:val="Bodytext20"/>
              <w:shd w:val="clear" w:color="auto" w:fill="auto"/>
              <w:spacing w:before="0" w:after="60" w:line="240" w:lineRule="auto"/>
              <w:ind w:left="303" w:right="132" w:hanging="252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արդյունաբերական հավաքման համար՝ 8701</w:t>
            </w:r>
            <w:r w:rsidR="009745B1" w:rsidRPr="009745B1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10 ենթադիրքում նշված միասռնի տրակտորների, 8703 ապրանքային դիրքում ընդգրկված տրանսպորտային միջոցների, 8704 ապրանքային դիրքում ընդգրկված՝ սեղմումով բոցավառվող ներքին այրման մխոցային շարժիչով (դիզելով կամ կիսադիզելով) եւ 2500</w:t>
            </w:r>
            <w:r w:rsidR="009745B1" w:rsidRPr="009745B1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սմ³-ից ոչ ավելի շարժիչի գլանների աշխատանքային ծավալով կամ կայծային բռնկմամբ ներքին այրման մխոցային շարժիչով ու 2800 սմ³-ից ոչ ավելի շարժիչի գլանների աշխատանքային ծավալով տրանսպորտային միջոցների, 8705</w:t>
            </w:r>
            <w:r w:rsidR="009745B1" w:rsidRPr="009745B1">
              <w:rPr>
                <w:rStyle w:val="Bodytext21"/>
                <w:sz w:val="20"/>
                <w:szCs w:val="20"/>
              </w:rPr>
              <w:t> </w:t>
            </w:r>
            <w:r w:rsidRPr="005A26DE">
              <w:rPr>
                <w:rStyle w:val="Bodytext21"/>
                <w:sz w:val="20"/>
                <w:szCs w:val="20"/>
              </w:rPr>
              <w:t>ապրանքային դիրքում ընդգրկված տրանսպորտային միջոցների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8708 70 500 1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 արդյունաբերական հավաքման համար՝ բացի 8708 70 100 0 </w:t>
            </w:r>
            <w:r w:rsidRPr="005A26DE">
              <w:rPr>
                <w:sz w:val="20"/>
                <w:szCs w:val="20"/>
              </w:rPr>
              <w:lastRenderedPageBreak/>
              <w:t>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2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2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8708 70 910 1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97" w:right="58" w:hanging="54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70 100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0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8708 70 990 1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83" w:right="58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70 100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3"/>
                <w:sz w:val="20"/>
                <w:szCs w:val="20"/>
              </w:rPr>
              <w:t>0</w:t>
            </w:r>
            <w:r w:rsidRPr="005A26DE">
              <w:rPr>
                <w:rStyle w:val="Bodytext29pt3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8708 80 200 1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կախոցի հարվածամեղմիչներ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3"/>
                <w:sz w:val="20"/>
                <w:szCs w:val="20"/>
              </w:rPr>
              <w:t>0</w:t>
            </w:r>
            <w:r w:rsidRPr="005A26DE">
              <w:rPr>
                <w:rStyle w:val="Bodytext29pt3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8708 80 200 9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1"/>
                <w:sz w:val="20"/>
                <w:szCs w:val="20"/>
              </w:rPr>
              <w:t>- - - այլ</w:t>
            </w:r>
            <w:r w:rsidRPr="005A26DE">
              <w:rPr>
                <w:rStyle w:val="Bodytext2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3"/>
                <w:sz w:val="20"/>
                <w:szCs w:val="20"/>
              </w:rPr>
              <w:t>0</w:t>
            </w:r>
            <w:r w:rsidRPr="005A26DE">
              <w:rPr>
                <w:rStyle w:val="Bodytext29pt3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8708 80 350 1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41" w:right="58" w:hanging="49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80 200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8708 80 550 1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 արդյունաբերական հավաքման համար՝ բացի 8708 80 200 ստորաենթադիրքում նշված շարժիչային տրանսպորտային միջոցներից, 8701-8705 ապրանքային դիրքերում ընդգրկված շարժիչային տրանսպորտային միջոցների </w:t>
            </w:r>
            <w:r w:rsidRPr="005A26DE">
              <w:rPr>
                <w:sz w:val="20"/>
                <w:szCs w:val="20"/>
              </w:rPr>
              <w:lastRenderedPageBreak/>
              <w:t>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lastRenderedPageBreak/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8708 80 910 1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680" w:right="57" w:hanging="629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80 200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1"/>
                <w:sz w:val="20"/>
                <w:szCs w:val="20"/>
              </w:rPr>
              <w:t>0</w:t>
            </w:r>
            <w:r w:rsidRPr="005A26DE">
              <w:rPr>
                <w:rStyle w:val="Bodytext28pt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8708 80 990 1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680" w:right="57" w:hanging="629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80 200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1"/>
                <w:sz w:val="20"/>
                <w:szCs w:val="20"/>
              </w:rPr>
              <w:t>0</w:t>
            </w:r>
            <w:r w:rsidRPr="005A26DE">
              <w:rPr>
                <w:rStyle w:val="Bodytext28pt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8708 91 200 1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16574A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ռադիատորներ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pt1"/>
                <w:sz w:val="20"/>
                <w:szCs w:val="20"/>
              </w:rPr>
              <w:t>0</w:t>
            </w:r>
            <w:r w:rsidRPr="005A26DE">
              <w:rPr>
                <w:rStyle w:val="Bodytext28pt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8708 91 350 1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667" w:right="58" w:hanging="61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91 200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8708 91 910 1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793" w:right="58" w:hanging="74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 արդյունաբերական հավաքման համար՝ բացի 8708 91 200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8708 91 990 1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821" w:right="58" w:hanging="77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- 8701-8705 ապրանքային դիրքերում </w:t>
            </w:r>
            <w:r w:rsidRPr="005A26DE">
              <w:rPr>
                <w:sz w:val="20"/>
                <w:szCs w:val="20"/>
              </w:rPr>
              <w:lastRenderedPageBreak/>
              <w:t>ընդգրկված շարժիչային տրանսպորտային միջոցների արդյունաբերական հավաքման համար՝ բացի 8708 91 200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4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4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8708 92 200 1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խլացուցիչներ եւ արտանետիչ խողովակներ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4"/>
                <w:sz w:val="20"/>
                <w:szCs w:val="20"/>
              </w:rPr>
              <w:t>0</w:t>
            </w:r>
            <w:r w:rsidRPr="005A26DE">
              <w:rPr>
                <w:rStyle w:val="Bodytext29pt4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8708 92 200 9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մասեր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4"/>
                <w:sz w:val="20"/>
                <w:szCs w:val="20"/>
              </w:rPr>
              <w:t>0</w:t>
            </w:r>
            <w:r w:rsidRPr="005A26DE">
              <w:rPr>
                <w:rStyle w:val="Bodytext29pt4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8708 92 350 1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680" w:right="57" w:hanging="629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92 200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4"/>
                <w:sz w:val="20"/>
                <w:szCs w:val="20"/>
              </w:rPr>
              <w:t>0</w:t>
            </w:r>
            <w:r w:rsidRPr="005A26DE">
              <w:rPr>
                <w:rStyle w:val="Bodytext29pt4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8708 92 910 1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793" w:right="58" w:hanging="74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 արդյունաբերական հավաքման համար՝ բացի 8708 92 200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ind w:left="1140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85pt"/>
                <w:sz w:val="20"/>
                <w:szCs w:val="20"/>
              </w:rPr>
              <w:t>0</w:t>
            </w:r>
            <w:r w:rsidRPr="005A26DE">
              <w:rPr>
                <w:rStyle w:val="Bodytext285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8708 92 990 1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821" w:right="58" w:hanging="77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- 8701-8705 ապրանքային դիրքերում ընդգրկված շարժիչային տրանսպորտային միջոցների արդյունաբերական հավաքման համար՝ բացի 8708 92 200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ind w:left="1140"/>
              <w:jc w:val="left"/>
              <w:rPr>
                <w:sz w:val="20"/>
                <w:szCs w:val="20"/>
              </w:rPr>
            </w:pPr>
            <w:r w:rsidRPr="005A26DE">
              <w:rPr>
                <w:rStyle w:val="Bodytext285pt"/>
                <w:sz w:val="20"/>
                <w:szCs w:val="20"/>
              </w:rPr>
              <w:t>0</w:t>
            </w:r>
            <w:r w:rsidRPr="005A26DE">
              <w:rPr>
                <w:rStyle w:val="Bodytext285pt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lastRenderedPageBreak/>
              <w:t>8708 93 100 0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9745B1">
            <w:pPr>
              <w:pStyle w:val="Bodytext20"/>
              <w:shd w:val="clear" w:color="auto" w:fill="auto"/>
              <w:spacing w:before="0" w:after="120" w:line="240" w:lineRule="auto"/>
              <w:ind w:left="415" w:right="58" w:hanging="36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արդյունաբերական հավաքման համար՝ 8701</w:t>
            </w:r>
            <w:r w:rsidR="009745B1" w:rsidRPr="009745B1">
              <w:rPr>
                <w:sz w:val="20"/>
                <w:szCs w:val="20"/>
              </w:rPr>
              <w:t> </w:t>
            </w:r>
            <w:r w:rsidRPr="005A26DE">
              <w:rPr>
                <w:sz w:val="20"/>
                <w:szCs w:val="20"/>
              </w:rPr>
              <w:t>10 ենթադիրքում նշված միասռնի տրակտորների, 8703 ապրանքային դիրքում ընդգրկված տրանսպորտային միջոցների, 8704 ապրանքային դիրքում ընդգրկված` սեղմումով բոցավառվող ներքին այրման մխոցային շարժիչով (դիզելով կամ կիսադիզելով) եւ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>2500 սմ³-ից ոչ ավելի շարժիչի գլանների աշխատանքային ծավալով կամ կայծային բռնկմամբ ներքին այրման մխոցային շարժիչով ու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>2800 սմ³-ից ոչ ավելի շարժիչի գլանների աշխատանքային ծավալով տրանսպորտային միջոցների, 8705 ապրանքային դիրքում ընդգրկված տրանսպորտային միջոցների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1"/>
                <w:sz w:val="20"/>
                <w:szCs w:val="20"/>
              </w:rPr>
              <w:t>0</w:t>
            </w:r>
            <w:r w:rsidRPr="005A26DE">
              <w:rPr>
                <w:rStyle w:val="Bodytext219pt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8708 93 900 1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83" w:right="58" w:hanging="53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 արդյունաբերական հավաքման համար՝ բացի 8708 93 100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1"/>
                <w:sz w:val="20"/>
                <w:szCs w:val="20"/>
              </w:rPr>
              <w:t>0</w:t>
            </w:r>
            <w:r w:rsidRPr="005A26DE">
              <w:rPr>
                <w:rStyle w:val="Bodytext219pt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8708 94 200 1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ղեկային անիվներ, ղեկասյունակներ եւ ղեկային մեխանիզմների հենատուփեր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1"/>
                <w:sz w:val="20"/>
                <w:szCs w:val="20"/>
              </w:rPr>
              <w:t>0</w:t>
            </w:r>
            <w:r w:rsidRPr="005A26DE">
              <w:rPr>
                <w:rStyle w:val="Bodytext219pt1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8708 94 200 9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51" w:right="5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մասեր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5"/>
                <w:sz w:val="20"/>
                <w:szCs w:val="20"/>
              </w:rPr>
              <w:t>0</w:t>
            </w:r>
            <w:r w:rsidRPr="005A26DE">
              <w:rPr>
                <w:rStyle w:val="Bodytext29pt5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8708 94 350 1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695" w:right="58" w:hanging="644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94 200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5"/>
                <w:sz w:val="20"/>
                <w:szCs w:val="20"/>
              </w:rPr>
              <w:t>0</w:t>
            </w:r>
            <w:r w:rsidRPr="005A26DE">
              <w:rPr>
                <w:rStyle w:val="Bodytext29pt5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8708 94 910 1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833" w:right="57" w:hanging="78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- 8701-8705 ապրանքային դիրքերում ընդգրկված շարժիչային տրանսպորտային միջոցների արդյունաբերական հավաքման համար՝ բացի 8708 94 200 ստորաենթադիրքում նշված շարժիչային տրանսպորտային </w:t>
            </w:r>
            <w:r w:rsidRPr="005A26DE">
              <w:rPr>
                <w:sz w:val="20"/>
                <w:szCs w:val="20"/>
              </w:rPr>
              <w:lastRenderedPageBreak/>
              <w:t>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5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5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8708 94 990 1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101465">
            <w:pPr>
              <w:pStyle w:val="Bodytext20"/>
              <w:shd w:val="clear" w:color="auto" w:fill="auto"/>
              <w:spacing w:before="0" w:after="120" w:line="240" w:lineRule="auto"/>
              <w:ind w:left="667" w:right="58" w:hanging="61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94 200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5pt0"/>
                <w:sz w:val="20"/>
                <w:szCs w:val="20"/>
              </w:rPr>
              <w:t>0</w:t>
            </w:r>
            <w:r w:rsidRPr="005A26DE">
              <w:rPr>
                <w:rStyle w:val="Bodytext285pt0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8708 95 100 0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9745B1">
            <w:pPr>
              <w:pStyle w:val="Bodytext20"/>
              <w:shd w:val="clear" w:color="auto" w:fill="auto"/>
              <w:spacing w:before="0" w:after="120" w:line="240" w:lineRule="auto"/>
              <w:ind w:left="414" w:right="57" w:hanging="363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արդյունաբերական հավաքման համար՝ 8703</w:t>
            </w:r>
            <w:r w:rsidR="009745B1" w:rsidRPr="009745B1">
              <w:rPr>
                <w:sz w:val="20"/>
                <w:szCs w:val="20"/>
              </w:rPr>
              <w:t> </w:t>
            </w:r>
            <w:r w:rsidRPr="005A26DE">
              <w:rPr>
                <w:sz w:val="20"/>
                <w:szCs w:val="20"/>
              </w:rPr>
              <w:t>ապրանքային դիրքում ընդգրկված տրանսպորտային միջոցների, 8704 ապրանքային դիրքում ընդգրկված` սեղմումով բոցավառվող ներքին այրման մխոցային շարժիչով (դիզելով կամ կիսադիզելով) եւ 2500 սմ³-ից ոչ ավելի շարժիչի գլանների աշխատանքային ծավալով կամ կայծային բռնկմամբ ներքին այրման մխոցային շարժիչով ու 2800 սմ³-ից ոչ ավելի շարժիչի գլանների աշխատանքային ծավալով տրանսպորտային միջոցների, 8705 ապրանքային դիրքում նշված տրանսպորտային միջոցների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5pt0"/>
                <w:sz w:val="20"/>
                <w:szCs w:val="20"/>
              </w:rPr>
              <w:t>0</w:t>
            </w:r>
            <w:r w:rsidRPr="005A26DE">
              <w:rPr>
                <w:rStyle w:val="Bodytext285pt0"/>
                <w:sz w:val="20"/>
                <w:szCs w:val="20"/>
                <w:vertAlign w:val="superscript"/>
              </w:rPr>
              <w:t>25Դ)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1"/>
                <w:sz w:val="20"/>
                <w:szCs w:val="20"/>
              </w:rPr>
              <w:t>8708 95 910 1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95 100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9p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6"/>
                <w:sz w:val="20"/>
                <w:szCs w:val="20"/>
              </w:rPr>
              <w:t>0</w:t>
            </w:r>
            <w:r w:rsidRPr="005A26DE">
              <w:rPr>
                <w:rStyle w:val="Bodytext29pt6"/>
                <w:sz w:val="20"/>
                <w:szCs w:val="20"/>
                <w:vertAlign w:val="superscript"/>
              </w:rPr>
              <w:t>25Դ)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19pt1"/>
                <w:sz w:val="20"/>
                <w:szCs w:val="20"/>
              </w:rPr>
              <w:t>+ 8708 95 990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- 8701-8705 ապրանքային դիրքերում ընդգրկված շարժիչային տրանսպորտային միջոցների արդյունաբերական հավաքման համար՝ բացի 8708 95 100 0 ստորաենթադիրքում նշված շարժիչային </w:t>
            </w:r>
            <w:r w:rsidRPr="005A26DE">
              <w:rPr>
                <w:sz w:val="20"/>
                <w:szCs w:val="20"/>
              </w:rPr>
              <w:lastRenderedPageBreak/>
              <w:t>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rStyle w:val="Bodytext219pt1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6"/>
                <w:sz w:val="20"/>
                <w:szCs w:val="20"/>
              </w:rPr>
              <w:lastRenderedPageBreak/>
              <w:t>0</w:t>
            </w:r>
            <w:r w:rsidRPr="005A26DE">
              <w:rPr>
                <w:rStyle w:val="Bodytext29pt6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8708 99 100 0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9745B1">
            <w:pPr>
              <w:pStyle w:val="Bodytext20"/>
              <w:shd w:val="clear" w:color="auto" w:fill="auto"/>
              <w:spacing w:before="0" w:after="120" w:line="240" w:lineRule="auto"/>
              <w:ind w:left="429" w:right="58" w:hanging="37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արդյունաբերական հավաքման համար՝ 8701</w:t>
            </w:r>
            <w:r w:rsidR="009745B1" w:rsidRPr="009745B1">
              <w:rPr>
                <w:sz w:val="20"/>
                <w:szCs w:val="20"/>
              </w:rPr>
              <w:t> </w:t>
            </w:r>
            <w:r w:rsidRPr="005A26DE">
              <w:rPr>
                <w:sz w:val="20"/>
                <w:szCs w:val="20"/>
              </w:rPr>
              <w:t>10 ենթադիրքում նշված միասռնի տրակտորների, 8703 ապրանքային դիրքում ընդգրկված տրանսպորտային միջոցների, 8704 ապրանքային դիրքում ընդգրկված` սեղմումով բոցավառվող ներքին այրման մխոցային շարժիչով (դիզելով կամ կիսադիզելով) եւ 2500 սմ³-ից ոչ ավելի շարժիչի գլանների աշխատանքային ծավալով կամ կայծային բռնկմամբ ներքին այրման մխոցային շարժիչով ու 2800 սմ³-ից ոչ ավելի շարժիչի գլանների աշխատանքային ծավալով տրանսպորտային միջոցների, 8705</w:t>
            </w:r>
            <w:r w:rsidR="009745B1" w:rsidRPr="009745B1">
              <w:rPr>
                <w:sz w:val="20"/>
                <w:szCs w:val="20"/>
              </w:rPr>
              <w:t> </w:t>
            </w:r>
            <w:r w:rsidRPr="005A26DE">
              <w:rPr>
                <w:sz w:val="20"/>
                <w:szCs w:val="20"/>
              </w:rPr>
              <w:t>ապրանքային դիրքում ընդգրկված տրանսպորտային միջոցներիի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6"/>
                <w:sz w:val="20"/>
                <w:szCs w:val="20"/>
              </w:rPr>
              <w:t>0</w:t>
            </w:r>
            <w:r w:rsidRPr="005A26DE">
              <w:rPr>
                <w:rStyle w:val="Bodytext29pt6"/>
                <w:sz w:val="20"/>
                <w:szCs w:val="20"/>
                <w:vertAlign w:val="superscript"/>
              </w:rPr>
              <w:t>25Դ)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8708 99 930 1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99 100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9pt6"/>
                <w:sz w:val="20"/>
                <w:szCs w:val="20"/>
              </w:rPr>
              <w:t>0</w:t>
            </w:r>
            <w:r w:rsidRPr="005A26DE">
              <w:rPr>
                <w:rStyle w:val="Bodytext29pt6"/>
                <w:sz w:val="20"/>
                <w:szCs w:val="20"/>
                <w:vertAlign w:val="superscript"/>
              </w:rPr>
              <w:t>25Դ)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8708 99 970 1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ind w:left="681" w:right="58" w:hanging="630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- 8701-8705 ապրանքային դիրքերում ընդգրկված շարժիչային տրանսպորտային միջոցների արդյունաբերական հավաքման համար՝ բացի 8708 99 100 0 ստորաենթադիրքում նշված շարժիչային տրանսպորտային միջոցներից, 8701-8705 ապրանքային դիրքերում ընդգրկված շարժիչային տրանսպորտային միջոցների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9025 19 800 1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569" w:right="58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 xml:space="preserve">- - - - 8701-8705 ապրանքային դիրքերում ընդգրկված շարժիչային տրանսպորտային միջոցների, դրանց հանգույցների եւ ագրեգատների արդյունաբերական </w:t>
            </w:r>
            <w:r w:rsidRPr="005A26DE">
              <w:rPr>
                <w:sz w:val="20"/>
                <w:szCs w:val="20"/>
              </w:rPr>
              <w:lastRenderedPageBreak/>
              <w:t>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lastRenderedPageBreak/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+ 9025 90 000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289" w:right="58" w:hanging="23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0</w:t>
            </w:r>
            <w:r w:rsidRPr="005A26DE">
              <w:rPr>
                <w:sz w:val="20"/>
                <w:szCs w:val="20"/>
                <w:vertAlign w:val="superscript"/>
              </w:rPr>
              <w:t>25Դ)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9029 20 310 1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569" w:right="57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3</w:t>
            </w:r>
            <w:r w:rsidRPr="005A26DE">
              <w:rPr>
                <w:sz w:val="20"/>
                <w:szCs w:val="20"/>
                <w:vertAlign w:val="superscript"/>
              </w:rPr>
              <w:t>34Դ)</w:t>
            </w:r>
          </w:p>
        </w:tc>
      </w:tr>
      <w:tr w:rsidR="00CB540E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CB540E" w:rsidRPr="005A26DE" w:rsidRDefault="00CB540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+ 9029 90 000 1</w:t>
            </w:r>
          </w:p>
        </w:tc>
        <w:tc>
          <w:tcPr>
            <w:tcW w:w="4678" w:type="dxa"/>
            <w:shd w:val="clear" w:color="auto" w:fill="FFFFFF"/>
          </w:tcPr>
          <w:p w:rsidR="00CB540E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303" w:right="57" w:hanging="25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CB540E" w:rsidRPr="005A26DE" w:rsidRDefault="00CB540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5</w:t>
            </w:r>
            <w:r w:rsidRPr="005A26DE">
              <w:rPr>
                <w:sz w:val="20"/>
                <w:szCs w:val="20"/>
                <w:vertAlign w:val="superscript"/>
              </w:rPr>
              <w:t>34Դ)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9104 00 000 1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F3754D" w:rsidP="00016407">
            <w:pPr>
              <w:pStyle w:val="Bodytext20"/>
              <w:shd w:val="clear" w:color="auto" w:fill="auto"/>
              <w:spacing w:before="0" w:after="120" w:line="240" w:lineRule="auto"/>
              <w:ind w:left="177" w:right="57" w:hanging="12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5pt1"/>
                <w:sz w:val="20"/>
                <w:szCs w:val="20"/>
              </w:rPr>
              <w:t>0</w:t>
            </w:r>
            <w:r w:rsidRPr="005A26DE">
              <w:rPr>
                <w:rStyle w:val="Bodytext285pt1"/>
                <w:sz w:val="20"/>
                <w:szCs w:val="20"/>
                <w:vertAlign w:val="superscript"/>
              </w:rPr>
              <w:t>33Դ)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9401 20 000 1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317" w:right="57" w:hanging="266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5</w:t>
            </w:r>
            <w:r w:rsidRPr="005A26DE">
              <w:rPr>
                <w:sz w:val="20"/>
                <w:szCs w:val="20"/>
                <w:vertAlign w:val="superscript"/>
              </w:rPr>
              <w:t>43Դ)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9401 90 800 1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ED51EE" w:rsidP="00016407">
            <w:pPr>
              <w:pStyle w:val="Bodytext20"/>
              <w:shd w:val="clear" w:color="auto" w:fill="auto"/>
              <w:spacing w:before="0" w:after="120" w:line="240" w:lineRule="auto"/>
              <w:ind w:left="569" w:right="57" w:hanging="518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- - նստատեղերի՝ նախատեսված</w:t>
            </w:r>
            <w:r w:rsidR="005A26DE" w:rsidRPr="005A26DE">
              <w:rPr>
                <w:sz w:val="20"/>
                <w:szCs w:val="20"/>
              </w:rPr>
              <w:t xml:space="preserve"> </w:t>
            </w:r>
            <w:r w:rsidRPr="005A26DE">
              <w:rPr>
                <w:sz w:val="20"/>
                <w:szCs w:val="20"/>
              </w:rPr>
              <w:t>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5pt1"/>
                <w:sz w:val="20"/>
                <w:szCs w:val="20"/>
              </w:rPr>
              <w:t>0</w:t>
            </w:r>
            <w:r w:rsidRPr="005A26DE">
              <w:rPr>
                <w:rStyle w:val="Bodytext285pt1"/>
                <w:sz w:val="20"/>
                <w:szCs w:val="20"/>
                <w:vertAlign w:val="superscript"/>
              </w:rPr>
              <w:t>44Դ)</w:t>
            </w:r>
          </w:p>
        </w:tc>
      </w:tr>
      <w:tr w:rsidR="00014374" w:rsidRPr="005A26DE" w:rsidTr="00016407">
        <w:trPr>
          <w:jc w:val="center"/>
        </w:trPr>
        <w:tc>
          <w:tcPr>
            <w:tcW w:w="1993" w:type="dxa"/>
            <w:shd w:val="clear" w:color="auto" w:fill="FFFFFF"/>
          </w:tcPr>
          <w:p w:rsidR="00014374" w:rsidRPr="005A26DE" w:rsidRDefault="00ED51EE" w:rsidP="00E44F56">
            <w:pPr>
              <w:pStyle w:val="Bodytext20"/>
              <w:shd w:val="clear" w:color="auto" w:fill="auto"/>
              <w:spacing w:before="0" w:after="120" w:line="240" w:lineRule="auto"/>
              <w:ind w:left="14"/>
              <w:jc w:val="center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9603 50 000 1</w:t>
            </w:r>
          </w:p>
        </w:tc>
        <w:tc>
          <w:tcPr>
            <w:tcW w:w="4678" w:type="dxa"/>
            <w:shd w:val="clear" w:color="auto" w:fill="FFFFFF"/>
          </w:tcPr>
          <w:p w:rsidR="00014374" w:rsidRPr="005A26DE" w:rsidRDefault="00CB540E" w:rsidP="00016407">
            <w:pPr>
              <w:pStyle w:val="Bodytext20"/>
              <w:shd w:val="clear" w:color="auto" w:fill="auto"/>
              <w:spacing w:before="0" w:after="120" w:line="240" w:lineRule="auto"/>
              <w:ind w:left="303" w:right="57" w:hanging="252"/>
              <w:jc w:val="left"/>
              <w:rPr>
                <w:sz w:val="20"/>
                <w:szCs w:val="20"/>
              </w:rPr>
            </w:pPr>
            <w:r w:rsidRPr="005A26DE">
              <w:rPr>
                <w:sz w:val="20"/>
                <w:szCs w:val="20"/>
              </w:rPr>
              <w:t>- - 8701-8705 ապրանքային դիրքերում ընդգրկված շարժիչային տրանսպորտային միջոցների, դրանց հանգույցների եւ ագրեգատների արդյունաբերական հավաքման համար</w:t>
            </w:r>
            <w:r w:rsidRPr="005A26DE">
              <w:rPr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693" w:type="dxa"/>
            <w:shd w:val="clear" w:color="auto" w:fill="FFFFFF"/>
          </w:tcPr>
          <w:p w:rsidR="00014374" w:rsidRPr="005A26DE" w:rsidRDefault="00ED51EE" w:rsidP="005A26D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5A26DE">
              <w:rPr>
                <w:rStyle w:val="Bodytext285pt1"/>
                <w:sz w:val="20"/>
                <w:szCs w:val="20"/>
              </w:rPr>
              <w:t>0</w:t>
            </w:r>
            <w:r w:rsidRPr="005A26DE">
              <w:rPr>
                <w:rStyle w:val="Bodytext285pt1"/>
                <w:sz w:val="20"/>
                <w:szCs w:val="20"/>
                <w:vertAlign w:val="superscript"/>
              </w:rPr>
              <w:t>36Դ)</w:t>
            </w:r>
          </w:p>
        </w:tc>
      </w:tr>
    </w:tbl>
    <w:p w:rsidR="00014374" w:rsidRDefault="00014374" w:rsidP="005A26DE">
      <w:pPr>
        <w:spacing w:after="160" w:line="360" w:lineRule="auto"/>
        <w:rPr>
          <w:rFonts w:ascii="Sylfaen" w:hAnsi="Sylfaen"/>
          <w:lang w:val="en-US"/>
        </w:rPr>
      </w:pPr>
    </w:p>
    <w:p w:rsidR="00101465" w:rsidRPr="00101465" w:rsidRDefault="00101465" w:rsidP="00101465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________________</w:t>
      </w:r>
    </w:p>
    <w:sectPr w:rsidR="00101465" w:rsidRPr="00101465" w:rsidSect="00101465">
      <w:footerReference w:type="default" r:id="rId9"/>
      <w:pgSz w:w="11900" w:h="16840" w:code="9"/>
      <w:pgMar w:top="1418" w:right="1418" w:bottom="1418" w:left="1418" w:header="0" w:footer="78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32" w:rsidRDefault="00C56232" w:rsidP="00014374">
      <w:r>
        <w:separator/>
      </w:r>
    </w:p>
  </w:endnote>
  <w:endnote w:type="continuationSeparator" w:id="0">
    <w:p w:rsidR="00C56232" w:rsidRDefault="00C56232" w:rsidP="000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6740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101465" w:rsidRPr="00101465" w:rsidRDefault="0027363E">
        <w:pPr>
          <w:pStyle w:val="Footer"/>
          <w:jc w:val="center"/>
          <w:rPr>
            <w:rFonts w:ascii="Sylfaen" w:hAnsi="Sylfaen"/>
          </w:rPr>
        </w:pPr>
        <w:r w:rsidRPr="00101465">
          <w:rPr>
            <w:rFonts w:ascii="Sylfaen" w:hAnsi="Sylfaen"/>
          </w:rPr>
          <w:fldChar w:fldCharType="begin"/>
        </w:r>
        <w:r w:rsidR="00101465" w:rsidRPr="00101465">
          <w:rPr>
            <w:rFonts w:ascii="Sylfaen" w:hAnsi="Sylfaen"/>
          </w:rPr>
          <w:instrText xml:space="preserve"> PAGE   \* MERGEFORMAT </w:instrText>
        </w:r>
        <w:r w:rsidRPr="00101465">
          <w:rPr>
            <w:rFonts w:ascii="Sylfaen" w:hAnsi="Sylfaen"/>
          </w:rPr>
          <w:fldChar w:fldCharType="separate"/>
        </w:r>
        <w:r w:rsidR="009745B1">
          <w:rPr>
            <w:rFonts w:ascii="Sylfaen" w:hAnsi="Sylfaen"/>
            <w:noProof/>
          </w:rPr>
          <w:t>19</w:t>
        </w:r>
        <w:r w:rsidRPr="0010146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32" w:rsidRDefault="00C56232"/>
  </w:footnote>
  <w:footnote w:type="continuationSeparator" w:id="0">
    <w:p w:rsidR="00C56232" w:rsidRDefault="00C562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473"/>
    <w:multiLevelType w:val="multilevel"/>
    <w:tmpl w:val="353816B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374"/>
    <w:rsid w:val="00014374"/>
    <w:rsid w:val="00016407"/>
    <w:rsid w:val="000D2446"/>
    <w:rsid w:val="00101465"/>
    <w:rsid w:val="00104A8D"/>
    <w:rsid w:val="00115CC6"/>
    <w:rsid w:val="0016574A"/>
    <w:rsid w:val="001E43E3"/>
    <w:rsid w:val="002704F6"/>
    <w:rsid w:val="0027363E"/>
    <w:rsid w:val="00292979"/>
    <w:rsid w:val="0035260D"/>
    <w:rsid w:val="003941B0"/>
    <w:rsid w:val="00395461"/>
    <w:rsid w:val="003C7538"/>
    <w:rsid w:val="003D0A8E"/>
    <w:rsid w:val="004D4226"/>
    <w:rsid w:val="00523240"/>
    <w:rsid w:val="0052347B"/>
    <w:rsid w:val="005A26DE"/>
    <w:rsid w:val="005D55E0"/>
    <w:rsid w:val="005F4E75"/>
    <w:rsid w:val="006416D3"/>
    <w:rsid w:val="00661DEA"/>
    <w:rsid w:val="006B3722"/>
    <w:rsid w:val="00724D72"/>
    <w:rsid w:val="007C5920"/>
    <w:rsid w:val="007D2AA2"/>
    <w:rsid w:val="007D7C05"/>
    <w:rsid w:val="00817B5B"/>
    <w:rsid w:val="008665CE"/>
    <w:rsid w:val="008930A0"/>
    <w:rsid w:val="009562F2"/>
    <w:rsid w:val="009745B1"/>
    <w:rsid w:val="009B2C65"/>
    <w:rsid w:val="009B5008"/>
    <w:rsid w:val="009B6006"/>
    <w:rsid w:val="009F2C0E"/>
    <w:rsid w:val="00A443C0"/>
    <w:rsid w:val="00B377C2"/>
    <w:rsid w:val="00B94560"/>
    <w:rsid w:val="00BA7881"/>
    <w:rsid w:val="00BD0F87"/>
    <w:rsid w:val="00BD35FB"/>
    <w:rsid w:val="00C56232"/>
    <w:rsid w:val="00C657A5"/>
    <w:rsid w:val="00CB540E"/>
    <w:rsid w:val="00D05FD1"/>
    <w:rsid w:val="00D07210"/>
    <w:rsid w:val="00D463CF"/>
    <w:rsid w:val="00DF1097"/>
    <w:rsid w:val="00E44F56"/>
    <w:rsid w:val="00ED51EE"/>
    <w:rsid w:val="00EE631E"/>
    <w:rsid w:val="00F30238"/>
    <w:rsid w:val="00F3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6FE969-88D7-4CBC-92E3-2CEFEB4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437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437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014374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01437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14374"/>
    <w:rPr>
      <w:rFonts w:ascii="Sylfaen" w:eastAsia="Sylfaen" w:hAnsi="Sylfaen" w:cs="Sylfae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01437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01437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2pt">
    <w:name w:val="Body text (4) + Spacing 2 pt"/>
    <w:basedOn w:val="Bodytext4"/>
    <w:rsid w:val="0001437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2pt0">
    <w:name w:val="Body text (2) + 12 pt"/>
    <w:aliases w:val="Spacing 1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9pt0">
    <w:name w:val="Body text (2) + 1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8pt0">
    <w:name w:val="Body text (2) + 8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12pt1">
    <w:name w:val="Body text (2) + 12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9pt">
    <w:name w:val="Body text (2) + 9 pt"/>
    <w:aliases w:val="Spacing 1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0">
    <w:name w:val="Body text (2) + 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1">
    <w:name w:val="Body text (2) + 9 pt"/>
    <w:aliases w:val="Spacing 1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2">
    <w:name w:val="Body text (2) + 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3">
    <w:name w:val="Body text (2) + 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19pt1">
    <w:name w:val="Body text (2) + 1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8pt1">
    <w:name w:val="Body text (2) + 8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9pt4">
    <w:name w:val="Body text (2) + 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9pt5">
    <w:name w:val="Body text (2) + 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85pt">
    <w:name w:val="Body text (2) + 8.5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85pt0">
    <w:name w:val="Body text (2) + 8.5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9pt6">
    <w:name w:val="Body text (2) + 9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85pt1">
    <w:name w:val="Body text (2) + 8.5 pt"/>
    <w:basedOn w:val="Bodytext2"/>
    <w:rsid w:val="000143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14374"/>
    <w:pPr>
      <w:shd w:val="clear" w:color="auto" w:fill="FFFFFF"/>
      <w:spacing w:before="120" w:after="120" w:line="0" w:lineRule="atLeast"/>
      <w:jc w:val="center"/>
    </w:pPr>
    <w:rPr>
      <w:rFonts w:ascii="Sylfaen" w:eastAsia="Sylfaen" w:hAnsi="Sylfaen" w:cs="Sylfaen"/>
      <w:sz w:val="32"/>
      <w:szCs w:val="32"/>
    </w:rPr>
  </w:style>
  <w:style w:type="paragraph" w:customStyle="1" w:styleId="Heading10">
    <w:name w:val="Heading #1"/>
    <w:basedOn w:val="Normal"/>
    <w:link w:val="Heading1"/>
    <w:rsid w:val="00014374"/>
    <w:pPr>
      <w:shd w:val="clear" w:color="auto" w:fill="FFFFFF"/>
      <w:spacing w:before="120" w:after="900" w:line="0" w:lineRule="atLeast"/>
      <w:jc w:val="center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014374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14374"/>
    <w:pPr>
      <w:shd w:val="clear" w:color="auto" w:fill="FFFFFF"/>
      <w:spacing w:before="540" w:line="518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Bodytext40">
    <w:name w:val="Body text (4)"/>
    <w:basedOn w:val="Normal"/>
    <w:link w:val="Bodytext4"/>
    <w:rsid w:val="00014374"/>
    <w:pPr>
      <w:shd w:val="clear" w:color="auto" w:fill="FFFFFF"/>
      <w:spacing w:before="540" w:after="540" w:line="346" w:lineRule="exact"/>
      <w:jc w:val="center"/>
    </w:pPr>
    <w:rPr>
      <w:rFonts w:ascii="Sylfaen" w:eastAsia="Sylfaen" w:hAnsi="Sylfaen" w:cs="Sylfae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D72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72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46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46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0146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46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146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4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 Ivanyan</cp:lastModifiedBy>
  <cp:revision>28</cp:revision>
  <dcterms:created xsi:type="dcterms:W3CDTF">2018-12-11T06:33:00Z</dcterms:created>
  <dcterms:modified xsi:type="dcterms:W3CDTF">2022-07-13T12:51:00Z</dcterms:modified>
</cp:coreProperties>
</file>