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67EF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4"/>
      <w:bookmarkStart w:id="1" w:name="_Toc431286938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5</w:t>
      </w:r>
      <w:bookmarkEnd w:id="0"/>
      <w:bookmarkEnd w:id="1"/>
    </w:p>
    <w:p w14:paraId="6B322C97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39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40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7EE584DA" w14:textId="77777777" w:rsidR="00C320FE" w:rsidRPr="00485CFE" w:rsidRDefault="00C320FE" w:rsidP="00485CFE">
      <w:pPr>
        <w:widowControl w:val="0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4626A3E5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 w:cs="Sylfaen"/>
          <w:sz w:val="24"/>
          <w:szCs w:val="24"/>
          <w:lang w:val="hy-AM"/>
        </w:rPr>
      </w:pPr>
      <w:bookmarkStart w:id="4" w:name="bookmark5"/>
      <w:bookmarkStart w:id="5" w:name="_Toc431286941"/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bookmarkEnd w:id="4"/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 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ԿԱՆՈՆԱԿԱՐԳԻՆ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bookmarkEnd w:id="5"/>
    </w:p>
    <w:p w14:paraId="536A560B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</w:p>
    <w:p w14:paraId="3173B34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3EB13EA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աղյուսակում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կատեգորիայից։</w:t>
      </w:r>
    </w:p>
    <w:p w14:paraId="30BD4551" w14:textId="36E27172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6818F430" w14:textId="77777777" w:rsidR="00C320FE" w:rsidRPr="00485CFE" w:rsidRDefault="00C320FE" w:rsidP="00485CFE">
      <w:pPr>
        <w:widowControl w:val="0"/>
        <w:spacing w:after="16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br w:type="page"/>
      </w:r>
    </w:p>
    <w:p w14:paraId="205CC562" w14:textId="77777777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lastRenderedPageBreak/>
        <w:t>Աղյուսակ</w:t>
      </w:r>
      <w:r w:rsidRPr="00485CFE">
        <w:rPr>
          <w:rFonts w:ascii="GHEA Grapalat" w:hAnsi="GHEA Grapalat"/>
          <w:sz w:val="24"/>
          <w:szCs w:val="24"/>
        </w:rPr>
        <w:t xml:space="preserve"> 5.1</w:t>
      </w: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49"/>
        <w:gridCol w:w="2160"/>
        <w:gridCol w:w="2251"/>
        <w:gridCol w:w="2323"/>
      </w:tblGrid>
      <w:tr w:rsidR="00C320FE" w:rsidRPr="00485CFE" w14:paraId="7AFB7748" w14:textId="77777777" w:rsidTr="00C320FE">
        <w:trPr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D02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կատեգորիա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E9C5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քանակ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8B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14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տոննա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D268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բաշխումն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տոննա</w:t>
            </w:r>
          </w:p>
        </w:tc>
      </w:tr>
      <w:tr w:rsidR="00C320FE" w:rsidRPr="00485CFE" w14:paraId="4F967509" w14:textId="77777777" w:rsidTr="00C320FE">
        <w:trPr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C037D" w14:textId="77777777" w:rsidR="00C320FE" w:rsidRPr="00485CFE" w:rsidRDefault="00C320FE" w:rsidP="00485CFE">
            <w:pPr>
              <w:widowControl w:val="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E8F79" w14:textId="77777777" w:rsidR="00C320FE" w:rsidRPr="00485CFE" w:rsidRDefault="00C320FE" w:rsidP="00485CFE">
            <w:pPr>
              <w:widowControl w:val="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316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354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0A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Չտանող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</w:t>
            </w:r>
          </w:p>
        </w:tc>
      </w:tr>
      <w:tr w:rsidR="00C320FE" w:rsidRPr="00485CFE" w14:paraId="330CFA53" w14:textId="77777777" w:rsidTr="00C320FE">
        <w:trPr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4B096" w14:textId="77777777" w:rsidR="00C320FE" w:rsidRPr="00485CFE" w:rsidRDefault="00C320FE" w:rsidP="00485CFE">
            <w:pPr>
              <w:pStyle w:val="2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Т1, Т2, Т4.1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74DE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5320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18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BE69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11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B133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C320FE" w:rsidRPr="00485CFE" w14:paraId="61C5C477" w14:textId="77777777" w:rsidTr="00C320FE">
        <w:trPr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EC17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B8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E3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24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0AC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11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B3E6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C320FE" w:rsidRPr="00485CFE" w14:paraId="7D741FA6" w14:textId="77777777" w:rsidTr="00C320F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FB4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A717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2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EBAC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0,6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FCC5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E147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</w:tr>
      <w:tr w:rsidR="00C320FE" w:rsidRPr="00485CFE" w14:paraId="5C39182E" w14:textId="77777777" w:rsidTr="00C320F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F1E6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Т4.3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E8CC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2, 3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B27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079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5FEB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</w:tr>
      <w:tr w:rsidR="00C320FE" w:rsidRPr="00485CFE" w14:paraId="587520BA" w14:textId="77777777" w:rsidTr="00C320FE">
        <w:trPr>
          <w:jc w:val="center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7FE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18" w:right="79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&lt;*&gt;Т3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Т4.3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բաշխումն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քանի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Т3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Т4.3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ունեն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առանց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սահմանափակումներ։</w:t>
            </w:r>
          </w:p>
        </w:tc>
      </w:tr>
      <w:tr w:rsidR="00C320FE" w:rsidRPr="00485CFE" w14:paraId="5841FBEF" w14:textId="77777777" w:rsidTr="00C320FE">
        <w:trPr>
          <w:jc w:val="center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6EEA" w14:textId="77777777" w:rsidR="00DD1977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4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Ծանոթագրություն՝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42CDD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48" w:firstLine="54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Այս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պահանջները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տարածվում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միայն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այն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վրա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որոնք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ներկայացվում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աղյուսակում։</w:t>
            </w:r>
          </w:p>
        </w:tc>
      </w:tr>
    </w:tbl>
    <w:p w14:paraId="766AECD8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7F0CFF5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20%-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0ABD9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BC43FA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առաքվեն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կիլոգրամներով՝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± 5%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սխալանքով։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հանելու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տարածությունը։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կանխամտածված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2CA7A9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</w:t>
      </w:r>
    </w:p>
    <w:p w14:paraId="6CCE41B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կոռոզիադիմացկուն։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հերմետիկությունը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FBC905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կափարիչի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քանակությամբ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հոսքը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FF9C7D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անքներից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C74A7C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Վառելիքամուղները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բերանները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դուրս։</w:t>
      </w:r>
    </w:p>
    <w:p w14:paraId="5256206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ստուգմանը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2569B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/>
          <w:sz w:val="24"/>
          <w:szCs w:val="24"/>
          <w:lang w:val="hy-AM"/>
        </w:rPr>
        <w:t>թ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շարժահաղորդ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հաճախությունը։</w:t>
      </w:r>
    </w:p>
    <w:p w14:paraId="2F55F6C3" w14:textId="77777777" w:rsidR="00DD1977" w:rsidRPr="00485CFE" w:rsidRDefault="00DD197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FE869C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անցումով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ուղղություններով։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մակերեսը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տոկոսից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թեքություն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22F20C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ռեժիմում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ճնշմանը։</w:t>
      </w:r>
    </w:p>
    <w:p w14:paraId="45096D8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գլորման՝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շառավղով։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BC8C5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տուփի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մատակարարմանը։</w:t>
      </w:r>
    </w:p>
    <w:p w14:paraId="7D60E8C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անճշտությունները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նպատակով։</w:t>
      </w:r>
    </w:p>
    <w:p w14:paraId="09D002B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045B2E" w14:textId="77777777" w:rsidR="00C320FE" w:rsidRPr="00485CFE" w:rsidRDefault="00AB3A3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5.1.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E2AB87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F4B03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անվաղուրների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նրանից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119CE4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լայնությունը։</w:t>
      </w:r>
    </w:p>
    <w:p w14:paraId="460C5E6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14:paraId="638D73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1500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44865BD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չխոչընդոտեն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7DBF9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անջատումը։</w:t>
      </w:r>
    </w:p>
    <w:p w14:paraId="002CBD9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F71C4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II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46 (02)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A9ED8C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պահպանվի։</w:t>
      </w:r>
    </w:p>
    <w:p w14:paraId="1AF0363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հայելիով։</w:t>
      </w:r>
    </w:p>
    <w:p w14:paraId="0C5CE4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6.4.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պարզ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ճանապարհահատվածը։</w:t>
      </w:r>
    </w:p>
    <w:p w14:paraId="62C819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դիմապակու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դրանցով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18B85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09FE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6.7.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չափերից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0,2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ը։</w:t>
      </w:r>
    </w:p>
    <w:p w14:paraId="219D6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տեղից։</w:t>
      </w:r>
    </w:p>
    <w:p w14:paraId="2EB4E49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.9.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հնարավորություն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կարգավորելու՝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գտնվելով։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պահանջվող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կողմից։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կարգավորումը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կետ։</w:t>
      </w:r>
    </w:p>
    <w:p w14:paraId="6CB18AE8" w14:textId="77777777" w:rsidR="00C320FE" w:rsidRPr="00485CFE" w:rsidRDefault="00C320FE" w:rsidP="00485CFE">
      <w:pPr>
        <w:pStyle w:val="20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6.9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վերադառնում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կիրառման։</w:t>
      </w:r>
    </w:p>
    <w:p w14:paraId="722AC64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հորիզոնական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հարթությանը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հարթությունից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14:paraId="6E04EC6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EE133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միացումը։</w:t>
      </w:r>
    </w:p>
    <w:p w14:paraId="41632E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502373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ներկայացնի։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հարթությունների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հեռավորությունը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կենտրոնով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60-</w:t>
      </w:r>
      <w:r w:rsidRPr="00485CFE">
        <w:rPr>
          <w:rFonts w:ascii="GHEA Grapalat" w:hAnsi="GHEA Grapalat"/>
          <w:sz w:val="24"/>
          <w:szCs w:val="24"/>
          <w:lang w:val="hy-AM"/>
        </w:rPr>
        <w:t>1.5+0.5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բռնիչի՝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(62 ± 0,5)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մմ։</w:t>
      </w:r>
    </w:p>
    <w:p w14:paraId="110D957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 xml:space="preserve">+1,5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խոռոչից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չտվող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չլինի։</w:t>
      </w:r>
    </w:p>
    <w:p w14:paraId="512CF26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45CBF1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351B0B5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698E5D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5AC664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ելուստները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մեծացումը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մինչ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3,1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ճանապարհային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երթ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եկության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ապահովման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(Т4.2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կատեգորիայի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լայնությունը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4,4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).</w:t>
      </w:r>
    </w:p>
    <w:p w14:paraId="11DB8C2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բարձրությունը՝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մ։</w:t>
      </w:r>
    </w:p>
    <w:p w14:paraId="2E9B908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210449E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ելուստները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չառնելով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3C94325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մ։</w:t>
      </w:r>
    </w:p>
    <w:p w14:paraId="1C5BB3A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</w:p>
    <w:p w14:paraId="0508FB0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92BC5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C513BE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զանգվածը։</w:t>
      </w:r>
    </w:p>
    <w:p w14:paraId="63744AB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F6305A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հաջորդիվ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կողմից։</w:t>
      </w:r>
    </w:p>
    <w:p w14:paraId="14DBBF5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</w:p>
    <w:p w14:paraId="4D483B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փոխարինվի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տեքստը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կարդացվող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</w:p>
    <w:p w14:paraId="6730E73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221DB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9D9CF7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eastAsia="MS Mincho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տարատեսակը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3F7E81B" w14:textId="51D0E81F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8904DA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2FF73C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D08918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7CC3966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66E97D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BC498A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022294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09952E28" w14:textId="50593906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B1866F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232A83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5C6BE5F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26270C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ուղղանկյուններից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հավելվածում։</w:t>
      </w:r>
    </w:p>
    <w:p w14:paraId="058E3F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1A0E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համակցություն։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երաշխավորել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ընթացքում։</w:t>
      </w:r>
    </w:p>
    <w:p w14:paraId="2B9E4E4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32DDEA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տողում։</w:t>
      </w:r>
    </w:p>
    <w:p w14:paraId="41C34C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դրոշմելու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ջնջվելու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անհնարինությունը։</w:t>
      </w:r>
    </w:p>
    <w:p w14:paraId="7C5B1F1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Նշանները</w:t>
      </w:r>
    </w:p>
    <w:p w14:paraId="4EC3DB7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ռուսերենով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օրենսդրությունում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արաբական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թվանշաններ։</w:t>
      </w:r>
    </w:p>
    <w:p w14:paraId="4AC6591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լատիներեն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մեծատառեր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«I», «O», «Q»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գծիկների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աստղանշանների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թույլատրվում։</w:t>
      </w:r>
    </w:p>
    <w:p w14:paraId="3654956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65F5812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668164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322C41B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կցորդիչին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66E2F19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ոտքի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լծակներից։</w:t>
      </w:r>
    </w:p>
    <w:p w14:paraId="2B5ADF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լծակով։</w:t>
      </w:r>
    </w:p>
    <w:p w14:paraId="584F8DE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13 (10)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բնութագրերին։</w:t>
      </w:r>
    </w:p>
    <w:p w14:paraId="7F02C79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կանգառը։</w:t>
      </w:r>
    </w:p>
    <w:p w14:paraId="28AF66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6C00539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</w:p>
    <w:p w14:paraId="639408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տեսակի։</w:t>
      </w:r>
    </w:p>
    <w:p w14:paraId="41086AB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5676-2010-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ընդգրկվող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կիսակցորդիչը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AF21BE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գլխիկում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բացակայությունը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10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15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pacing w:val="-6"/>
          <w:sz w:val="24"/>
          <w:szCs w:val="24"/>
          <w:lang w:val="hy-AM"/>
        </w:rPr>
        <w:t>։</w:t>
      </w:r>
    </w:p>
    <w:p w14:paraId="35258D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աղբյուրից։</w:t>
      </w:r>
    </w:p>
    <w:p w14:paraId="7CA098E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17328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երկլարանի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սկսվի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6CF9757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սկսվի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91C916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1728-2010-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ին։</w:t>
      </w:r>
    </w:p>
    <w:p w14:paraId="1802EC5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0,65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0,8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332A4B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08E6072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BAC40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1A24DBE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ուղղանկյունաձ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չափսերով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313E88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7DCC802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165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մմ։</w:t>
      </w:r>
    </w:p>
    <w:p w14:paraId="295DFED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ամրացումը</w:t>
      </w:r>
    </w:p>
    <w:p w14:paraId="160726E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կատարումը։</w:t>
      </w:r>
    </w:p>
    <w:p w14:paraId="2B6C0B6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FDB9E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աջ։</w:t>
      </w:r>
    </w:p>
    <w:p w14:paraId="22D1535F" w14:textId="77777777" w:rsidR="00DF53BD" w:rsidRPr="00485CFE" w:rsidRDefault="00DF53BD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781A9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աչքի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հատվածով։</w:t>
      </w:r>
    </w:p>
    <w:p w14:paraId="41A0B36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D0E3D4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գործնականորեն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ուղղահայաց։</w:t>
      </w:r>
    </w:p>
    <w:p w14:paraId="3651604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E73FF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5°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թերաչափսով։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կոնֆիգուրացիան՝</w:t>
      </w:r>
    </w:p>
    <w:p w14:paraId="448D94B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30°-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առաջ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68FDE8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15°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բարձր։</w:t>
      </w:r>
    </w:p>
    <w:p w14:paraId="58584F3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EE39B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0CD5BD7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որոշումը</w:t>
      </w:r>
    </w:p>
    <w:p w14:paraId="7ED13EA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11.2.3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(75 ± 10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վառելիքաքսուքային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գործիքներով։</w:t>
      </w:r>
    </w:p>
    <w:p w14:paraId="3C5CE1F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հատկությունները</w:t>
      </w:r>
    </w:p>
    <w:p w14:paraId="52555FD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04A0A1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2372693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3BB17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(FOPS)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ներթափանցումից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3449-2009–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ի։</w:t>
      </w:r>
    </w:p>
    <w:p w14:paraId="4814AC9A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pacing w:val="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սարքվածքները՝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3463-2008-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5700-2008-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</w:t>
      </w:r>
    </w:p>
    <w:p w14:paraId="5C2E5F9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համապատասխանեն՝</w:t>
      </w:r>
    </w:p>
    <w:p w14:paraId="7A16274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8082-2004-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(ROPS)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EEDBF8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8083-2008-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(FOPS)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1DAB90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8084-2005-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7EF9007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ազդեցությունից</w:t>
      </w:r>
    </w:p>
    <w:p w14:paraId="31945EB4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EN 15695-1-2011-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>, 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ուղեցույցի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2401E82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Թունաքիմիկատների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փոշիացման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սարքավորումներով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EN 15695-1-2011-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ով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մակարդակի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833BB9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3B07C2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5496C39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12.2.019-2005-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6DA94AE" w14:textId="77777777" w:rsidR="00DF53BD" w:rsidRPr="00485CFE" w:rsidRDefault="00DF53B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A86B7B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ազդանշանիչներով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1D42E5E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2A79F96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13478-2006-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30879-2003-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սրահի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):</w:t>
      </w:r>
    </w:p>
    <w:p w14:paraId="24629AC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կրակմարիչներ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5D85F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08C2FCE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31177-2003-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B6D87A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3F9178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կառուցվածքի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տարրերը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սպասարկման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փոխադրման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վտանգ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գունավորում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գույները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նշանները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12.4.026-2001-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>:</w:t>
      </w:r>
    </w:p>
    <w:p w14:paraId="3608B9C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Ծպեղային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շղթաներն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ուղեցույցի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Ամբարձչի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դրոշմվում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26336-97-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07CB435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1BE2F76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դեղարկղիկի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արտահագուստի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D394CD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ողողիչներով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4A45663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դեմքը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ճառագայթներից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3700A8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պատուհանները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5C4FB04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բանալիով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փականքներ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եռակ՝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ամբողջովին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829B30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72C7338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չանցնի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ամենաբարձր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դիրքը։</w:t>
      </w:r>
    </w:p>
    <w:p w14:paraId="5F11475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հենակով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բեռնաթափումներ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4E9D6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09E8110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քանակությունները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E210D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49 (04)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5.2.1,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В1)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հարկադրական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այրմամբ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նավթային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9ACACA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96 (02)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1`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բոցավառվող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35A4551" w14:textId="61D8A789" w:rsidR="00C320FE" w:rsidRPr="00485CFE" w:rsidRDefault="00C320FE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t xml:space="preserve">14.2-14.3 Հանվել են: Եվրասիական տնտեսական հանձնաժողովի խորհրդի 2016 թվականի նոյեմբերի 30-ի </w:t>
      </w:r>
      <w:r w:rsidR="00D4501F" w:rsidRPr="00485CFE">
        <w:rPr>
          <w:rFonts w:ascii="GHEA Grapalat" w:hAnsi="GHEA Grapalat"/>
          <w:sz w:val="24"/>
          <w:szCs w:val="24"/>
        </w:rPr>
        <w:t>N</w:t>
      </w:r>
      <w:r w:rsidRPr="00485CFE">
        <w:rPr>
          <w:rFonts w:ascii="GHEA Grapalat" w:hAnsi="GHEA Grapalat"/>
          <w:sz w:val="24"/>
          <w:szCs w:val="24"/>
        </w:rPr>
        <w:t xml:space="preserve"> 126 որոշումը։</w:t>
      </w:r>
    </w:p>
    <w:sectPr w:rsidR="00C320FE" w:rsidRPr="00485CFE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F223" w14:textId="77777777" w:rsidR="0005514D" w:rsidRDefault="0005514D" w:rsidP="0086157E">
      <w:pPr>
        <w:spacing w:after="0" w:line="240" w:lineRule="auto"/>
      </w:pPr>
      <w:r>
        <w:separator/>
      </w:r>
    </w:p>
  </w:endnote>
  <w:endnote w:type="continuationSeparator" w:id="0">
    <w:p w14:paraId="01A28CBD" w14:textId="77777777" w:rsidR="0005514D" w:rsidRDefault="0005514D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A489" w14:textId="77777777" w:rsidR="0005514D" w:rsidRDefault="0005514D" w:rsidP="0086157E">
      <w:pPr>
        <w:spacing w:after="0" w:line="240" w:lineRule="auto"/>
      </w:pPr>
      <w:r>
        <w:separator/>
      </w:r>
    </w:p>
  </w:footnote>
  <w:footnote w:type="continuationSeparator" w:id="0">
    <w:p w14:paraId="303A6B45" w14:textId="77777777" w:rsidR="0005514D" w:rsidRDefault="0005514D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6"/>
  </w:num>
  <w:num w:numId="4">
    <w:abstractNumId w:val="23"/>
  </w:num>
  <w:num w:numId="5">
    <w:abstractNumId w:val="19"/>
  </w:num>
  <w:num w:numId="6">
    <w:abstractNumId w:val="0"/>
  </w:num>
  <w:num w:numId="7">
    <w:abstractNumId w:val="15"/>
  </w:num>
  <w:num w:numId="8">
    <w:abstractNumId w:val="5"/>
  </w:num>
  <w:num w:numId="9">
    <w:abstractNumId w:val="21"/>
  </w:num>
  <w:num w:numId="10">
    <w:abstractNumId w:val="18"/>
  </w:num>
  <w:num w:numId="11">
    <w:abstractNumId w:val="16"/>
  </w:num>
  <w:num w:numId="12">
    <w:abstractNumId w:val="27"/>
  </w:num>
  <w:num w:numId="13">
    <w:abstractNumId w:val="24"/>
  </w:num>
  <w:num w:numId="14">
    <w:abstractNumId w:val="1"/>
  </w:num>
  <w:num w:numId="15">
    <w:abstractNumId w:val="29"/>
  </w:num>
  <w:num w:numId="16">
    <w:abstractNumId w:val="25"/>
  </w:num>
  <w:num w:numId="17">
    <w:abstractNumId w:val="2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  <w:num w:numId="25">
    <w:abstractNumId w:val="30"/>
  </w:num>
  <w:num w:numId="26">
    <w:abstractNumId w:val="28"/>
  </w:num>
  <w:num w:numId="27">
    <w:abstractNumId w:val="17"/>
  </w:num>
  <w:num w:numId="28">
    <w:abstractNumId w:val="20"/>
  </w:num>
  <w:num w:numId="29">
    <w:abstractNumId w:val="8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5514D"/>
    <w:rsid w:val="00092288"/>
    <w:rsid w:val="0015341A"/>
    <w:rsid w:val="001A559E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405818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Lusine Khazarian</cp:lastModifiedBy>
  <cp:revision>11</cp:revision>
  <dcterms:created xsi:type="dcterms:W3CDTF">2021-07-15T11:31:00Z</dcterms:created>
  <dcterms:modified xsi:type="dcterms:W3CDTF">2021-11-29T10:58:00Z</dcterms:modified>
</cp:coreProperties>
</file>