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DA3B" w14:textId="5804D055" w:rsidR="00195199" w:rsidRPr="00195199" w:rsidRDefault="002B2DDD" w:rsidP="002B2DDD">
      <w:pPr>
        <w:widowControl w:val="0"/>
        <w:tabs>
          <w:tab w:val="left" w:pos="993"/>
        </w:tabs>
        <w:jc w:val="center"/>
        <w:rPr>
          <w:rFonts w:ascii="GHEA Mariam" w:hAnsi="GHEA Mariam"/>
          <w:bCs/>
          <w:sz w:val="22"/>
          <w:szCs w:val="22"/>
          <w:shd w:val="clear" w:color="auto" w:fill="FFFFFF"/>
        </w:rPr>
      </w:pP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</w:r>
      <w:r>
        <w:rPr>
          <w:rFonts w:ascii="GHEA Mariam" w:hAnsi="GHEA Mariam"/>
          <w:bCs/>
          <w:sz w:val="22"/>
          <w:szCs w:val="22"/>
          <w:shd w:val="clear" w:color="auto" w:fill="FFFFFF"/>
        </w:rPr>
        <w:tab/>
        <w:t xml:space="preserve">             </w:t>
      </w:r>
      <w:r w:rsidR="00195199" w:rsidRPr="00195199">
        <w:rPr>
          <w:rFonts w:ascii="GHEA Mariam" w:hAnsi="GHEA Mariam"/>
          <w:bCs/>
          <w:sz w:val="22"/>
          <w:szCs w:val="22"/>
          <w:shd w:val="clear" w:color="auto" w:fill="FFFFFF"/>
        </w:rPr>
        <w:t>Հավելված N 4</w:t>
      </w:r>
    </w:p>
    <w:p w14:paraId="2C523B32" w14:textId="77777777" w:rsidR="002B2DDD" w:rsidRDefault="00195199" w:rsidP="00195199">
      <w:pPr>
        <w:widowControl w:val="0"/>
        <w:tabs>
          <w:tab w:val="left" w:pos="993"/>
        </w:tabs>
        <w:jc w:val="right"/>
        <w:rPr>
          <w:rFonts w:ascii="GHEA Mariam" w:hAnsi="GHEA Mariam"/>
          <w:bCs/>
          <w:sz w:val="22"/>
          <w:szCs w:val="22"/>
          <w:shd w:val="clear" w:color="auto" w:fill="FFFFFF"/>
        </w:rPr>
      </w:pPr>
      <w:r w:rsidRPr="00195199">
        <w:rPr>
          <w:rFonts w:ascii="GHEA Mariam" w:hAnsi="GHEA Mariam"/>
          <w:bCs/>
          <w:sz w:val="22"/>
          <w:szCs w:val="22"/>
          <w:shd w:val="clear" w:color="auto" w:fill="FFFFFF"/>
        </w:rPr>
        <w:t xml:space="preserve">       </w:t>
      </w:r>
      <w:r w:rsidRPr="00195199">
        <w:rPr>
          <w:rFonts w:ascii="GHEA Mariam" w:hAnsi="GHEA Mariam"/>
          <w:bCs/>
          <w:sz w:val="22"/>
          <w:szCs w:val="22"/>
          <w:shd w:val="clear" w:color="auto" w:fill="FFFFFF"/>
        </w:rPr>
        <w:tab/>
        <w:t xml:space="preserve">    </w:t>
      </w:r>
      <w:r w:rsidRPr="00195199">
        <w:rPr>
          <w:rFonts w:ascii="GHEA Mariam" w:hAnsi="GHEA Mariam"/>
          <w:sz w:val="22"/>
          <w:szCs w:val="22"/>
        </w:rPr>
        <w:t>Հայաստանի Հանրապետության</w:t>
      </w:r>
      <w:r w:rsidRPr="00195199">
        <w:rPr>
          <w:rFonts w:ascii="GHEA Mariam" w:hAnsi="GHEA Mariam"/>
          <w:bCs/>
          <w:sz w:val="22"/>
          <w:szCs w:val="22"/>
          <w:shd w:val="clear" w:color="auto" w:fill="FFFFFF"/>
        </w:rPr>
        <w:t xml:space="preserve"> </w:t>
      </w:r>
    </w:p>
    <w:p w14:paraId="7533A104" w14:textId="77777777" w:rsidR="002B2DDD" w:rsidRDefault="00195199" w:rsidP="00195199">
      <w:pPr>
        <w:widowControl w:val="0"/>
        <w:tabs>
          <w:tab w:val="left" w:pos="993"/>
        </w:tabs>
        <w:jc w:val="right"/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</w:pPr>
      <w:r w:rsidRPr="00195199">
        <w:rPr>
          <w:rFonts w:ascii="GHEA Mariam" w:hAnsi="GHEA Mariam"/>
          <w:bCs/>
          <w:sz w:val="22"/>
          <w:szCs w:val="22"/>
          <w:shd w:val="clear" w:color="auto" w:fill="FFFFFF"/>
        </w:rPr>
        <w:t xml:space="preserve">կառավարության </w:t>
      </w:r>
      <w:r w:rsidRPr="00195199"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  <w:t xml:space="preserve">2019 թվականի </w:t>
      </w:r>
    </w:p>
    <w:p w14:paraId="14B65624" w14:textId="79957197" w:rsidR="00195199" w:rsidRPr="00195199" w:rsidRDefault="00195199" w:rsidP="00195199">
      <w:pPr>
        <w:widowControl w:val="0"/>
        <w:tabs>
          <w:tab w:val="left" w:pos="993"/>
        </w:tabs>
        <w:jc w:val="right"/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</w:pPr>
      <w:r w:rsidRPr="00195199"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  <w:t>օգոստոսի 1-ի N 1009</w:t>
      </w:r>
      <w:r w:rsidR="002B2DDD" w:rsidRPr="002B2DDD"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  <w:t>-</w:t>
      </w:r>
      <w:r w:rsidRPr="00195199">
        <w:rPr>
          <w:rFonts w:ascii="GHEA Mariam" w:hAnsi="GHEA Mariam"/>
          <w:bCs/>
          <w:sz w:val="22"/>
          <w:szCs w:val="22"/>
          <w:shd w:val="clear" w:color="auto" w:fill="FFFFFF"/>
          <w:lang w:val="hy-AM"/>
        </w:rPr>
        <w:t>Ն որոշման</w:t>
      </w:r>
    </w:p>
    <w:p w14:paraId="32136265" w14:textId="77777777" w:rsidR="00195199" w:rsidRPr="00195199" w:rsidRDefault="00195199" w:rsidP="00195199">
      <w:pPr>
        <w:ind w:firstLine="720"/>
        <w:jc w:val="right"/>
        <w:rPr>
          <w:rFonts w:ascii="GHEA Mariam" w:hAnsi="GHEA Mariam"/>
          <w:sz w:val="22"/>
          <w:szCs w:val="22"/>
          <w:lang w:val="hy-AM"/>
        </w:rPr>
      </w:pPr>
    </w:p>
    <w:p w14:paraId="2CB282D3" w14:textId="77777777" w:rsidR="00195199" w:rsidRPr="00195199" w:rsidRDefault="00195199" w:rsidP="00195199">
      <w:pPr>
        <w:pStyle w:val="ConsPlusTitle"/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5751B317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>ԵՎՐԱՍԻԱԿԱՆ ՏՆՏԵՍԱԿԱՆ ՀԱՆՁՆԱԺՈՂՈՎԻ ԽՈՐՀՈՒՐԴ</w:t>
      </w:r>
    </w:p>
    <w:p w14:paraId="74505C68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</w:p>
    <w:p w14:paraId="49F606EE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>ՈՐՈՇՈՒՄ</w:t>
      </w:r>
    </w:p>
    <w:p w14:paraId="7E74A9C1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>2017 թվականի սեպտեմբերի 15-ի թիվ 101</w:t>
      </w:r>
    </w:p>
    <w:p w14:paraId="5CA15463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</w:p>
    <w:p w14:paraId="342F3CCC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 xml:space="preserve">«ՀԱՑԱՀԱՏԻԿԻ ԱՆՎՏԱՆԳՈՒԹՅԱՆ ՄԱՍԻՆ» </w:t>
      </w:r>
      <w:r w:rsidRPr="00837B67">
        <w:rPr>
          <w:rFonts w:ascii="GHEA Mariam" w:hAnsi="GHEA Mariam"/>
          <w:sz w:val="22"/>
          <w:szCs w:val="22"/>
          <w:lang w:val="hy-AM"/>
        </w:rPr>
        <w:br/>
        <w:t>ՄԱՔՍԱՅԻՆ ՄԻՈՒԹՅԱՆ ՏԵԽՆԻԿԱԿԱՆ ԿԱՆՈՆԱԿԱՐԳԻ (ՄՄ ՏԿ 015/2011) ԹԻՎ 2 ՀԱՎԵԼՎԱԾՈՒՄ ՓՈՓՈԽՈՒԹՅՈՒՆ ԿԱՏԱՐԵԼՈՒ ՄԱՍԻՆ</w:t>
      </w:r>
    </w:p>
    <w:p w14:paraId="133C27FE" w14:textId="77777777" w:rsidR="00195199" w:rsidRPr="00837B67" w:rsidRDefault="00195199" w:rsidP="00195199">
      <w:pPr>
        <w:pStyle w:val="ConsPlusTitle"/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</w:p>
    <w:p w14:paraId="05D6F280" w14:textId="26DF7C60" w:rsidR="00195199" w:rsidRPr="00837B67" w:rsidRDefault="00195199" w:rsidP="00195199">
      <w:pPr>
        <w:pStyle w:val="ConsPlusNormal"/>
        <w:spacing w:line="48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 xml:space="preserve">«Եվրասիական տնտեսական միության մասին» 2014 թվականի մայիսի 29-ի պայմանագրի 52-րդ հոդվածին </w:t>
      </w:r>
      <w:r w:rsidR="00197DC9">
        <w:rPr>
          <w:rFonts w:ascii="GHEA Mariam" w:hAnsi="GHEA Mariam"/>
          <w:sz w:val="22"/>
          <w:szCs w:val="22"/>
          <w:lang w:val="hy-AM"/>
        </w:rPr>
        <w:t>և</w:t>
      </w:r>
      <w:r w:rsidRPr="00837B67">
        <w:rPr>
          <w:rFonts w:ascii="GHEA Mariam" w:hAnsi="GHEA Mariam"/>
          <w:sz w:val="22"/>
          <w:szCs w:val="22"/>
          <w:lang w:val="hy-AM"/>
        </w:rPr>
        <w:t xml:space="preserve"> Եվրասիական տնտեսական բարձրագույն խորհրդի` 2014 թվականի դեկտեմբերի 23-ի թիվ 98 որոշմամբ հաստատված «Եվրասիական տնտեսական հանձնաժողովի աշխատանքի կանոնակարգի» թիվ</w:t>
      </w:r>
      <w:r w:rsidRPr="00837B67">
        <w:rPr>
          <w:rFonts w:ascii="Calibri" w:hAnsi="Calibri" w:cs="Calibri"/>
          <w:sz w:val="22"/>
          <w:szCs w:val="22"/>
          <w:lang w:val="hy-AM"/>
        </w:rPr>
        <w:t> </w:t>
      </w:r>
      <w:r w:rsidRPr="00837B67">
        <w:rPr>
          <w:rFonts w:ascii="GHEA Mariam" w:hAnsi="GHEA Mariam"/>
          <w:sz w:val="22"/>
          <w:szCs w:val="22"/>
          <w:lang w:val="hy-AM"/>
        </w:rPr>
        <w:t>1 հավելվածի 29-րդ կետին համապատասխան` Եվրասիական տնտեսական հանձնաժողովի խորհուրդը որոշեց.</w:t>
      </w:r>
    </w:p>
    <w:p w14:paraId="2221C6F5" w14:textId="029298DA" w:rsidR="00195199" w:rsidRPr="00837B67" w:rsidRDefault="00195199" w:rsidP="00195199">
      <w:pPr>
        <w:pStyle w:val="ConsPlusNormal"/>
        <w:tabs>
          <w:tab w:val="left" w:pos="1134"/>
        </w:tabs>
        <w:spacing w:line="48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  <w:r w:rsidRPr="00837B67">
        <w:rPr>
          <w:rFonts w:ascii="GHEA Mariam" w:hAnsi="GHEA Mariam"/>
          <w:sz w:val="22"/>
          <w:szCs w:val="22"/>
          <w:lang w:val="hy-AM"/>
        </w:rPr>
        <w:t>1.</w:t>
      </w:r>
      <w:r w:rsidRPr="00837B67">
        <w:rPr>
          <w:rFonts w:ascii="GHEA Mariam" w:hAnsi="GHEA Mariam"/>
          <w:sz w:val="22"/>
          <w:szCs w:val="22"/>
          <w:lang w:val="hy-AM"/>
        </w:rPr>
        <w:tab/>
        <w:t>Մաքսային միության հանձնաժողովի 2011 թվականի դեկտեմբերի 9-ի թիվ 874 որոշմամբ ընդունված՝ «Հացահատիկի անվտանգության մասին» Մաքսային միության տեխնիկական կանոնակարգի (ՄՄ ՏԿ 015/2011) թիվ 2 հավելվածում կատարել հետ</w:t>
      </w:r>
      <w:r w:rsidR="00197DC9">
        <w:rPr>
          <w:rFonts w:ascii="GHEA Mariam" w:hAnsi="GHEA Mariam"/>
          <w:sz w:val="22"/>
          <w:szCs w:val="22"/>
          <w:lang w:val="hy-AM"/>
        </w:rPr>
        <w:t>և</w:t>
      </w:r>
      <w:r w:rsidRPr="00837B67">
        <w:rPr>
          <w:rFonts w:ascii="GHEA Mariam" w:hAnsi="GHEA Mariam"/>
          <w:sz w:val="22"/>
          <w:szCs w:val="22"/>
          <w:lang w:val="hy-AM"/>
        </w:rPr>
        <w:t>յալ փոփոխությունը՝</w:t>
      </w:r>
    </w:p>
    <w:p w14:paraId="04DA7029" w14:textId="24FAAF66" w:rsidR="00195199" w:rsidRPr="002B2DDD" w:rsidRDefault="00195199" w:rsidP="00195199">
      <w:pPr>
        <w:pStyle w:val="ConsPlusNormal"/>
        <w:spacing w:after="160" w:line="480" w:lineRule="auto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2B2DDD">
        <w:rPr>
          <w:rFonts w:ascii="GHEA Mariam" w:hAnsi="GHEA Mariam"/>
          <w:sz w:val="22"/>
          <w:szCs w:val="22"/>
          <w:lang w:val="hy-AM"/>
        </w:rPr>
        <w:t>«Յուղատու մշակաբույսեր (ար</w:t>
      </w:r>
      <w:r w:rsidR="00197DC9">
        <w:rPr>
          <w:rFonts w:ascii="GHEA Mariam" w:hAnsi="GHEA Mariam"/>
          <w:sz w:val="22"/>
          <w:szCs w:val="22"/>
          <w:lang w:val="hy-AM"/>
        </w:rPr>
        <w:t>և</w:t>
      </w:r>
      <w:r w:rsidRPr="002B2DDD">
        <w:rPr>
          <w:rFonts w:ascii="GHEA Mariam" w:hAnsi="GHEA Mariam"/>
          <w:sz w:val="22"/>
          <w:szCs w:val="22"/>
          <w:lang w:val="hy-AM"/>
        </w:rPr>
        <w:t>ածաղիկ, սոյա, բամբակենի, կտավատ, կանճրակ, մանանեխ, քունջութ, գետնընկույզ)» դիրքում «կադմիում» տողը շարադրել հետ</w:t>
      </w:r>
      <w:r w:rsidR="00197DC9">
        <w:rPr>
          <w:rFonts w:ascii="GHEA Mariam" w:hAnsi="GHEA Mariam"/>
          <w:sz w:val="22"/>
          <w:szCs w:val="22"/>
          <w:lang w:val="hy-AM"/>
        </w:rPr>
        <w:t>և</w:t>
      </w:r>
      <w:r w:rsidRPr="002B2DDD">
        <w:rPr>
          <w:rFonts w:ascii="GHEA Mariam" w:hAnsi="GHEA Mariam"/>
          <w:sz w:val="22"/>
          <w:szCs w:val="22"/>
          <w:lang w:val="hy-AM"/>
        </w:rPr>
        <w:t xml:space="preserve">յալ </w:t>
      </w:r>
      <w:r w:rsidRPr="002B2DDD">
        <w:rPr>
          <w:rFonts w:ascii="GHEA Mariam" w:hAnsi="GHEA Mariam"/>
          <w:sz w:val="22"/>
          <w:szCs w:val="22"/>
          <w:lang w:val="hy-AM"/>
        </w:rPr>
        <w:lastRenderedPageBreak/>
        <w:t>խմբագրությամբ՝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079"/>
        <w:gridCol w:w="1915"/>
        <w:gridCol w:w="4491"/>
      </w:tblGrid>
      <w:tr w:rsidR="00195199" w:rsidRPr="00195199" w14:paraId="7399E0B7" w14:textId="77777777" w:rsidTr="00195199">
        <w:trPr>
          <w:trHeight w:val="555"/>
        </w:trPr>
        <w:tc>
          <w:tcPr>
            <w:tcW w:w="2079" w:type="dxa"/>
          </w:tcPr>
          <w:p w14:paraId="4B0D8F7D" w14:textId="77777777" w:rsidR="00195199" w:rsidRPr="00195199" w:rsidRDefault="00195199" w:rsidP="008C1580">
            <w:pPr>
              <w:pStyle w:val="ConsPlusNormal"/>
              <w:spacing w:after="120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«Կադմիում</w:t>
            </w:r>
          </w:p>
        </w:tc>
        <w:tc>
          <w:tcPr>
            <w:tcW w:w="1915" w:type="dxa"/>
          </w:tcPr>
          <w:p w14:paraId="624689E5" w14:textId="77777777" w:rsidR="00195199" w:rsidRPr="00195199" w:rsidRDefault="00195199" w:rsidP="008C1580">
            <w:pPr>
              <w:pStyle w:val="ConsPlusNormal"/>
              <w:spacing w:after="12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0.1</w:t>
            </w:r>
          </w:p>
        </w:tc>
        <w:tc>
          <w:tcPr>
            <w:tcW w:w="4491" w:type="dxa"/>
          </w:tcPr>
          <w:p w14:paraId="47250E14" w14:textId="77777777" w:rsidR="00195199" w:rsidRPr="00195199" w:rsidRDefault="00195199" w:rsidP="008C1580">
            <w:pPr>
              <w:pStyle w:val="ConsPlusNormal"/>
              <w:spacing w:after="120"/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95199" w:rsidRPr="00195199" w14:paraId="4D028D9F" w14:textId="77777777" w:rsidTr="00195199">
        <w:tc>
          <w:tcPr>
            <w:tcW w:w="2079" w:type="dxa"/>
          </w:tcPr>
          <w:p w14:paraId="714EC94F" w14:textId="77777777" w:rsidR="00195199" w:rsidRPr="00195199" w:rsidRDefault="00195199" w:rsidP="008C1580">
            <w:pPr>
              <w:pStyle w:val="ConsPlusNormal"/>
              <w:spacing w:after="120"/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68DCD36" w14:textId="77777777" w:rsidR="00195199" w:rsidRPr="00195199" w:rsidRDefault="00195199" w:rsidP="008C1580">
            <w:pPr>
              <w:pStyle w:val="ConsPlusNormal"/>
              <w:spacing w:after="12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0.2</w:t>
            </w:r>
          </w:p>
        </w:tc>
        <w:tc>
          <w:tcPr>
            <w:tcW w:w="4491" w:type="dxa"/>
          </w:tcPr>
          <w:p w14:paraId="39069803" w14:textId="491901CF" w:rsidR="00195199" w:rsidRPr="00195199" w:rsidRDefault="00195199" w:rsidP="008C1580">
            <w:pPr>
              <w:pStyle w:val="ConsPlusNormal"/>
              <w:spacing w:after="120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Ար</w:t>
            </w:r>
            <w:r w:rsidR="00197DC9">
              <w:rPr>
                <w:rFonts w:ascii="GHEA Mariam" w:hAnsi="GHEA Mariam"/>
                <w:sz w:val="22"/>
                <w:szCs w:val="22"/>
              </w:rPr>
              <w:t>և</w:t>
            </w:r>
            <w:r w:rsidRPr="00195199">
              <w:rPr>
                <w:rFonts w:ascii="GHEA Mariam" w:hAnsi="GHEA Mariam"/>
                <w:sz w:val="22"/>
                <w:szCs w:val="22"/>
              </w:rPr>
              <w:t>ածաղկի սերմերի համար, որոնք նախատեսված են սննդի մեջ անմիջապես օգտագործվելու համար</w:t>
            </w:r>
          </w:p>
        </w:tc>
      </w:tr>
      <w:tr w:rsidR="00195199" w:rsidRPr="00195199" w14:paraId="68830DC0" w14:textId="77777777" w:rsidTr="00195199">
        <w:tc>
          <w:tcPr>
            <w:tcW w:w="2079" w:type="dxa"/>
          </w:tcPr>
          <w:p w14:paraId="75FFE121" w14:textId="77777777" w:rsidR="00195199" w:rsidRPr="00195199" w:rsidRDefault="00195199" w:rsidP="008C1580">
            <w:pPr>
              <w:pStyle w:val="ConsPlusNormal"/>
              <w:spacing w:after="120"/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46C9D0E" w14:textId="77777777" w:rsidR="00195199" w:rsidRPr="00195199" w:rsidRDefault="00195199" w:rsidP="008C1580">
            <w:pPr>
              <w:pStyle w:val="ConsPlusNormal"/>
              <w:spacing w:after="12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0,35 &lt;****&gt;</w:t>
            </w:r>
          </w:p>
        </w:tc>
        <w:tc>
          <w:tcPr>
            <w:tcW w:w="4491" w:type="dxa"/>
          </w:tcPr>
          <w:p w14:paraId="05D21BD9" w14:textId="3B0255D3" w:rsidR="00195199" w:rsidRPr="00195199" w:rsidRDefault="00195199" w:rsidP="008C1580">
            <w:pPr>
              <w:pStyle w:val="ConsPlusNormal"/>
              <w:spacing w:after="120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z w:val="22"/>
                <w:szCs w:val="22"/>
              </w:rPr>
              <w:t>Ար</w:t>
            </w:r>
            <w:r w:rsidR="00197DC9">
              <w:rPr>
                <w:rFonts w:ascii="GHEA Mariam" w:hAnsi="GHEA Mariam"/>
                <w:sz w:val="22"/>
                <w:szCs w:val="22"/>
              </w:rPr>
              <w:t>և</w:t>
            </w:r>
            <w:r w:rsidRPr="00195199">
              <w:rPr>
                <w:rFonts w:ascii="GHEA Mariam" w:hAnsi="GHEA Mariam"/>
                <w:sz w:val="22"/>
                <w:szCs w:val="22"/>
              </w:rPr>
              <w:t>ածաղկի սերմերի համար, որոնք նախատեսված են ար</w:t>
            </w:r>
            <w:r w:rsidR="00197DC9">
              <w:rPr>
                <w:rFonts w:ascii="GHEA Mariam" w:hAnsi="GHEA Mariam"/>
                <w:sz w:val="22"/>
                <w:szCs w:val="22"/>
              </w:rPr>
              <w:t>և</w:t>
            </w:r>
            <w:r w:rsidRPr="00195199">
              <w:rPr>
                <w:rFonts w:ascii="GHEA Mariam" w:hAnsi="GHEA Mariam"/>
                <w:sz w:val="22"/>
                <w:szCs w:val="22"/>
              </w:rPr>
              <w:t>ածաղկի յուղ ստանալու նպատակով արդյունաբերական վերամշակման համար».</w:t>
            </w:r>
          </w:p>
        </w:tc>
      </w:tr>
    </w:tbl>
    <w:p w14:paraId="06B36841" w14:textId="77777777" w:rsidR="00195199" w:rsidRPr="00195199" w:rsidRDefault="00195199" w:rsidP="00195199">
      <w:pPr>
        <w:pStyle w:val="ConsPlusNormal"/>
        <w:spacing w:after="160" w:line="360" w:lineRule="auto"/>
        <w:jc w:val="both"/>
        <w:rPr>
          <w:rFonts w:ascii="GHEA Mariam" w:hAnsi="GHEA Mariam"/>
          <w:sz w:val="22"/>
          <w:szCs w:val="22"/>
        </w:rPr>
      </w:pPr>
    </w:p>
    <w:p w14:paraId="2BB32F80" w14:textId="0B7F3607" w:rsidR="00195199" w:rsidRPr="00195199" w:rsidRDefault="00195199" w:rsidP="00195199">
      <w:pPr>
        <w:pStyle w:val="ConsPlusNormal"/>
        <w:spacing w:line="480" w:lineRule="auto"/>
        <w:ind w:firstLine="567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ավելացնել հետ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>յալ բովանդակությամբ չորրորդ ծանոթագրություն՝</w:t>
      </w:r>
    </w:p>
    <w:p w14:paraId="14320996" w14:textId="21C6F949" w:rsidR="00195199" w:rsidRPr="00195199" w:rsidRDefault="00195199" w:rsidP="00195199">
      <w:pPr>
        <w:pStyle w:val="ConsPlusNormal"/>
        <w:tabs>
          <w:tab w:val="left" w:pos="1418"/>
        </w:tabs>
        <w:spacing w:line="480" w:lineRule="auto"/>
        <w:ind w:firstLine="567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«****»</w:t>
      </w:r>
      <w:r w:rsidRPr="00195199">
        <w:rPr>
          <w:rFonts w:ascii="GHEA Mariam" w:hAnsi="GHEA Mariam"/>
          <w:sz w:val="22"/>
          <w:szCs w:val="22"/>
        </w:rPr>
        <w:tab/>
        <w:t>Եվրասիական տնտեսական միության անդամ պետությունների այն արտադրողների համար, որոնք ար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>ածաղկի յուղ են արտադրում ար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 xml:space="preserve">ածաղկի այն սերմերից, որոնք արտադրված են Ղազախստանի Հանրապետության 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 xml:space="preserve"> Ռուսաստանի Դաշնության տարածքներում ու նախատեսված են ար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>ածաղկի յուղ ստանալու նպատակով արդյունաբերական վերամշակման համար:»:</w:t>
      </w:r>
    </w:p>
    <w:p w14:paraId="5EA668ED" w14:textId="1AC0717C" w:rsidR="00195199" w:rsidRPr="00195199" w:rsidRDefault="00195199" w:rsidP="00195199">
      <w:pPr>
        <w:pStyle w:val="ConsPlusNormal"/>
        <w:tabs>
          <w:tab w:val="left" w:pos="1134"/>
        </w:tabs>
        <w:spacing w:line="480" w:lineRule="auto"/>
        <w:ind w:firstLine="562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2.</w:t>
      </w:r>
      <w:r w:rsidRPr="00195199">
        <w:rPr>
          <w:rFonts w:ascii="GHEA Mariam" w:hAnsi="GHEA Mariam"/>
          <w:sz w:val="22"/>
          <w:szCs w:val="22"/>
        </w:rPr>
        <w:tab/>
        <w:t>Սահմանել, որ սննդային նպատակների համար օգտագործվող ար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>ածաղկի սերմերի՝ «Հացահատիկի անվտանգության մասին» Մաքսային միության տեխնիկական կանոնակարգով (ՄՄ ՏԿ 015/2011) սահմանված պարտադիր պահանջներին համապատասխանությունը հաստատելու մասին փաստաթղթերը, որոնք ընդունվել են մինչ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 xml:space="preserve"> սույն որոշումն ուժի մեջ մտնելը, վավեր են մինչ</w:t>
      </w:r>
      <w:r w:rsidR="00197DC9">
        <w:rPr>
          <w:rFonts w:ascii="GHEA Mariam" w:hAnsi="GHEA Mariam"/>
          <w:sz w:val="22"/>
          <w:szCs w:val="22"/>
        </w:rPr>
        <w:t>և</w:t>
      </w:r>
      <w:r w:rsidRPr="00195199">
        <w:rPr>
          <w:rFonts w:ascii="GHEA Mariam" w:hAnsi="GHEA Mariam"/>
          <w:sz w:val="22"/>
          <w:szCs w:val="22"/>
        </w:rPr>
        <w:t xml:space="preserve"> դրանց գործողության ժամկետի ավարտը։</w:t>
      </w:r>
    </w:p>
    <w:p w14:paraId="31143719" w14:textId="77777777" w:rsidR="00195199" w:rsidRPr="00195199" w:rsidRDefault="00195199" w:rsidP="00195199">
      <w:pPr>
        <w:pStyle w:val="ConsPlusNormal"/>
        <w:tabs>
          <w:tab w:val="left" w:pos="1134"/>
        </w:tabs>
        <w:spacing w:line="480" w:lineRule="auto"/>
        <w:ind w:firstLine="562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3.</w:t>
      </w:r>
      <w:r>
        <w:rPr>
          <w:rFonts w:ascii="GHEA Mariam" w:hAnsi="GHEA Mariam"/>
          <w:sz w:val="22"/>
          <w:szCs w:val="22"/>
        </w:rPr>
        <w:t xml:space="preserve"> </w:t>
      </w:r>
      <w:r w:rsidRPr="00195199">
        <w:rPr>
          <w:rFonts w:ascii="GHEA Mariam" w:hAnsi="GHEA Mariam"/>
          <w:sz w:val="22"/>
          <w:szCs w:val="22"/>
        </w:rPr>
        <w:t xml:space="preserve">Սույն որոշումն ուժի մեջ է մտնում դրա պաշտոնական հրապարակման օրվանից 6 ամիսը լրանալուց հետո։ </w:t>
      </w:r>
    </w:p>
    <w:p w14:paraId="6F927C3E" w14:textId="77777777" w:rsidR="00195199" w:rsidRDefault="00195199" w:rsidP="00195199">
      <w:pPr>
        <w:pStyle w:val="ConsPlusNormal"/>
        <w:tabs>
          <w:tab w:val="left" w:pos="1134"/>
        </w:tabs>
        <w:spacing w:after="160" w:line="480" w:lineRule="auto"/>
        <w:ind w:firstLine="567"/>
        <w:jc w:val="both"/>
        <w:rPr>
          <w:rFonts w:ascii="GHEA Mariam" w:hAnsi="GHEA Mariam"/>
          <w:sz w:val="22"/>
          <w:szCs w:val="22"/>
        </w:rPr>
      </w:pPr>
    </w:p>
    <w:p w14:paraId="61B53F45" w14:textId="77777777" w:rsidR="00195199" w:rsidRPr="00195199" w:rsidRDefault="00195199" w:rsidP="00195199">
      <w:pPr>
        <w:pStyle w:val="ConsPlusNormal"/>
        <w:tabs>
          <w:tab w:val="left" w:pos="1134"/>
        </w:tabs>
        <w:spacing w:after="160" w:line="360" w:lineRule="auto"/>
        <w:ind w:firstLine="567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Եվրասիական տնտեսական հանձնաժողովի խորհրդի անդամներ՝</w:t>
      </w:r>
    </w:p>
    <w:tbl>
      <w:tblPr>
        <w:tblStyle w:val="TableGrid"/>
        <w:tblW w:w="11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1734"/>
      </w:tblGrid>
      <w:tr w:rsidR="00195199" w:rsidRPr="00195199" w14:paraId="2CB432E1" w14:textId="77777777" w:rsidTr="008C1580">
        <w:trPr>
          <w:jc w:val="center"/>
        </w:trPr>
        <w:tc>
          <w:tcPr>
            <w:tcW w:w="2261" w:type="dxa"/>
          </w:tcPr>
          <w:p w14:paraId="014937E0" w14:textId="77777777" w:rsidR="00195199" w:rsidRPr="00195199" w:rsidRDefault="00195199" w:rsidP="008C1580">
            <w:pPr>
              <w:pStyle w:val="ConsPlusNormal"/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lastRenderedPageBreak/>
              <w:t>Հայաստանի Հանրապետությունից՝</w:t>
            </w:r>
          </w:p>
        </w:tc>
        <w:tc>
          <w:tcPr>
            <w:tcW w:w="2260" w:type="dxa"/>
          </w:tcPr>
          <w:p w14:paraId="70F13EE0" w14:textId="77777777" w:rsidR="00195199" w:rsidRPr="00195199" w:rsidRDefault="00195199" w:rsidP="008C1580">
            <w:pPr>
              <w:pStyle w:val="ConsPlusNormal"/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Բելառուսի Հանրապետությունից՝</w:t>
            </w:r>
          </w:p>
        </w:tc>
        <w:tc>
          <w:tcPr>
            <w:tcW w:w="2260" w:type="dxa"/>
          </w:tcPr>
          <w:p w14:paraId="7206018C" w14:textId="77777777" w:rsidR="00195199" w:rsidRPr="00195199" w:rsidRDefault="00195199" w:rsidP="008C1580">
            <w:pPr>
              <w:pStyle w:val="ConsPlusNormal"/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Ղազախստանի Հանրապետությունից՝</w:t>
            </w:r>
          </w:p>
        </w:tc>
        <w:tc>
          <w:tcPr>
            <w:tcW w:w="2260" w:type="dxa"/>
          </w:tcPr>
          <w:p w14:paraId="6B764C12" w14:textId="77777777" w:rsidR="00195199" w:rsidRPr="00195199" w:rsidRDefault="00195199" w:rsidP="008C1580">
            <w:pPr>
              <w:pStyle w:val="ConsPlusNormal"/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Ղրղզստանի Հանրապետությունից՝</w:t>
            </w:r>
          </w:p>
        </w:tc>
        <w:tc>
          <w:tcPr>
            <w:tcW w:w="2041" w:type="dxa"/>
          </w:tcPr>
          <w:p w14:paraId="34514441" w14:textId="77777777" w:rsidR="00195199" w:rsidRPr="00195199" w:rsidRDefault="00195199" w:rsidP="008C1580">
            <w:pPr>
              <w:pStyle w:val="ConsPlusNormal"/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Ռուսաստանի Դաշնությունից՝</w:t>
            </w:r>
          </w:p>
        </w:tc>
      </w:tr>
      <w:tr w:rsidR="00195199" w:rsidRPr="00195199" w14:paraId="776D53C8" w14:textId="77777777" w:rsidTr="008C1580">
        <w:trPr>
          <w:jc w:val="center"/>
        </w:trPr>
        <w:tc>
          <w:tcPr>
            <w:tcW w:w="2261" w:type="dxa"/>
          </w:tcPr>
          <w:p w14:paraId="18109D3C" w14:textId="77777777" w:rsidR="00195199" w:rsidRPr="00195199" w:rsidRDefault="00195199" w:rsidP="008C1580">
            <w:pPr>
              <w:pStyle w:val="ConsPlusNormal"/>
              <w:tabs>
                <w:tab w:val="left" w:pos="1134"/>
              </w:tabs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Վ. ԳԱԲՐԻԵԼՅԱՆ</w:t>
            </w:r>
          </w:p>
        </w:tc>
        <w:tc>
          <w:tcPr>
            <w:tcW w:w="2260" w:type="dxa"/>
          </w:tcPr>
          <w:p w14:paraId="506CC2D0" w14:textId="77777777" w:rsidR="00195199" w:rsidRPr="00195199" w:rsidRDefault="00195199" w:rsidP="008C1580">
            <w:pPr>
              <w:pStyle w:val="ConsPlusNormal"/>
              <w:tabs>
                <w:tab w:val="left" w:pos="1134"/>
              </w:tabs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Վ. ՄԱՏՅՈՒՇԵՎՍԿԻ</w:t>
            </w:r>
          </w:p>
        </w:tc>
        <w:tc>
          <w:tcPr>
            <w:tcW w:w="2260" w:type="dxa"/>
          </w:tcPr>
          <w:p w14:paraId="777A925B" w14:textId="77777777" w:rsidR="00195199" w:rsidRPr="00195199" w:rsidRDefault="00195199" w:rsidP="008C1580">
            <w:pPr>
              <w:pStyle w:val="ConsPlusNormal"/>
              <w:tabs>
                <w:tab w:val="left" w:pos="1134"/>
              </w:tabs>
              <w:spacing w:after="160" w:line="360" w:lineRule="auto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8"/>
                <w:sz w:val="22"/>
                <w:szCs w:val="22"/>
              </w:rPr>
              <w:t>Ա. ՄԱՄԻՆ</w:t>
            </w:r>
          </w:p>
        </w:tc>
        <w:tc>
          <w:tcPr>
            <w:tcW w:w="2260" w:type="dxa"/>
          </w:tcPr>
          <w:p w14:paraId="344DA35F" w14:textId="77777777" w:rsidR="00195199" w:rsidRPr="00195199" w:rsidRDefault="00195199" w:rsidP="008C1580">
            <w:pPr>
              <w:pStyle w:val="ConsPlusNormal"/>
              <w:tabs>
                <w:tab w:val="left" w:pos="1134"/>
              </w:tabs>
              <w:spacing w:after="160" w:line="360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6"/>
                <w:sz w:val="22"/>
                <w:szCs w:val="22"/>
              </w:rPr>
              <w:t>Տ. ԱԲԴԻԳՈՒԼՈՎ</w:t>
            </w:r>
          </w:p>
        </w:tc>
        <w:tc>
          <w:tcPr>
            <w:tcW w:w="2041" w:type="dxa"/>
          </w:tcPr>
          <w:p w14:paraId="21814629" w14:textId="77777777" w:rsidR="00195199" w:rsidRPr="00195199" w:rsidRDefault="00195199" w:rsidP="008C1580">
            <w:pPr>
              <w:pStyle w:val="ConsPlusNormal"/>
              <w:tabs>
                <w:tab w:val="left" w:pos="1134"/>
              </w:tabs>
              <w:spacing w:after="160" w:line="360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95199">
              <w:rPr>
                <w:rFonts w:ascii="GHEA Mariam" w:hAnsi="GHEA Mariam"/>
                <w:spacing w:val="-6"/>
                <w:sz w:val="22"/>
                <w:szCs w:val="22"/>
              </w:rPr>
              <w:t>Ի. ՇՈՒՎԱԼՈՎ</w:t>
            </w:r>
          </w:p>
        </w:tc>
      </w:tr>
    </w:tbl>
    <w:p w14:paraId="38340509" w14:textId="77777777" w:rsidR="00195199" w:rsidRPr="00195199" w:rsidRDefault="00195199" w:rsidP="00195199">
      <w:pPr>
        <w:pStyle w:val="ConsPlusNormal"/>
        <w:tabs>
          <w:tab w:val="left" w:pos="1134"/>
        </w:tabs>
        <w:spacing w:after="160" w:line="360" w:lineRule="auto"/>
        <w:ind w:firstLine="567"/>
        <w:jc w:val="both"/>
        <w:rPr>
          <w:rFonts w:ascii="GHEA Mariam" w:hAnsi="GHEA Mariam"/>
          <w:sz w:val="22"/>
          <w:szCs w:val="22"/>
        </w:rPr>
      </w:pPr>
    </w:p>
    <w:p w14:paraId="3EB1FAF8" w14:textId="77777777" w:rsidR="00195199" w:rsidRPr="00195199" w:rsidRDefault="00195199" w:rsidP="00195199">
      <w:pPr>
        <w:pStyle w:val="ConsPlusNormal"/>
        <w:spacing w:after="160" w:line="360" w:lineRule="auto"/>
        <w:jc w:val="both"/>
        <w:rPr>
          <w:rFonts w:ascii="GHEA Mariam" w:hAnsi="GHEA Mariam"/>
          <w:sz w:val="22"/>
          <w:szCs w:val="22"/>
        </w:rPr>
      </w:pPr>
      <w:r w:rsidRPr="00195199">
        <w:rPr>
          <w:rFonts w:ascii="GHEA Mariam" w:hAnsi="GHEA Mariam"/>
          <w:sz w:val="22"/>
          <w:szCs w:val="22"/>
        </w:rPr>
        <w:t>—————————————————————————————————</w:t>
      </w:r>
    </w:p>
    <w:p w14:paraId="4CF5C79F" w14:textId="77777777" w:rsidR="00195199" w:rsidRDefault="00195199" w:rsidP="00D108BC">
      <w:pPr>
        <w:pStyle w:val="mechtex"/>
        <w:spacing w:line="480" w:lineRule="auto"/>
        <w:rPr>
          <w:rFonts w:ascii="GHEA Mariam" w:hAnsi="GHEA Mariam" w:cs="Arial"/>
          <w:szCs w:val="22"/>
        </w:rPr>
      </w:pPr>
    </w:p>
    <w:p w14:paraId="0BF7FC33" w14:textId="77777777" w:rsidR="00195199" w:rsidRDefault="00195199" w:rsidP="00D108BC">
      <w:pPr>
        <w:pStyle w:val="mechtex"/>
        <w:spacing w:line="480" w:lineRule="auto"/>
        <w:rPr>
          <w:rFonts w:ascii="GHEA Mariam" w:hAnsi="GHEA Mariam" w:cs="Arial"/>
          <w:szCs w:val="22"/>
        </w:rPr>
      </w:pPr>
    </w:p>
    <w:p w14:paraId="4392F769" w14:textId="77777777" w:rsidR="00195199" w:rsidRPr="00B16FF5" w:rsidRDefault="0019519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82A4A89" w14:textId="77777777" w:rsidR="00195199" w:rsidRDefault="00195199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7A7058" w14:textId="77777777" w:rsidR="00195199" w:rsidRPr="00B16FF5" w:rsidRDefault="00195199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9349C23" w14:textId="77777777" w:rsidR="00195199" w:rsidRPr="00195199" w:rsidRDefault="00195199" w:rsidP="00D108BC">
      <w:pPr>
        <w:pStyle w:val="mechtex"/>
        <w:spacing w:line="480" w:lineRule="auto"/>
        <w:rPr>
          <w:rFonts w:ascii="GHEA Mariam" w:hAnsi="GHEA Mariam" w:cs="Arial"/>
          <w:szCs w:val="22"/>
        </w:rPr>
      </w:pPr>
    </w:p>
    <w:sectPr w:rsidR="00195199" w:rsidRPr="00195199" w:rsidSect="008F3F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CBF06" w14:textId="77777777" w:rsidR="001347B4" w:rsidRDefault="001347B4">
      <w:r>
        <w:separator/>
      </w:r>
    </w:p>
  </w:endnote>
  <w:endnote w:type="continuationSeparator" w:id="0">
    <w:p w14:paraId="505F762E" w14:textId="77777777" w:rsidR="001347B4" w:rsidRDefault="0013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073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61AD2">
      <w:rPr>
        <w:noProof/>
        <w:sz w:val="18"/>
      </w:rPr>
      <w:t>voroshumNrk209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E5B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61AD2">
      <w:rPr>
        <w:noProof/>
        <w:sz w:val="18"/>
      </w:rPr>
      <w:t>voroshumNrk209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1BE7" w14:textId="77777777" w:rsidR="003D4BA2" w:rsidRPr="0050643E" w:rsidRDefault="001347B4" w:rsidP="0050643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61AD2">
      <w:rPr>
        <w:noProof/>
      </w:rPr>
      <w:t>voroshumNrk209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7AE8" w14:textId="77777777" w:rsidR="001347B4" w:rsidRDefault="001347B4">
      <w:r>
        <w:separator/>
      </w:r>
    </w:p>
  </w:footnote>
  <w:footnote w:type="continuationSeparator" w:id="0">
    <w:p w14:paraId="3BA35737" w14:textId="77777777" w:rsidR="001347B4" w:rsidRDefault="0013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AA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1D4F4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75B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B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710BA5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5C16"/>
    <w:multiLevelType w:val="hybridMultilevel"/>
    <w:tmpl w:val="92AA1C36"/>
    <w:lvl w:ilvl="0" w:tplc="06BA7016">
      <w:start w:val="10"/>
      <w:numFmt w:val="decimal"/>
      <w:lvlText w:val="%1)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7B4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199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97DC9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DDD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7AE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6BF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6E2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23F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5E3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3E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574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17F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A3F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46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B67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7E0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0AB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8BC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CD9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AD2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A135"/>
  <w15:chartTrackingRefBased/>
  <w15:docId w15:val="{98B3611E-98C8-45A7-9821-92EF2AE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108B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D108BC"/>
    <w:rPr>
      <w:b/>
      <w:bCs/>
    </w:rPr>
  </w:style>
  <w:style w:type="character" w:customStyle="1" w:styleId="NormalWebChar">
    <w:name w:val="Normal (Web) Char"/>
    <w:aliases w:val="webb Char"/>
    <w:link w:val="NormalWeb"/>
    <w:uiPriority w:val="99"/>
    <w:locked/>
    <w:rsid w:val="00D108BC"/>
    <w:rPr>
      <w:sz w:val="24"/>
      <w:szCs w:val="24"/>
      <w:lang w:val="x-none" w:eastAsia="ru-RU"/>
    </w:rPr>
  </w:style>
  <w:style w:type="character" w:customStyle="1" w:styleId="mechtexChar">
    <w:name w:val="mechtex Char"/>
    <w:link w:val="mechtex"/>
    <w:rsid w:val="00D108BC"/>
    <w:rPr>
      <w:rFonts w:ascii="Arial Armenian" w:hAnsi="Arial Armenian"/>
      <w:sz w:val="22"/>
      <w:lang w:eastAsia="ru-RU"/>
    </w:rPr>
  </w:style>
  <w:style w:type="paragraph" w:customStyle="1" w:styleId="ConsPlusNormal">
    <w:name w:val="ConsPlusNormal"/>
    <w:rsid w:val="00195199"/>
    <w:pPr>
      <w:widowControl w:val="0"/>
      <w:autoSpaceDE w:val="0"/>
      <w:autoSpaceDN w:val="0"/>
      <w:adjustRightInd w:val="0"/>
    </w:pPr>
    <w:rPr>
      <w:rFonts w:eastAsiaTheme="minorEastAsia" w:cstheme="minorBidi"/>
      <w:sz w:val="24"/>
      <w:szCs w:val="24"/>
    </w:rPr>
  </w:style>
  <w:style w:type="paragraph" w:customStyle="1" w:styleId="ConsPlusTitle">
    <w:name w:val="ConsPlusTitle"/>
    <w:uiPriority w:val="99"/>
    <w:rsid w:val="001951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95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1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1AD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https://mul2-moj.gov.am/tasks/117216/oneclick/havelvac 1.docx?token=cf52bff4e4aaca3972e41a785def6a1b</cp:keywords>
  <dc:description/>
  <cp:lastModifiedBy>Tatevik</cp:lastModifiedBy>
  <cp:revision>4</cp:revision>
  <cp:lastPrinted>2020-06-22T10:22:00Z</cp:lastPrinted>
  <dcterms:created xsi:type="dcterms:W3CDTF">2020-06-23T11:07:00Z</dcterms:created>
  <dcterms:modified xsi:type="dcterms:W3CDTF">2020-06-30T09:28:00Z</dcterms:modified>
</cp:coreProperties>
</file>