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78" w:rsidRPr="004A2309" w:rsidRDefault="00445318" w:rsidP="00B12FCC">
      <w:pPr>
        <w:pStyle w:val="Bodytext50"/>
        <w:shd w:val="clear" w:color="auto" w:fill="auto"/>
        <w:spacing w:before="0" w:after="160" w:line="360" w:lineRule="auto"/>
        <w:ind w:right="-30" w:firstLine="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4A2309">
        <w:rPr>
          <w:rFonts w:ascii="Sylfaen" w:hAnsi="Sylfaen"/>
          <w:sz w:val="24"/>
          <w:szCs w:val="24"/>
        </w:rPr>
        <w:t>Նախագիծ</w:t>
      </w:r>
    </w:p>
    <w:p w:rsidR="00E1112C" w:rsidRPr="004A2309" w:rsidRDefault="00E1112C" w:rsidP="009A314A">
      <w:pPr>
        <w:pStyle w:val="Bodytext50"/>
        <w:shd w:val="clear" w:color="auto" w:fill="auto"/>
        <w:spacing w:before="0" w:after="160" w:line="360" w:lineRule="auto"/>
        <w:ind w:right="-30" w:firstLine="0"/>
        <w:jc w:val="right"/>
        <w:rPr>
          <w:rFonts w:ascii="Sylfaen" w:hAnsi="Sylfaen"/>
          <w:sz w:val="24"/>
          <w:szCs w:val="24"/>
        </w:rPr>
      </w:pPr>
    </w:p>
    <w:p w:rsidR="00A17D78" w:rsidRPr="004A2309" w:rsidRDefault="00445318" w:rsidP="00B12FCC">
      <w:pPr>
        <w:pStyle w:val="Heading240"/>
        <w:shd w:val="clear" w:color="auto" w:fill="auto"/>
        <w:spacing w:before="0" w:after="160" w:line="360" w:lineRule="auto"/>
        <w:ind w:left="1134" w:right="963"/>
        <w:jc w:val="center"/>
        <w:outlineLvl w:val="9"/>
        <w:rPr>
          <w:rFonts w:ascii="Sylfaen" w:hAnsi="Sylfaen"/>
          <w:sz w:val="24"/>
          <w:szCs w:val="24"/>
        </w:rPr>
      </w:pPr>
      <w:r w:rsidRPr="004A2309">
        <w:rPr>
          <w:rStyle w:val="Heading24Spacing2pt"/>
          <w:rFonts w:ascii="Sylfaen" w:hAnsi="Sylfaen"/>
          <w:b/>
          <w:spacing w:val="0"/>
          <w:sz w:val="24"/>
          <w:szCs w:val="24"/>
        </w:rPr>
        <w:t>ԾՐԱԳԻՐ</w:t>
      </w:r>
    </w:p>
    <w:p w:rsidR="00A17D78" w:rsidRPr="004A2309" w:rsidRDefault="00445318" w:rsidP="00B12FCC">
      <w:pPr>
        <w:pStyle w:val="Heading240"/>
        <w:shd w:val="clear" w:color="auto" w:fill="auto"/>
        <w:spacing w:before="0" w:after="160" w:line="360" w:lineRule="auto"/>
        <w:ind w:left="1134" w:right="963"/>
        <w:jc w:val="center"/>
        <w:outlineLvl w:val="9"/>
        <w:rPr>
          <w:rFonts w:ascii="Sylfaen" w:hAnsi="Sylfaen"/>
          <w:sz w:val="24"/>
          <w:szCs w:val="24"/>
        </w:rPr>
      </w:pPr>
      <w:r w:rsidRPr="004A2309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9616A7">
        <w:rPr>
          <w:rFonts w:ascii="Sylfaen" w:hAnsi="Sylfaen"/>
          <w:sz w:val="24"/>
          <w:szCs w:val="24"/>
        </w:rPr>
        <w:t>և</w:t>
      </w:r>
      <w:r w:rsidRPr="004A2309">
        <w:rPr>
          <w:rFonts w:ascii="Sylfaen" w:hAnsi="Sylfaen"/>
          <w:sz w:val="24"/>
          <w:szCs w:val="24"/>
        </w:rPr>
        <w:t xml:space="preserve"> ՄԱԿ-ի</w:t>
      </w:r>
      <w:r w:rsidR="008C186A" w:rsidRPr="004A2309">
        <w:rPr>
          <w:rFonts w:ascii="Sylfaen" w:hAnsi="Sylfaen"/>
          <w:sz w:val="24"/>
          <w:szCs w:val="24"/>
        </w:rPr>
        <w:t xml:space="preserve"> Առ</w:t>
      </w:r>
      <w:r w:rsidR="009616A7">
        <w:rPr>
          <w:rFonts w:ascii="Sylfaen" w:hAnsi="Sylfaen"/>
          <w:sz w:val="24"/>
          <w:szCs w:val="24"/>
        </w:rPr>
        <w:t>և</w:t>
      </w:r>
      <w:r w:rsidR="008C186A" w:rsidRPr="004A2309">
        <w:rPr>
          <w:rFonts w:ascii="Sylfaen" w:hAnsi="Sylfaen"/>
          <w:sz w:val="24"/>
          <w:szCs w:val="24"/>
        </w:rPr>
        <w:t xml:space="preserve">տրի </w:t>
      </w:r>
      <w:r w:rsidR="009616A7">
        <w:rPr>
          <w:rFonts w:ascii="Sylfaen" w:hAnsi="Sylfaen"/>
          <w:sz w:val="24"/>
          <w:szCs w:val="24"/>
        </w:rPr>
        <w:t>և</w:t>
      </w:r>
      <w:r w:rsidR="008C186A" w:rsidRPr="004A2309">
        <w:rPr>
          <w:rFonts w:ascii="Sylfaen" w:hAnsi="Sylfaen"/>
          <w:sz w:val="24"/>
          <w:szCs w:val="24"/>
        </w:rPr>
        <w:t xml:space="preserve"> զարգացման</w:t>
      </w:r>
      <w:r w:rsidRPr="004A2309">
        <w:rPr>
          <w:rFonts w:ascii="Sylfaen" w:hAnsi="Sylfaen"/>
          <w:sz w:val="24"/>
          <w:szCs w:val="24"/>
        </w:rPr>
        <w:t xml:space="preserve"> համաժողովի (</w:t>
      </w:r>
      <w:r w:rsidR="008C186A" w:rsidRPr="004A2309">
        <w:rPr>
          <w:rFonts w:ascii="Sylfaen" w:hAnsi="Sylfaen"/>
          <w:sz w:val="24"/>
          <w:szCs w:val="24"/>
        </w:rPr>
        <w:t>ՅՈՒՆԿԹԱԴ</w:t>
      </w:r>
      <w:r w:rsidRPr="004A2309">
        <w:rPr>
          <w:rFonts w:ascii="Sylfaen" w:hAnsi="Sylfaen"/>
          <w:sz w:val="24"/>
          <w:szCs w:val="24"/>
        </w:rPr>
        <w:t>) միջ</w:t>
      </w:r>
      <w:r w:rsidR="009616A7">
        <w:rPr>
          <w:rFonts w:ascii="Sylfaen" w:hAnsi="Sylfaen"/>
          <w:sz w:val="24"/>
          <w:szCs w:val="24"/>
        </w:rPr>
        <w:t>և</w:t>
      </w:r>
      <w:r w:rsidRPr="004A2309">
        <w:rPr>
          <w:rFonts w:ascii="Sylfaen" w:hAnsi="Sylfaen"/>
          <w:sz w:val="24"/>
          <w:szCs w:val="24"/>
        </w:rPr>
        <w:t xml:space="preserve"> 2017-2019 թվականների համագործակցության</w:t>
      </w:r>
    </w:p>
    <w:tbl>
      <w:tblPr>
        <w:tblOverlap w:val="never"/>
        <w:tblW w:w="14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2"/>
        <w:gridCol w:w="3835"/>
        <w:gridCol w:w="4828"/>
      </w:tblGrid>
      <w:tr w:rsidR="00E1112C" w:rsidRPr="004A2309" w:rsidTr="00E1112C">
        <w:trPr>
          <w:tblHeader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D78" w:rsidRPr="004A2309" w:rsidRDefault="00445318" w:rsidP="00B12FC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Համագործակցության նպատակը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D78" w:rsidRPr="004A2309" w:rsidRDefault="00445318" w:rsidP="00B12FC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Եվրասիական տնտեսական հանձնաժողովի պատասխանատու կատարող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D78" w:rsidRPr="004A2309" w:rsidRDefault="0050036E" w:rsidP="00B12FC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Fonts w:ascii="Sylfaen" w:hAnsi="Sylfaen"/>
                <w:sz w:val="20"/>
                <w:szCs w:val="20"/>
              </w:rPr>
              <w:t>ՅՈՒՆԿԹԱԴ</w:t>
            </w:r>
            <w:r w:rsidR="00445318" w:rsidRPr="004A2309">
              <w:rPr>
                <w:rStyle w:val="Bodytext511pt"/>
                <w:rFonts w:ascii="Sylfaen" w:hAnsi="Sylfaen"/>
                <w:sz w:val="20"/>
                <w:szCs w:val="20"/>
              </w:rPr>
              <w:t>-ի պատասխանատու կատարող</w:t>
            </w:r>
          </w:p>
        </w:tc>
      </w:tr>
      <w:tr w:rsidR="00A17D78" w:rsidRPr="004A2309" w:rsidTr="00E1112C">
        <w:trPr>
          <w:jc w:val="center"/>
        </w:trPr>
        <w:tc>
          <w:tcPr>
            <w:tcW w:w="1449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7D78" w:rsidRPr="004A2309" w:rsidRDefault="00445318" w:rsidP="00B12FCC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I. Տնտեսական համագործակցություն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ինտեգրում</w:t>
            </w:r>
          </w:p>
        </w:tc>
      </w:tr>
      <w:tr w:rsidR="00E1112C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32"/>
              </w:tabs>
              <w:spacing w:before="0" w:after="120" w:line="240" w:lineRule="auto"/>
              <w:ind w:left="109" w:right="147" w:firstLine="15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1.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Աջակցություն տարածաշրջանային ինտեգրմանը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կայուն տնտեսական զարգացմանը՝ առաջատար տարածաշրջանային տնտեսական </w:t>
            </w:r>
            <w:r w:rsidR="0050036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ինտեգրացիոն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միավորումների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միջազգային կազմակերպությունների ներկայացուցիչների մասնակցությամբ մասնագիտական քննարկումների համար հարթակի ստեղծման միջոցով</w:t>
            </w:r>
          </w:p>
        </w:tc>
        <w:tc>
          <w:tcPr>
            <w:tcW w:w="3835" w:type="dxa"/>
            <w:shd w:val="clear" w:color="auto" w:fill="FFFFFF"/>
          </w:tcPr>
          <w:p w:rsidR="00FD0F7A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Ինտեգրման զարգացման դեպարտամենտ, Մակրոտնտեսական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Գլոբալացման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զարգացման </w:t>
            </w:r>
            <w:r w:rsidR="0050036E" w:rsidRPr="004A2309">
              <w:rPr>
                <w:rStyle w:val="Bodytext511pt"/>
                <w:rFonts w:ascii="Sylfaen" w:hAnsi="Sylfaen"/>
                <w:sz w:val="20"/>
                <w:szCs w:val="20"/>
              </w:rPr>
              <w:t>ռազմավարությունների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դեպարտամենտ</w:t>
            </w:r>
          </w:p>
        </w:tc>
      </w:tr>
      <w:tr w:rsidR="00E1112C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32"/>
              </w:tabs>
              <w:spacing w:before="0" w:line="240" w:lineRule="auto"/>
              <w:ind w:left="108" w:right="147" w:firstLine="17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2.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Եվրասիական տնտեսական միության անդամ պետությունների (այսուհետ՝ անդամ պետություններ) մասնակցությամբ՝ ավելացված արժեքի միջերկրային շղթաների գնահատման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վերլուծության հարցերով փորձի փոխանակում, այդ թվում՝ ավելացված արժեքի սկզբունքով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չափման գործելակերպի ուսումնասիրություն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Մակրոտնտեսական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Գլոբալացման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զարգացման </w:t>
            </w:r>
            <w:r w:rsidR="0050036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ռազմավարությունների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դեպարտամենտ</w:t>
            </w:r>
          </w:p>
        </w:tc>
      </w:tr>
      <w:tr w:rsidR="00E1112C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32"/>
              </w:tabs>
              <w:spacing w:before="0" w:line="240" w:lineRule="auto"/>
              <w:ind w:left="108" w:right="147" w:firstLine="17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3.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Ցուցիչների համակարգի մշակում՝ </w:t>
            </w:r>
            <w:r w:rsidR="0050036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ինտեգրացիոն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միավորումների</w:t>
            </w:r>
            <w:r w:rsidR="00FC0980" w:rsidRPr="004A2309">
              <w:rPr>
                <w:rStyle w:val="Bodytext511pt"/>
                <w:rFonts w:ascii="Sylfaen" w:hAnsi="Sylfaen"/>
                <w:sz w:val="20"/>
                <w:szCs w:val="20"/>
              </w:rPr>
              <w:t>՝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ներառյալ Եվրասիական տնտեսական </w:t>
            </w:r>
            <w:r w:rsidR="0050036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միությունը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(այսուհետ՝ ԵԱՏՄ), ինտեգրման մակարդակի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տնտեսական զարգացման գնահատման համար 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Մակրոտնտեսական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Գլոբալացման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զարգացման </w:t>
            </w:r>
            <w:r w:rsidR="0050036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ռազմավարությունների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8"/>
              </w:tabs>
              <w:spacing w:before="0" w:after="120" w:line="240" w:lineRule="auto"/>
              <w:ind w:left="109" w:right="147" w:firstLine="1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>4.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Անդամ պետություններում կառուցվածքային քաղաքականության միջոցների համակարգման հեռանկարների գնահատում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</w:t>
            </w:r>
            <w:r w:rsidR="00CF7365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ուղղությունների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սահմանում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Մակրոտնտեսական քաղաքականության դեպարտամենտ</w:t>
            </w: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Գլոբալացման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զարգացման </w:t>
            </w:r>
            <w:r w:rsidR="00CF7365" w:rsidRPr="004A2309">
              <w:rPr>
                <w:rStyle w:val="Bodytext511pt"/>
                <w:rFonts w:ascii="Sylfaen" w:hAnsi="Sylfaen"/>
                <w:sz w:val="20"/>
                <w:szCs w:val="20"/>
              </w:rPr>
              <w:t>ռազ</w:t>
            </w:r>
            <w:r w:rsidR="00FC0980" w:rsidRPr="004A2309">
              <w:rPr>
                <w:rStyle w:val="Bodytext511pt"/>
                <w:rFonts w:ascii="Sylfaen" w:hAnsi="Sylfaen"/>
                <w:sz w:val="20"/>
                <w:szCs w:val="20"/>
              </w:rPr>
              <w:t>մ</w:t>
            </w:r>
            <w:r w:rsidR="00CF7365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ավարությունների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14495" w:type="dxa"/>
            <w:gridSpan w:val="3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II. Վիճակագրություն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5.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Վիճակագրության ոլորտում գործառնության ժամանակակից սկզբունքների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միջազգային ստանդարտների հիման վրա ԵԱՏՄ վիճակագրական համակարգի զարգացում, որը կապահովի </w:t>
            </w:r>
            <w:r w:rsidR="00CF7365" w:rsidRPr="004A2309">
              <w:rPr>
                <w:rStyle w:val="Bodytext511pt"/>
                <w:rFonts w:ascii="Sylfaen" w:hAnsi="Sylfaen"/>
                <w:sz w:val="20"/>
                <w:szCs w:val="20"/>
              </w:rPr>
              <w:t>ԵԱՏՄ սոցիալ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>-</w:t>
            </w:r>
            <w:r w:rsidR="00CF7365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տնտեսական վիճակի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="00CF7365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զարգացման վերաբերյալ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որակյալ վիճակագրական տեղեկատվության տրամադրում</w:t>
            </w:r>
            <w:r w:rsidR="00A46C87" w:rsidRPr="004A2309">
              <w:rPr>
                <w:rStyle w:val="Bodytext511pt"/>
                <w:rFonts w:ascii="Sylfaen" w:hAnsi="Sylfaen"/>
                <w:sz w:val="20"/>
                <w:szCs w:val="20"/>
              </w:rPr>
              <w:t>ը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։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Վիճակագրության դեպարտամենտ, Ձեռնարկատիրական գործունեության զարգացման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Գլոբալացման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զարգացման </w:t>
            </w:r>
            <w:r w:rsidR="00CF7365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ռազմավարությունների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14495" w:type="dxa"/>
            <w:gridSpan w:val="3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III. Մրցակցային օրենսդրություն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մրցակցային քաղաքականություն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6.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ՄԱԿ-ի գլխավոր վեհաժողովի 1980 թվականի դեկտեմբերի 5-ի «Բազմակողմանի հիմունքներով համաձայնեցված արդար համալիր սկզբունքներ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կանոններ՝ սահմանափակող գործարար գործելակերպի հսկողության համար» թիվ 35/63 բանաձ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ի իրականացման հարցերով փոխգործակցություն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Հակամենաշնորհային կարգավորման դեպարտամենտ, Մրցակցային քաղաքականության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պետական գնումների ոլորտում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D51CF1" w:rsidRPr="004A2309" w:rsidTr="00530071">
        <w:trPr>
          <w:jc w:val="center"/>
        </w:trPr>
        <w:tc>
          <w:tcPr>
            <w:tcW w:w="14495" w:type="dxa"/>
            <w:gridSpan w:val="3"/>
            <w:shd w:val="clear" w:color="auto" w:fill="FFFFFF"/>
          </w:tcPr>
          <w:p w:rsidR="00D51CF1" w:rsidRPr="004A2309" w:rsidRDefault="00D51CF1" w:rsidP="00D51CF1">
            <w:pPr>
              <w:spacing w:after="120"/>
              <w:ind w:left="109" w:right="147"/>
              <w:jc w:val="center"/>
              <w:rPr>
                <w:sz w:val="20"/>
                <w:szCs w:val="20"/>
              </w:rPr>
            </w:pPr>
            <w:r w:rsidRPr="004A2309">
              <w:rPr>
                <w:rStyle w:val="Bodytext511pt"/>
                <w:rFonts w:ascii="Sylfaen" w:eastAsia="Sylfaen" w:hAnsi="Sylfaen"/>
                <w:sz w:val="20"/>
                <w:szCs w:val="20"/>
              </w:rPr>
              <w:t>IV. Սպառողների իրավունքների պաշտպանություն</w:t>
            </w:r>
          </w:p>
        </w:tc>
      </w:tr>
      <w:tr w:rsidR="00A17D78" w:rsidRPr="004A2309" w:rsidTr="00D51CF1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7.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ՄԱԿ-ի գլխավոր վեհաժողովի 2015 թվականի դեկտեմբերի 22-ի թիվ 70/186 բանաձ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ում շարադրված՝ </w:t>
            </w:r>
            <w:r w:rsidR="00896BDA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Միավորված ազգերի կազմակերպության՝ սպառողների շահերի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պաշտպանության համար ղեկավար սկզբունքների իրականացման հարցերով փոխգործակցություն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Սանիտարական, բուսասանիտարական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անասնաբուժական միջոցառումների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A17D78" w:rsidRPr="004A2309" w:rsidTr="00D51CF1">
        <w:trPr>
          <w:jc w:val="center"/>
        </w:trPr>
        <w:tc>
          <w:tcPr>
            <w:tcW w:w="14495" w:type="dxa"/>
            <w:gridSpan w:val="3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V.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տուրը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3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8.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Գլոբալ պարենային անվտանգության ապահովման հարցերով փորձի փոխանակում: ԵԱՏՄ-ում գյուղատնտեսական արտադրանքի, պարենի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 xml:space="preserve">ապրանքների արտադրության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դրանց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զարգացում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 xml:space="preserve">Ագրոարդյունաբերական քաղաքականության դեպարտամենտ, Էներգետիկայի դեպարտամենտ,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>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>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FD0F7A" w:rsidRPr="004A2309" w:rsidRDefault="00445318" w:rsidP="00D51CF1">
            <w:pPr>
              <w:pStyle w:val="Bodytext5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9.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Ագրոարդյունաբերական համալիրի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ագրարային հատվածում կոոպերացիայի զարգացում՝ դրանց հավասարակշռված զարգացման նպատակներով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Ագրոարդյունաբերական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10.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ԵԱՏՄ-ում մտավոր սեփականության պահպանության, պաշտպանության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օգտագործման համակարգի արդյունավետության բարձրացման նպատակներով փոխգործակցություն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Ձեռնարկատիրական գործունեության զարգացման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դեպարտամենտ,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11.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Համագործակցություն՝ առանձնաշնորհումների ընդհանուր համակարգի կիրառման ոլորտում, այդ թվում՝ ԵԱՏՄ սակագնային առանձնաշնորհումների միասնական համակարգի կիրառման ուղեցույցի նախապատրաստման շուրջ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A17D78" w:rsidRPr="004A2309" w:rsidTr="00D51CF1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12.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տրի </w:t>
            </w:r>
            <w:r w:rsidR="00896BDA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ազատականացման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ոչ սակագնային կարգավորման արդյունավետության բարձրացման հարցերով փորձի փոխանակում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Մաքսասակագնային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ոչ սակագնային կարգավորման դեպարտամենտ,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D51CF1" w:rsidRPr="004A2309" w:rsidTr="009A314A">
        <w:trPr>
          <w:jc w:val="center"/>
        </w:trPr>
        <w:tc>
          <w:tcPr>
            <w:tcW w:w="5832" w:type="dxa"/>
            <w:vMerge w:val="restart"/>
            <w:shd w:val="clear" w:color="auto" w:fill="FFFFFF"/>
          </w:tcPr>
          <w:p w:rsidR="00D51CF1" w:rsidRPr="004A2309" w:rsidRDefault="00D51CF1" w:rsidP="00D51CF1">
            <w:pPr>
              <w:pStyle w:val="Bodytext5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13.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  <w:t>Հանձնաժողովի վերլուծական ներուժի ամրապնդման մոտեցումների մշակում հետ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յալ մասով՝ փոխադարձ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վրա պետական կարգավորման միջոցների ազդեցության գնահատումը</w:t>
            </w:r>
            <w:r w:rsidRPr="004A2309">
              <w:t xml:space="preserve">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ոլորտում անդամ պետությունների օրենսդրության վերլուծություն</w:t>
            </w:r>
          </w:p>
        </w:tc>
        <w:tc>
          <w:tcPr>
            <w:tcW w:w="3835" w:type="dxa"/>
            <w:shd w:val="clear" w:color="auto" w:fill="FFFFFF"/>
          </w:tcPr>
          <w:p w:rsidR="00D51CF1" w:rsidRPr="004A2309" w:rsidRDefault="00D51CF1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Ներքին շուկաների գործունեության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D51CF1" w:rsidRPr="004A2309" w:rsidRDefault="00D51CF1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D51CF1" w:rsidRPr="004A2309" w:rsidTr="00D51CF1">
        <w:trPr>
          <w:jc w:val="center"/>
        </w:trPr>
        <w:tc>
          <w:tcPr>
            <w:tcW w:w="5832" w:type="dxa"/>
            <w:vMerge/>
            <w:shd w:val="clear" w:color="auto" w:fill="FFFFFF"/>
          </w:tcPr>
          <w:p w:rsidR="00D51CF1" w:rsidRPr="004A2309" w:rsidRDefault="00D51CF1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FFFFFF"/>
          </w:tcPr>
          <w:p w:rsidR="00D51CF1" w:rsidRPr="004A2309" w:rsidRDefault="00D51CF1" w:rsidP="009A314A">
            <w:pPr>
              <w:spacing w:after="120"/>
              <w:ind w:left="109" w:right="147"/>
              <w:rPr>
                <w:sz w:val="20"/>
                <w:szCs w:val="20"/>
              </w:rPr>
            </w:pPr>
          </w:p>
        </w:tc>
        <w:tc>
          <w:tcPr>
            <w:tcW w:w="4828" w:type="dxa"/>
            <w:shd w:val="clear" w:color="auto" w:fill="FFFFFF"/>
          </w:tcPr>
          <w:p w:rsidR="00D51CF1" w:rsidRPr="004A2309" w:rsidRDefault="00D51CF1" w:rsidP="009A314A">
            <w:pPr>
              <w:spacing w:after="120"/>
              <w:ind w:left="109" w:right="147"/>
              <w:rPr>
                <w:sz w:val="20"/>
                <w:szCs w:val="20"/>
              </w:rPr>
            </w:pP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14.</w:t>
            </w:r>
            <w:r w:rsidR="009A314A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տրատնտեսական վեճերի կարգավորման (</w:t>
            </w:r>
            <w:r w:rsidR="002D25BE" w:rsidRPr="004A2309">
              <w:rPr>
                <w:rStyle w:val="Bodytext511pt"/>
                <w:rFonts w:ascii="Sylfaen" w:hAnsi="Sylfaen"/>
                <w:sz w:val="20"/>
                <w:szCs w:val="20"/>
              </w:rPr>
              <w:t>միջնորդ-հաշտարարությ</w:t>
            </w:r>
            <w:r w:rsidR="00553519" w:rsidRPr="004A2309">
              <w:rPr>
                <w:rStyle w:val="Bodytext511pt"/>
                <w:rFonts w:ascii="Sylfaen" w:hAnsi="Sylfaen"/>
                <w:sz w:val="20"/>
                <w:szCs w:val="20"/>
              </w:rPr>
              <w:t>ա</w:t>
            </w:r>
            <w:r w:rsidR="002D25BE" w:rsidRPr="004A2309">
              <w:rPr>
                <w:rStyle w:val="Bodytext511pt"/>
                <w:rFonts w:ascii="Sylfaen" w:hAnsi="Sylfaen"/>
                <w:sz w:val="20"/>
                <w:szCs w:val="20"/>
              </w:rPr>
              <w:t>ն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) լավագույն միջազգային գործելակերպերի օգտագործման հնարավոր </w:t>
            </w:r>
            <w:r w:rsidR="002D25B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ուղիների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որոշում 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Ներքին շուկաների գործունեության դեպարտամենտ,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>15.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ԵԱՏՄ ներքին շուկաների գործունեության մասով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տրային արգելքների համակարգման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դասակարգման մեջ </w:t>
            </w:r>
            <w:r w:rsidR="009100E1" w:rsidRPr="004A2309">
              <w:rPr>
                <w:rFonts w:ascii="Sylfaen" w:hAnsi="Sylfaen"/>
                <w:sz w:val="20"/>
                <w:szCs w:val="20"/>
              </w:rPr>
              <w:t>ՅՈՒՆԿԹԱԴ</w:t>
            </w:r>
            <w:r w:rsidR="00525354" w:rsidRPr="004A2309">
              <w:rPr>
                <w:rFonts w:ascii="Sylfaen" w:hAnsi="Sylfaen"/>
                <w:sz w:val="20"/>
                <w:szCs w:val="20"/>
              </w:rPr>
              <w:t>-</w:t>
            </w:r>
            <w:r w:rsidR="009100E1" w:rsidRPr="004A2309">
              <w:rPr>
                <w:rFonts w:ascii="Sylfaen" w:hAnsi="Sylfaen"/>
                <w:sz w:val="20"/>
                <w:szCs w:val="20"/>
              </w:rPr>
              <w:t>ի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վերլուծական բազայի կիրառման հնարավորության ուսումնասիրություն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Ներքին շուկաների գործունեության դեպարտամենտ,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16.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="009100E1" w:rsidRPr="004A2309">
              <w:rPr>
                <w:rFonts w:ascii="Sylfaen" w:hAnsi="Sylfaen"/>
                <w:sz w:val="20"/>
                <w:szCs w:val="20"/>
              </w:rPr>
              <w:t>ՅՈՒՆԿԹԱԴ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-ի փորձի հիման վրա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տրային արգելքների վերացման, ընդհանուր շուկաների ստեղծման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տնտեսական համագործակցության զարգացման հնարավոր հեռանկարային մեխանիզմների հայտնաբերում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Ներքին շուկաների գործունեության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17.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="009100E1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Ինտեգրացիոն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միավորումների շրջանակներում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տրային արգելքների հայտնաբերմանը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վերացման</w:t>
            </w:r>
            <w:r w:rsidR="00211926" w:rsidRPr="004A2309">
              <w:rPr>
                <w:rStyle w:val="Bodytext511pt"/>
                <w:rFonts w:ascii="Sylfaen" w:hAnsi="Sylfaen"/>
                <w:sz w:val="20"/>
                <w:szCs w:val="20"/>
              </w:rPr>
              <w:t>ն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ուղղված տեղեկատվական փոխգործակցություն 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>ձ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ավորելիս </w:t>
            </w:r>
            <w:r w:rsidR="008B5DFE" w:rsidRPr="004A2309">
              <w:rPr>
                <w:rFonts w:ascii="Sylfaen" w:hAnsi="Sylfaen"/>
                <w:sz w:val="20"/>
                <w:szCs w:val="20"/>
              </w:rPr>
              <w:t>ՅՈՒՆԿԹԱԴ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>-ի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մեթոդոլոգիական բազայի կիրառում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Ներքին շուկաների գործունեության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Ապրանքների, ծառայությունների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հումքային ապրանքների միջազգային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 դեպարտամենտ</w:t>
            </w:r>
          </w:p>
        </w:tc>
      </w:tr>
      <w:tr w:rsidR="00D51CF1" w:rsidRPr="004A2309" w:rsidTr="005D3120">
        <w:trPr>
          <w:jc w:val="center"/>
        </w:trPr>
        <w:tc>
          <w:tcPr>
            <w:tcW w:w="14495" w:type="dxa"/>
            <w:gridSpan w:val="3"/>
            <w:shd w:val="clear" w:color="auto" w:fill="FFFFFF"/>
          </w:tcPr>
          <w:p w:rsidR="00D51CF1" w:rsidRPr="004A2309" w:rsidRDefault="00D51CF1" w:rsidP="00D51CF1">
            <w:pPr>
              <w:spacing w:after="120"/>
              <w:ind w:left="109" w:right="147"/>
              <w:jc w:val="center"/>
              <w:rPr>
                <w:sz w:val="20"/>
                <w:szCs w:val="20"/>
              </w:rPr>
            </w:pPr>
            <w:r w:rsidRPr="004A2309">
              <w:rPr>
                <w:rStyle w:val="Bodytext511pt"/>
                <w:rFonts w:ascii="Sylfaen" w:eastAsia="Sylfaen" w:hAnsi="Sylfaen"/>
                <w:sz w:val="20"/>
                <w:szCs w:val="20"/>
              </w:rPr>
              <w:t xml:space="preserve">IV. Ներդրումներ </w:t>
            </w:r>
            <w:r w:rsidR="009616A7">
              <w:rPr>
                <w:rStyle w:val="Bodytext511pt"/>
                <w:rFonts w:ascii="Sylfaen" w:eastAsia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eastAsia="Sylfaen" w:hAnsi="Sylfaen"/>
                <w:sz w:val="20"/>
                <w:szCs w:val="20"/>
              </w:rPr>
              <w:t xml:space="preserve"> ձեռնարկատիրություն</w:t>
            </w:r>
          </w:p>
        </w:tc>
      </w:tr>
      <w:tr w:rsidR="00A17D78" w:rsidRPr="004A2309" w:rsidTr="00D51CF1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3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18.</w:t>
            </w:r>
            <w:r w:rsidR="009A314A" w:rsidRPr="004A2309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Ձեռնարկատիրության զարգացման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ոլորտում փորձի փոխանակում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ծառայությունների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տրի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, հիմնադրման, գործունեության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ներդրումների իրականացման ոլորտում միջազգային գործելակերպի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առավել առաջադիմական մոդելների ուսումնասիրություն,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այդ թվում՝ բիզնեսի համար վարչական ընթացակարգերի պարզեցման գործելակերպի </w:t>
            </w:r>
            <w:r w:rsidR="008B5DFE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ուսումնասիրություն 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Ձեռնարկատիրական</w:t>
            </w:r>
            <w:r w:rsidR="00B12FCC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գործունեության զարգացման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Ներդրումների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ձեռնարկատիրության դեպարտամենտ</w:t>
            </w:r>
          </w:p>
        </w:tc>
      </w:tr>
      <w:tr w:rsidR="00A17D78" w:rsidRPr="004A2309" w:rsidTr="00D51CF1">
        <w:trPr>
          <w:jc w:val="center"/>
        </w:trPr>
        <w:tc>
          <w:tcPr>
            <w:tcW w:w="14495" w:type="dxa"/>
            <w:gridSpan w:val="3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VII. Տեխնոլոգիաներ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նորարարություններ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1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19.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Տեղեկատվական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հաղորդակցական տեխնոլոգիաների օգտագործման մշտական հիմունքներով հասանելիության ընդլայնում, մաքսային սահմանով ապրանքներ տեղափոխելիս մաքսային գործառնությունների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այլ ընթացակարգերի կատարման կարգի պարզեցում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իրավակիրառ պրակտիկայի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Տեխնոլոգիաների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լոգիստիկայի դեպարտամենտ</w:t>
            </w:r>
          </w:p>
        </w:tc>
      </w:tr>
      <w:tr w:rsidR="00A17D78" w:rsidRPr="004A2309" w:rsidTr="009A314A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46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lastRenderedPageBreak/>
              <w:t>20.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Արտաքին տնտեսական գործունեության կարգավորման համակարգում «մեկ պատուհանի» մեխանիզմներ ներդնելիս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զարգացնելիս փորձի փոխանակում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իրավակիրառ </w:t>
            </w:r>
            <w:r w:rsidR="00525C90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պրակտիկայի 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դեպարտամենտ,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տրային քաղաքականության դեպարտամենտ, Տրանսպորտի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ենթակառուցվածքի դեպարտամենտ, Ֆինանսական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Տեխնոլոգիաների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լոգիստիկայի դեպարտամենտ</w:t>
            </w:r>
          </w:p>
        </w:tc>
      </w:tr>
      <w:tr w:rsidR="00A17D78" w:rsidRPr="004A2309" w:rsidTr="00D51CF1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04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21.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Փոխգործակցություն՝ թվային հասարակության զարգացման աջակցության, ինչպես նա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տնտեսության թվային </w:t>
            </w:r>
            <w:r w:rsidR="00525C90"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վերափոխման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«թվային </w:t>
            </w:r>
            <w:r w:rsidR="00525C90" w:rsidRPr="004A2309">
              <w:rPr>
                <w:rStyle w:val="Bodytext511pt"/>
                <w:rFonts w:ascii="Sylfaen" w:hAnsi="Sylfaen"/>
                <w:sz w:val="20"/>
                <w:szCs w:val="20"/>
              </w:rPr>
              <w:t>ճեղքվածքի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» խնդրի հաղթահարման բնագավառում տեղեկատվական հաղորդակցական տեխնոլոգիաների դերի ուսումնասիրության ոլորտում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Տեղեկատվական տեխնոլոգիաների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Տեխնոլոգիաների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լոգիստիկայի դեպարտամենտ</w:t>
            </w:r>
          </w:p>
        </w:tc>
      </w:tr>
      <w:tr w:rsidR="00A17D78" w:rsidRPr="004A2309" w:rsidTr="00D51CF1">
        <w:trPr>
          <w:jc w:val="center"/>
        </w:trPr>
        <w:tc>
          <w:tcPr>
            <w:tcW w:w="5832" w:type="dxa"/>
            <w:shd w:val="clear" w:color="auto" w:fill="FFFFFF"/>
          </w:tcPr>
          <w:p w:rsidR="00A17D78" w:rsidRPr="004A2309" w:rsidRDefault="00445318" w:rsidP="00D51CF1">
            <w:pPr>
              <w:pStyle w:val="Bodytext5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22.</w:t>
            </w:r>
            <w:r w:rsidR="009A314A" w:rsidRPr="009616A7">
              <w:rPr>
                <w:rStyle w:val="Bodytext511pt"/>
                <w:rFonts w:ascii="Sylfaen" w:hAnsi="Sylfaen"/>
                <w:sz w:val="20"/>
                <w:szCs w:val="20"/>
              </w:rPr>
              <w:tab/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Ապրանքների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ծառայությունների էլեկտրոնային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տուր իրականացնելիս անդրսահմանային էլեկտրոնային </w:t>
            </w:r>
            <w:r w:rsidR="00525354" w:rsidRPr="004A2309">
              <w:rPr>
                <w:rStyle w:val="Bodytext511pt"/>
                <w:rFonts w:ascii="Sylfaen" w:hAnsi="Sylfaen"/>
                <w:sz w:val="20"/>
                <w:szCs w:val="20"/>
              </w:rPr>
              <w:t>փոխգործակցության գոր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ծընթացների կատարելագործման նպատակներով տեղեկատվական հաղորդակցական տեխնոլոգիաների կիրառման հետ կապված գործընթացների նորմատիվ կարգավորման հարցերի շուրջ փորձի փոխանակում</w:t>
            </w:r>
          </w:p>
        </w:tc>
        <w:tc>
          <w:tcPr>
            <w:tcW w:w="3835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Տեղեկատվական տեխնոլոգիաների դեպարտամենտ, Ներքին շուկաների գործունեության դեպարտամենտ, Առ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>տրային քաղաքականության դեպարտամենտ, Ֆինանսական քաղաքականության դեպարտամենտ</w:t>
            </w:r>
          </w:p>
        </w:tc>
        <w:tc>
          <w:tcPr>
            <w:tcW w:w="4828" w:type="dxa"/>
            <w:shd w:val="clear" w:color="auto" w:fill="FFFFFF"/>
          </w:tcPr>
          <w:p w:rsidR="00A17D78" w:rsidRPr="004A2309" w:rsidRDefault="00445318" w:rsidP="009A314A">
            <w:pPr>
              <w:pStyle w:val="Bodytext50"/>
              <w:shd w:val="clear" w:color="auto" w:fill="auto"/>
              <w:spacing w:before="0" w:after="120" w:line="240" w:lineRule="auto"/>
              <w:ind w:left="109" w:right="14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Տեխնոլոգիաների </w:t>
            </w:r>
            <w:r w:rsidR="009616A7">
              <w:rPr>
                <w:rStyle w:val="Bodytext511pt"/>
                <w:rFonts w:ascii="Sylfaen" w:hAnsi="Sylfaen"/>
                <w:sz w:val="20"/>
                <w:szCs w:val="20"/>
              </w:rPr>
              <w:t>և</w:t>
            </w:r>
            <w:r w:rsidRPr="004A2309">
              <w:rPr>
                <w:rStyle w:val="Bodytext511pt"/>
                <w:rFonts w:ascii="Sylfaen" w:hAnsi="Sylfaen"/>
                <w:sz w:val="20"/>
                <w:szCs w:val="20"/>
              </w:rPr>
              <w:t xml:space="preserve"> լոգիստիկայի դեպարտամենտ</w:t>
            </w:r>
          </w:p>
        </w:tc>
      </w:tr>
    </w:tbl>
    <w:p w:rsidR="00A17D78" w:rsidRPr="004A2309" w:rsidRDefault="00A17D78" w:rsidP="00D51CF1">
      <w:pPr>
        <w:spacing w:after="160" w:line="360" w:lineRule="auto"/>
        <w:jc w:val="center"/>
        <w:rPr>
          <w:lang w:val="en-US"/>
        </w:rPr>
      </w:pPr>
    </w:p>
    <w:p w:rsidR="009A314A" w:rsidRPr="009A314A" w:rsidRDefault="009A314A" w:rsidP="009A314A">
      <w:pPr>
        <w:spacing w:after="160" w:line="360" w:lineRule="auto"/>
        <w:jc w:val="center"/>
        <w:rPr>
          <w:lang w:val="en-US"/>
        </w:rPr>
      </w:pPr>
      <w:r w:rsidRPr="004A2309">
        <w:rPr>
          <w:lang w:val="en-US"/>
        </w:rPr>
        <w:t>______________</w:t>
      </w:r>
    </w:p>
    <w:sectPr w:rsidR="009A314A" w:rsidRPr="009A314A" w:rsidSect="00B12FCC">
      <w:pgSz w:w="16839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D7B" w:rsidRDefault="005F1D7B" w:rsidP="00A17D78">
      <w:r>
        <w:separator/>
      </w:r>
    </w:p>
  </w:endnote>
  <w:endnote w:type="continuationSeparator" w:id="0">
    <w:p w:rsidR="005F1D7B" w:rsidRDefault="005F1D7B" w:rsidP="00A1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D7B" w:rsidRDefault="005F1D7B"/>
  </w:footnote>
  <w:footnote w:type="continuationSeparator" w:id="0">
    <w:p w:rsidR="005F1D7B" w:rsidRDefault="005F1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6399"/>
    <w:multiLevelType w:val="multilevel"/>
    <w:tmpl w:val="F8CAE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D78"/>
    <w:rsid w:val="000F68A3"/>
    <w:rsid w:val="00211926"/>
    <w:rsid w:val="002D25BE"/>
    <w:rsid w:val="00301B57"/>
    <w:rsid w:val="00305355"/>
    <w:rsid w:val="0032532D"/>
    <w:rsid w:val="00337D02"/>
    <w:rsid w:val="003845F4"/>
    <w:rsid w:val="003C0AC0"/>
    <w:rsid w:val="00445318"/>
    <w:rsid w:val="004A2309"/>
    <w:rsid w:val="0050036E"/>
    <w:rsid w:val="005037ED"/>
    <w:rsid w:val="00525354"/>
    <w:rsid w:val="00525C90"/>
    <w:rsid w:val="00553519"/>
    <w:rsid w:val="00573696"/>
    <w:rsid w:val="005F1D7B"/>
    <w:rsid w:val="00701445"/>
    <w:rsid w:val="00710C73"/>
    <w:rsid w:val="00774800"/>
    <w:rsid w:val="008448CE"/>
    <w:rsid w:val="00896BDA"/>
    <w:rsid w:val="008B5DFE"/>
    <w:rsid w:val="008C186A"/>
    <w:rsid w:val="008E134B"/>
    <w:rsid w:val="009100E1"/>
    <w:rsid w:val="009616A7"/>
    <w:rsid w:val="009A314A"/>
    <w:rsid w:val="00A17D78"/>
    <w:rsid w:val="00A46C87"/>
    <w:rsid w:val="00A47DB7"/>
    <w:rsid w:val="00AC43E3"/>
    <w:rsid w:val="00B12FCC"/>
    <w:rsid w:val="00BB32D4"/>
    <w:rsid w:val="00C61BBD"/>
    <w:rsid w:val="00CA1151"/>
    <w:rsid w:val="00CB7D05"/>
    <w:rsid w:val="00CF7365"/>
    <w:rsid w:val="00D51CF1"/>
    <w:rsid w:val="00E1112C"/>
    <w:rsid w:val="00E76E46"/>
    <w:rsid w:val="00F130F6"/>
    <w:rsid w:val="00FC0980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0443"/>
  <w15:docId w15:val="{CC9A78D1-7C14-49A8-A06B-37E61B16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17D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7D7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A1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aliases w:val="Spacing 4 pt"/>
    <w:basedOn w:val="Bodytext5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4">
    <w:name w:val="Heading #2 (4)_"/>
    <w:basedOn w:val="DefaultParagraphFont"/>
    <w:link w:val="Heading240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4Spacing2pt">
    <w:name w:val="Heading #2 (4) + Spacing 2 pt"/>
    <w:basedOn w:val="Heading24"/>
    <w:rsid w:val="00A17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11pt">
    <w:name w:val="Body text (5) + 11 pt"/>
    <w:basedOn w:val="Bodytext5"/>
    <w:rsid w:val="00A1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17D7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17D7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17D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A17D78"/>
    <w:pPr>
      <w:shd w:val="clear" w:color="auto" w:fill="FFFFFF"/>
      <w:spacing w:before="420"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40">
    <w:name w:val="Heading #2 (4)"/>
    <w:basedOn w:val="Normal"/>
    <w:link w:val="Heading24"/>
    <w:rsid w:val="00A17D78"/>
    <w:pPr>
      <w:shd w:val="clear" w:color="auto" w:fill="FFFFFF"/>
      <w:spacing w:before="1440" w:line="338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0F6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30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2D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E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Arpine Khachatryan</cp:lastModifiedBy>
  <cp:revision>21</cp:revision>
  <dcterms:created xsi:type="dcterms:W3CDTF">2019-04-23T08:30:00Z</dcterms:created>
  <dcterms:modified xsi:type="dcterms:W3CDTF">2020-05-06T07:25:00Z</dcterms:modified>
</cp:coreProperties>
</file>