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F3" w:rsidRPr="000F7C0B" w:rsidRDefault="00B743F3" w:rsidP="000F7C0B">
      <w:pPr>
        <w:pStyle w:val="Bodytext20"/>
        <w:shd w:val="clear" w:color="auto" w:fill="auto"/>
        <w:spacing w:before="0" w:after="160" w:line="360" w:lineRule="auto"/>
        <w:ind w:left="9356" w:right="-30"/>
        <w:jc w:val="center"/>
        <w:rPr>
          <w:rFonts w:ascii="Sylfaen" w:hAnsi="Sylfaen"/>
          <w:sz w:val="24"/>
          <w:szCs w:val="24"/>
        </w:rPr>
      </w:pPr>
      <w:r w:rsidRPr="000F7C0B">
        <w:rPr>
          <w:rFonts w:ascii="Sylfaen" w:hAnsi="Sylfaen"/>
          <w:sz w:val="24"/>
          <w:szCs w:val="24"/>
        </w:rPr>
        <w:t>ՀԱՍՏԱՏՎԱԾ Է</w:t>
      </w:r>
    </w:p>
    <w:p w:rsidR="006D274A" w:rsidRDefault="00B743F3" w:rsidP="00464C04">
      <w:pPr>
        <w:pStyle w:val="Bodytext20"/>
        <w:shd w:val="clear" w:color="auto" w:fill="auto"/>
        <w:tabs>
          <w:tab w:val="left" w:pos="10348"/>
          <w:tab w:val="left" w:pos="12049"/>
        </w:tabs>
        <w:spacing w:before="0" w:after="160" w:line="360" w:lineRule="auto"/>
        <w:ind w:left="9356" w:right="-30"/>
        <w:jc w:val="center"/>
        <w:rPr>
          <w:rFonts w:ascii="Sylfaen" w:hAnsi="Sylfaen"/>
          <w:sz w:val="24"/>
          <w:szCs w:val="24"/>
        </w:rPr>
      </w:pPr>
      <w:r w:rsidRPr="000F7C0B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0936A2" w:rsidRPr="000F7C0B">
        <w:rPr>
          <w:rFonts w:ascii="Sylfaen" w:hAnsi="Sylfaen"/>
          <w:sz w:val="24"/>
          <w:szCs w:val="24"/>
        </w:rPr>
        <w:br/>
      </w:r>
      <w:r w:rsidRPr="000F7C0B">
        <w:rPr>
          <w:rFonts w:ascii="Sylfaen" w:hAnsi="Sylfaen"/>
          <w:sz w:val="24"/>
          <w:szCs w:val="24"/>
        </w:rPr>
        <w:t>2017 թվականի</w:t>
      </w:r>
      <w:r w:rsidR="00464C04">
        <w:rPr>
          <w:rFonts w:ascii="Sylfaen" w:hAnsi="Sylfaen"/>
          <w:sz w:val="24"/>
          <w:szCs w:val="24"/>
        </w:rPr>
        <w:tab/>
        <w:t>ի</w:t>
      </w:r>
      <w:r w:rsidR="000936A2" w:rsidRPr="000F7C0B">
        <w:rPr>
          <w:rFonts w:ascii="Sylfaen" w:hAnsi="Sylfaen"/>
          <w:sz w:val="24"/>
          <w:szCs w:val="24"/>
        </w:rPr>
        <w:br/>
      </w:r>
      <w:r w:rsidRPr="000F7C0B">
        <w:rPr>
          <w:rFonts w:ascii="Sylfaen" w:hAnsi="Sylfaen"/>
          <w:sz w:val="24"/>
          <w:szCs w:val="24"/>
        </w:rPr>
        <w:t>թիվ</w:t>
      </w:r>
      <w:r w:rsidR="00ED09D8">
        <w:rPr>
          <w:rFonts w:ascii="Sylfaen" w:hAnsi="Sylfaen"/>
          <w:sz w:val="24"/>
          <w:szCs w:val="24"/>
        </w:rPr>
        <w:tab/>
      </w:r>
      <w:r w:rsidRPr="000F7C0B">
        <w:rPr>
          <w:rFonts w:ascii="Sylfaen" w:hAnsi="Sylfaen"/>
          <w:sz w:val="24"/>
          <w:szCs w:val="24"/>
        </w:rPr>
        <w:t>որոշմամբ</w:t>
      </w:r>
    </w:p>
    <w:p w:rsidR="00464C04" w:rsidRPr="000F7C0B" w:rsidRDefault="00464C04" w:rsidP="000F7C0B">
      <w:pPr>
        <w:pStyle w:val="Bodytext20"/>
        <w:shd w:val="clear" w:color="auto" w:fill="auto"/>
        <w:spacing w:before="0" w:after="160" w:line="360" w:lineRule="auto"/>
        <w:ind w:left="9356" w:right="-30"/>
        <w:jc w:val="center"/>
        <w:rPr>
          <w:rFonts w:ascii="Sylfaen" w:hAnsi="Sylfaen"/>
          <w:sz w:val="24"/>
          <w:szCs w:val="24"/>
        </w:rPr>
      </w:pPr>
    </w:p>
    <w:p w:rsidR="00B743F3" w:rsidRPr="000F7C0B" w:rsidRDefault="00B743F3" w:rsidP="000F7C0B">
      <w:pPr>
        <w:pStyle w:val="Bodytext40"/>
        <w:shd w:val="clear" w:color="auto" w:fill="auto"/>
        <w:spacing w:before="0" w:after="160" w:line="360" w:lineRule="auto"/>
        <w:ind w:left="567" w:right="679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  <w:r w:rsidRPr="000F7C0B">
        <w:rPr>
          <w:rStyle w:val="Bodytext4Spacing2pt"/>
          <w:rFonts w:ascii="Sylfaen" w:hAnsi="Sylfaen"/>
          <w:b/>
          <w:spacing w:val="0"/>
          <w:sz w:val="24"/>
          <w:szCs w:val="24"/>
        </w:rPr>
        <w:t>2017 ԹՎԱԿԱՆԻ</w:t>
      </w:r>
      <w:r w:rsidRPr="000F7C0B">
        <w:rPr>
          <w:rFonts w:ascii="Sylfaen" w:hAnsi="Sylfaen"/>
          <w:sz w:val="24"/>
          <w:szCs w:val="24"/>
        </w:rPr>
        <w:t xml:space="preserve"> </w:t>
      </w:r>
      <w:r w:rsidR="000F5153" w:rsidRPr="000F7C0B">
        <w:rPr>
          <w:rStyle w:val="Bodytext4Spacing2pt"/>
          <w:rFonts w:ascii="Sylfaen" w:hAnsi="Sylfaen"/>
          <w:b/>
          <w:spacing w:val="0"/>
          <w:sz w:val="24"/>
          <w:szCs w:val="24"/>
        </w:rPr>
        <w:t>ՄԱՆՐԱՄԱՍՆԵՑՎԱԾ ՊԼԱՆ</w:t>
      </w:r>
    </w:p>
    <w:p w:rsidR="006D274A" w:rsidRPr="000F7C0B" w:rsidRDefault="006D42B7" w:rsidP="000F7C0B">
      <w:pPr>
        <w:pStyle w:val="Bodytext4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0F7C0B">
        <w:rPr>
          <w:rFonts w:ascii="Sylfaen" w:hAnsi="Sylfaen"/>
          <w:sz w:val="24"/>
          <w:szCs w:val="24"/>
        </w:rPr>
        <w:t>ա</w:t>
      </w:r>
      <w:r w:rsidR="00B743F3" w:rsidRPr="000F7C0B">
        <w:rPr>
          <w:rFonts w:ascii="Sylfaen" w:hAnsi="Sylfaen"/>
          <w:sz w:val="24"/>
          <w:szCs w:val="24"/>
        </w:rPr>
        <w:t xml:space="preserve">րտաքին տնտեսական գործունեության կարգավորման համակարգում «մեկ պատուհան» </w:t>
      </w:r>
      <w:r w:rsidR="00311860">
        <w:rPr>
          <w:rFonts w:ascii="Sylfaen" w:hAnsi="Sylfaen"/>
          <w:sz w:val="24"/>
          <w:szCs w:val="24"/>
        </w:rPr>
        <w:br/>
      </w:r>
      <w:r w:rsidR="00B743F3" w:rsidRPr="000F7C0B">
        <w:rPr>
          <w:rFonts w:ascii="Sylfaen" w:hAnsi="Sylfaen"/>
          <w:sz w:val="24"/>
          <w:szCs w:val="24"/>
        </w:rPr>
        <w:t>մեխանիզմի զարգացման հիմնական ուղղությունների իրագործման միջոցառումների պլանի կատարման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070"/>
        <w:gridCol w:w="2220"/>
        <w:gridCol w:w="2117"/>
        <w:gridCol w:w="12"/>
        <w:gridCol w:w="2597"/>
        <w:gridCol w:w="3377"/>
      </w:tblGrid>
      <w:tr w:rsidR="004278DA" w:rsidRPr="00464C04" w:rsidTr="00311860">
        <w:trPr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Միջոցառման անվանումը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Միջոցառումների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ցանկի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համապատասխան կետը</w:t>
            </w:r>
            <w:r w:rsidR="000936A2" w:rsidRPr="00464C04">
              <w:rPr>
                <w:rStyle w:val="FootnoteReference"/>
                <w:rFonts w:ascii="Sylfaen" w:hAnsi="Sylfaen"/>
                <w:sz w:val="20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footnoteReference w:customMarkFollows="1" w:id="2"/>
              <w:t>Կատարման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ժամկետը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Պատասխանատու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կատարողը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Պլանավորվող արդյունքը</w:t>
            </w:r>
          </w:p>
        </w:tc>
      </w:tr>
      <w:tr w:rsidR="004278DA" w:rsidRPr="00464C04" w:rsidTr="00311860">
        <w:trPr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5</w:t>
            </w:r>
          </w:p>
        </w:tc>
      </w:tr>
      <w:tr w:rsidR="006D274A" w:rsidRPr="00464C04" w:rsidTr="00311860">
        <w:trPr>
          <w:jc w:val="center"/>
        </w:trPr>
        <w:tc>
          <w:tcPr>
            <w:tcW w:w="1201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6201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3980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 «Մեկ պատուհան» ազգային մեխանիզմների զարգացումը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</w:tcPr>
          <w:p w:rsidR="006D274A" w:rsidRPr="00464C04" w:rsidRDefault="006D274A" w:rsidP="00311860">
            <w:pPr>
              <w:spacing w:after="120"/>
              <w:jc w:val="both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պատուհան» ազգային մեխանիզմի էտալոնային մոդելի գործառույթների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="000936A2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կառուցվածքի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 xml:space="preserve">մանրամասն նկարագրի, այդ էտալոնային մոդելում ընդգրկված պետական ընթացակարգերի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ծառայությունների ցանկի մշակում ու հաստատում՝ հաշվի առնելով վերազգային հատվածը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կետ 1.6</w:t>
            </w:r>
          </w:p>
        </w:tc>
        <w:tc>
          <w:tcPr>
            <w:tcW w:w="212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59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Եվրասիական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տնտեսական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հանձնաժողով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(այսուհետ՝ Հանձնաժողով),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Եվրասիական տնտեսական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անդամ պետություններ (այսուհետ համապատասխանաբար՝ Միություն, անդամ պետություններ)</w:t>
            </w:r>
          </w:p>
        </w:tc>
        <w:tc>
          <w:tcPr>
            <w:tcW w:w="3377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 xml:space="preserve">Եվրասիական տնտեսական բարձրագույն խորհրդի </w:t>
            </w:r>
            <w:r w:rsidR="004F0647"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«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</w:t>
            </w:r>
            <w:r w:rsidR="004F0647" w:rsidRPr="00464C04">
              <w:rPr>
                <w:rStyle w:val="Bodytext21"/>
                <w:rFonts w:ascii="Sylfaen" w:hAnsi="Sylfaen"/>
                <w:sz w:val="20"/>
                <w:szCs w:val="24"/>
              </w:rPr>
              <w:t>Մ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եկ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> 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պատուհան» ազգային մեխանիզմի էտալոնային մոդելի հաստատման մասին</w:t>
            </w:r>
            <w:r w:rsidR="004F0647" w:rsidRPr="00464C04">
              <w:rPr>
                <w:rStyle w:val="Bodytext21"/>
                <w:rFonts w:ascii="Sylfaen" w:hAnsi="Sylfaen"/>
                <w:sz w:val="20"/>
                <w:szCs w:val="24"/>
              </w:rPr>
              <w:t>» որոշում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1.2.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պատուհան» ազգային մեխանիզմների մշակում, ներդրում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օպտիմալացում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1.7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պատուհան» ազգային մեխանիզմների զարգացման հայեցակարգերի </w:t>
            </w:r>
            <w:r w:rsidR="004F0647" w:rsidRPr="00464C04">
              <w:rPr>
                <w:rStyle w:val="Bodytext21"/>
                <w:rFonts w:ascii="Sylfaen" w:hAnsi="Sylfaen"/>
                <w:sz w:val="20"/>
                <w:szCs w:val="24"/>
              </w:rPr>
              <w:t>մշակում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կամ լրամշակում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պատուհան» ազգային մեխանիզմների ստեղծման միջոցառումների պլանների («ճանապարհային քարտեզների») </w:t>
            </w:r>
            <w:r w:rsidR="004F0647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պատրաստում կամ թարմացում՝ հաշվի առնելով Միության մարմինների ակտերը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092735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ազգային մեխանիզմի տարրերին վերաբերող փորձնական</w:t>
            </w:r>
            <w:r w:rsidR="000936A2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="00993A04" w:rsidRPr="00464C04">
              <w:rPr>
                <w:rStyle w:val="Bodytext21"/>
                <w:rFonts w:ascii="Sylfaen" w:hAnsi="Sylfaen"/>
                <w:sz w:val="20"/>
                <w:szCs w:val="24"/>
              </w:rPr>
              <w:t>ծրագրերի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իրականացում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467423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1.2.4.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մեխանիզմի գործունեության շրջանակներում էլեկտրոնային հայտարարագրման համակարգի զարգացում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նոյեմբեր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1.2.5.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Սահմանների համալիր կառավարում իրականացնելու մոտեցումների մշակում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սեպտեմբեր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1.2.6.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պետություններում արտաքին տնտեսական գործունեության ոլորտում էլեկտրոնային առ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տրի զարգացման մակարդակի վերլուծություն, եզրակացության </w:t>
            </w:r>
            <w:r w:rsidR="004343A1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մայիս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եզրակացություն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1.2.7.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մեխանիզմի գործունեության շրջանակներում ծովային անցակետերում նախնական տեղեկացման ինստիտուտի զարգացում, այդ թվում՝ էլեկտրոնային փաստաթղթաշրջանառությ</w:t>
            </w:r>
            <w:r w:rsidR="001603EF" w:rsidRPr="00464C04">
              <w:rPr>
                <w:rStyle w:val="Bodytext21"/>
                <w:rFonts w:ascii="Sylfaen" w:hAnsi="Sylfaen"/>
                <w:sz w:val="20"/>
                <w:szCs w:val="24"/>
              </w:rPr>
              <w:t>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 կիրառ</w:t>
            </w:r>
            <w:r w:rsidR="001603EF" w:rsidRPr="00464C04">
              <w:rPr>
                <w:rStyle w:val="Bodytext21"/>
                <w:rFonts w:ascii="Sylfaen" w:hAnsi="Sylfaen"/>
                <w:sz w:val="20"/>
                <w:szCs w:val="24"/>
              </w:rPr>
              <w:t>ելու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միջոցով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57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57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հոկտեմբեր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 (հայեցակարգ)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1.2.8.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մեխանիզմի գործունեության շրջանակներում ծովային անցակետերում էլեկտրոնային փաստաթղթաշրջանառության զարգացում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57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57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նոյեմբեր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 (հայեցակարգ)</w:t>
            </w:r>
          </w:p>
        </w:tc>
      </w:tr>
      <w:tr w:rsidR="00CA1693" w:rsidRPr="00464C04" w:rsidTr="00311860">
        <w:trPr>
          <w:jc w:val="center"/>
        </w:trPr>
        <w:tc>
          <w:tcPr>
            <w:tcW w:w="15393" w:type="dxa"/>
            <w:gridSpan w:val="6"/>
            <w:shd w:val="clear" w:color="auto" w:fill="FFFFFF"/>
          </w:tcPr>
          <w:p w:rsidR="00CA1693" w:rsidRPr="00464C04" w:rsidRDefault="009420AD" w:rsidP="00311860">
            <w:pPr>
              <w:pStyle w:val="Bodytext20"/>
              <w:shd w:val="clear" w:color="auto" w:fill="auto"/>
              <w:spacing w:before="0" w:after="120" w:line="240" w:lineRule="auto"/>
              <w:ind w:right="57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2. «Մեկ պատուհան» ազգային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մեխանիզմների զարգացման հետ կապված մոտեցումների մոտարկում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9420AD" w:rsidP="00311860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78" w:right="57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2.1.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  <w:t>«Մեկ պատուհան» ազգային մեխանիզմների զարգացման հետ կապված մոտեցումների մոտարկման գերակա ուղղությունների սահմանում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57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2.1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57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57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57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2.1.1.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</w:t>
            </w:r>
            <w:r w:rsidR="00761D0F" w:rsidRPr="00464C04">
              <w:rPr>
                <w:rStyle w:val="Bodytext21"/>
                <w:rFonts w:ascii="Sylfaen" w:hAnsi="Sylfaen"/>
                <w:sz w:val="20"/>
                <w:szCs w:val="24"/>
              </w:rPr>
              <w:t>**</w:t>
            </w:r>
            <w:r w:rsidR="000F7C0B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ազգային մեխանիզմի էլեկտրոնային մոդելի ներդրմանն ուղղված գործիքների (կանոնակարգերի, ստանդարտների) ցանկի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ավորում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Հանձնաժողովի կոլեգիայի </w:t>
            </w:r>
            <w:r w:rsidR="00025DE3"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հանձնարարական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2.1.2.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ազգային մեխանիզմի էտալոնային մոդելի մասին մոդելային օրենքի մշակում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464C04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2.1.3.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Բիզնես գործընթացների օպտիմալացման միասնական մոտեցումների մշակում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հանձնարարականի նախագիծ</w:t>
            </w:r>
          </w:p>
        </w:tc>
      </w:tr>
      <w:tr w:rsidR="00CA1693" w:rsidRPr="00464C04" w:rsidTr="00311860">
        <w:trPr>
          <w:jc w:val="center"/>
        </w:trPr>
        <w:tc>
          <w:tcPr>
            <w:tcW w:w="5070" w:type="dxa"/>
            <w:vMerge w:val="restart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2.1.4.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պետություններում արտաքին տնտեսական գործունեության ոլորտում էլեկտրոնային առ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տրի զարգացման հետ կապված մոտեցումների 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մ</w:t>
            </w:r>
            <w:r w:rsidR="00C24131" w:rsidRPr="00464C04">
              <w:rPr>
                <w:rFonts w:ascii="Sylfaen" w:hAnsi="Sylfaen"/>
                <w:sz w:val="20"/>
                <w:szCs w:val="24"/>
              </w:rPr>
              <w:t>ոտարկման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գերակա ուղղությունների սահմանում՝ սույն պլանի 1.2.6 ենթակետին համապատասխան </w:t>
            </w:r>
            <w:r w:rsidR="004343A1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պատրաստված եզրակացության հիման վրա</w:t>
            </w:r>
          </w:p>
        </w:tc>
        <w:tc>
          <w:tcPr>
            <w:tcW w:w="2220" w:type="dxa"/>
            <w:shd w:val="clear" w:color="auto" w:fill="FFFFFF"/>
          </w:tcPr>
          <w:p w:rsidR="00CA1693" w:rsidRPr="00464C04" w:rsidRDefault="00CA1693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գերակա ուղղությունների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սահմանման վերաբերյալ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CA1693" w:rsidRPr="00464C04" w:rsidTr="00311860">
        <w:trPr>
          <w:jc w:val="center"/>
        </w:trPr>
        <w:tc>
          <w:tcPr>
            <w:tcW w:w="5070" w:type="dxa"/>
            <w:vMerge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0323" w:type="dxa"/>
            <w:gridSpan w:val="5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</w:p>
        </w:tc>
      </w:tr>
      <w:tr w:rsidR="006D274A" w:rsidRPr="00464C04" w:rsidTr="00311860">
        <w:trPr>
          <w:jc w:val="center"/>
        </w:trPr>
        <w:tc>
          <w:tcPr>
            <w:tcW w:w="15393" w:type="dxa"/>
            <w:gridSpan w:val="6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 Արտաքին տնտեսական գործունեություն իրականացնելու համար անհրաժեշտ էլեկտրոնային փաստաթղթերի փոխադարձ ճանաչում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Արտաքին տնտեսական գործունեություն իրականացնելու համար անհրաժեշտ փաստաթղթեր</w:t>
            </w:r>
            <w:r w:rsidR="00EB6B8E" w:rsidRPr="00464C04">
              <w:rPr>
                <w:rStyle w:val="Bodytext21"/>
                <w:rFonts w:ascii="Sylfaen" w:hAnsi="Sylfaen"/>
                <w:sz w:val="20"/>
                <w:szCs w:val="24"/>
              </w:rPr>
              <w:t>ից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, ինչպես նա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անդամ պետությունների տարածքներում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ակերպվող էլեկտրոնային փաստաթղթերում պարունակվող տեղեկությունների միասնականացում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ներդաշնակեցում՝ դրանց փոխադարձ ճանաչման նպատակով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3.2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CA1693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092735" w:rsidRPr="00464C04" w:rsidRDefault="00CA1693" w:rsidP="00464C04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3.1.1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ազգային մեխանիզմների գործունեության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շրջանակներում Եվրասիական տնտեսական միության անդամ պետությունների պետական մարմինների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(կամ)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լիազորված կազմակերպությունների հետ շահագրգիռ անձանց՝ միասնականացման համար առաջնահերթ համարվող՝ Եվրասիական տնտեսական հանձնաժողովի կոլեգիայի 2015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> 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թվականի դեկտեմբերի 22-ի թիվ 171</w:t>
            </w:r>
            <w:r w:rsidR="00464C04" w:rsidRPr="00464C04">
              <w:rPr>
                <w:rStyle w:val="Bodytext21"/>
                <w:rFonts w:ascii="Sylfaen" w:hAnsi="Sylfaen"/>
                <w:sz w:val="20"/>
                <w:szCs w:val="24"/>
              </w:rPr>
              <w:t> 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որոշմամբ հաստատված ցանկով </w:t>
            </w:r>
            <w:r w:rsidR="00AB1E25" w:rsidRPr="00464C04">
              <w:rPr>
                <w:rStyle w:val="Bodytext21"/>
                <w:rFonts w:ascii="Sylfaen" w:hAnsi="Sylfaen"/>
                <w:sz w:val="20"/>
                <w:szCs w:val="24"/>
              </w:rPr>
              <w:t>(այսուհետ՝ ցանկ) սահմանված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B2G ընթացակարգերի համար անհրաժեշտ փաստաթղթերից</w:t>
            </w:r>
            <w:r w:rsidR="000936A2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տեղեկությունների ներդաշնակեցման համար առաջարկների </w:t>
            </w:r>
            <w:r w:rsidR="008C5A4A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պատրաստում</w:t>
            </w:r>
          </w:p>
        </w:tc>
        <w:tc>
          <w:tcPr>
            <w:tcW w:w="2220" w:type="dxa"/>
            <w:shd w:val="clear" w:color="auto" w:fill="FFFFFF"/>
          </w:tcPr>
          <w:p w:rsidR="00CA1693" w:rsidRPr="00464C04" w:rsidRDefault="00CA1693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hուլիս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CA1693" w:rsidRPr="00464C04" w:rsidRDefault="00CA169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փաստաթղթերի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փաստաթղթերից տեղեկությունների ցանկ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3.1.2.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Արտաքին տնտեսական գործունեություն իրականացնելու համար անհրաժեշտ տեղեկությունների ներդաշնակեցման համար գործիքների ստեղծում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զարգացում՝ Միության տվյալների մոդելի զարգացման շրջանակներում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635D6E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Միության </w:t>
            </w:r>
            <w:r w:rsidR="00A04AF1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պաշտոնական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կայքում հրապարակված՝ Միության տվյալների մոդել</w:t>
            </w:r>
          </w:p>
        </w:tc>
      </w:tr>
      <w:tr w:rsidR="00CE0420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3.1.3.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Փաստաթղթերի էլեկտրոնային տարբերակին (էլեկտրոնային փաստաթղթերին), էլեկտրոնային տարբերակով դրանց կառուցվածքներին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="00775CC7">
              <w:rPr>
                <w:rFonts w:ascii="Sylfaen" w:hAnsi="Sylfaen"/>
                <w:sz w:val="20"/>
                <w:szCs w:val="24"/>
              </w:rPr>
              <w:t>և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 ձ</w:t>
            </w:r>
            <w:r w:rsidR="00775CC7">
              <w:rPr>
                <w:rFonts w:ascii="Sylfaen" w:hAnsi="Sylfaen"/>
                <w:sz w:val="20"/>
                <w:szCs w:val="24"/>
              </w:rPr>
              <w:t>և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աչափերին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ներկայացվող միասնականացված պահանջների մշակում, որոնք կիրառվում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փոխադարձաբար ճանաչվում են անդամ պետություններում՝ ցանկով սահմանված B2G ընտրողական ընթացակարգի համար</w:t>
            </w:r>
          </w:p>
        </w:tc>
        <w:tc>
          <w:tcPr>
            <w:tcW w:w="2220" w:type="dxa"/>
            <w:shd w:val="clear" w:color="auto" w:fill="FFFFFF"/>
          </w:tcPr>
          <w:p w:rsidR="00CE0420" w:rsidRPr="00464C04" w:rsidRDefault="00CE0420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մարմինների ակտերի նախագծեր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Անցում արտաքին տնտեսական գործունեություն իրականացնելու համար անհրաժեշտ էլեկտրոնային փաստաթղթերն անդամ պետությունների լիազոր</w:t>
            </w:r>
            <w:r w:rsidR="004A75DE" w:rsidRPr="00464C04">
              <w:rPr>
                <w:rStyle w:val="Bodytext21"/>
                <w:rFonts w:ascii="Sylfaen" w:hAnsi="Sylfaen"/>
                <w:sz w:val="20"/>
                <w:szCs w:val="24"/>
              </w:rPr>
              <w:t>ված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մարմինների կողմից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ակերպելուն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օգտագործելուն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կետ 3.3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3.2.1.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մարմինների ակտերում արտադրանքի (ապրանքների) պետական գրանցման վկայա</w:t>
            </w:r>
            <w:r w:rsidR="00A913B0" w:rsidRPr="00464C04">
              <w:rPr>
                <w:rStyle w:val="Bodytext21"/>
                <w:rFonts w:ascii="Sylfaen" w:hAnsi="Sylfaen"/>
                <w:sz w:val="20"/>
                <w:szCs w:val="24"/>
              </w:rPr>
              <w:t>կանի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էլեկտրոնային փաստաթղթի տեսքով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ակերպման հնարավորության ամրագրում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սեպտեմբեր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CE0420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3.2.2.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Ապրանքների հայտարարագիր ներկայացնելու համար անհրաժեշտ փաստաթղթերի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ակերպման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օգտագործման հետ կապված՝ անդամ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պետությունների այն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նորմատիվ իրավական ակտերի ցանկի </w:t>
            </w:r>
            <w:r w:rsidR="004343A1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պատրաստում, որոնցում անհրաժեշտ է կատարել փոփոխություններ, որոնք թույլ կտան պայմաններ ստեղծել էլեկտրոնային փաստաթղթաշրջանառությանն անցում կատարելու համար</w:t>
            </w:r>
          </w:p>
        </w:tc>
        <w:tc>
          <w:tcPr>
            <w:tcW w:w="2220" w:type="dxa"/>
            <w:shd w:val="clear" w:color="auto" w:fill="FFFFFF"/>
          </w:tcPr>
          <w:p w:rsidR="00CE0420" w:rsidRPr="00464C04" w:rsidRDefault="00CE0420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հունիս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պետություններ, Հանձնաժողով</w:t>
            </w:r>
            <w:bookmarkStart w:id="0" w:name="_GoBack"/>
            <w:bookmarkEnd w:id="0"/>
          </w:p>
        </w:tc>
        <w:tc>
          <w:tcPr>
            <w:tcW w:w="3377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="00187986"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նդամ պետություններ չհանդիսացող պետությունների լիազոր</w:t>
            </w:r>
            <w:r w:rsidR="004A75DE" w:rsidRPr="00464C04">
              <w:rPr>
                <w:rStyle w:val="Bodytext21"/>
                <w:rFonts w:ascii="Sylfaen" w:hAnsi="Sylfaen"/>
                <w:sz w:val="20"/>
                <w:szCs w:val="24"/>
              </w:rPr>
              <w:t>ված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մարմինների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կողմից տրված՝ անդամ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պետությունների տարածքներում արտաքին տնտեսական գործունեությ</w:t>
            </w:r>
            <w:r w:rsidR="008D59B9" w:rsidRPr="00464C04">
              <w:rPr>
                <w:rStyle w:val="Bodytext21"/>
                <w:rFonts w:ascii="Sylfaen" w:hAnsi="Sylfaen"/>
                <w:sz w:val="20"/>
                <w:szCs w:val="24"/>
              </w:rPr>
              <w:t>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 իրականաց</w:t>
            </w:r>
            <w:r w:rsidR="008D59B9" w:rsidRPr="00464C04">
              <w:rPr>
                <w:rStyle w:val="Bodytext21"/>
                <w:rFonts w:ascii="Sylfaen" w:hAnsi="Sylfaen"/>
                <w:sz w:val="20"/>
                <w:szCs w:val="24"/>
              </w:rPr>
              <w:t>նելու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համար անհրաժեշտ փաստաթղթերում պարունակվող տեղեկությունների օգտագործում</w:t>
            </w:r>
          </w:p>
        </w:tc>
        <w:tc>
          <w:tcPr>
            <w:tcW w:w="2220" w:type="dxa"/>
            <w:shd w:val="clear" w:color="auto" w:fill="FFFFFF"/>
          </w:tcPr>
          <w:p w:rsidR="00C06201" w:rsidRPr="00464C04" w:rsidRDefault="008D59B9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կետ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3.4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3.3.1.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="00187986"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նդամ պետություններ չհանդիսացող պետությունների լիազոր</w:t>
            </w:r>
            <w:r w:rsidR="004A75DE" w:rsidRPr="00464C04">
              <w:rPr>
                <w:rStyle w:val="Bodytext21"/>
                <w:rFonts w:ascii="Sylfaen" w:hAnsi="Sylfaen"/>
                <w:sz w:val="20"/>
                <w:szCs w:val="24"/>
              </w:rPr>
              <w:t>ված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մարմինների կողմից տրված փաստաթղթերն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անդամ պետությունների կողմից էլեկտրոնային տարբերակով օգտագործ</w:t>
            </w:r>
            <w:r w:rsidR="00933E56" w:rsidRPr="00464C04">
              <w:rPr>
                <w:rStyle w:val="Bodytext21"/>
                <w:rFonts w:ascii="Sylfaen" w:hAnsi="Sylfaen"/>
                <w:sz w:val="20"/>
                <w:szCs w:val="24"/>
              </w:rPr>
              <w:t>վելու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հնարավորության գնահատում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փաստաթղթերի ցանկ (անդամ պետությունների տեղեկատվության վերաբերյալ)՝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դրանք էլեկտրոնային տարբերակով «մեկ պատուհան» ազգային մեխանիզմներում օգտագործ</w:t>
            </w:r>
            <w:r w:rsidR="00933E56" w:rsidRPr="00464C04">
              <w:rPr>
                <w:rStyle w:val="Bodytext21"/>
                <w:rFonts w:ascii="Sylfaen" w:hAnsi="Sylfaen"/>
                <w:sz w:val="20"/>
                <w:szCs w:val="24"/>
              </w:rPr>
              <w:t>ելու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հնարավոր մոտեցումների նշումով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3.4.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Արտաքին տնտեսական գործունեության սուբյեկտների եզակի նույնականացման ապահովում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3.5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05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3.4.1.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Արտաքին տնտեսական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գործունեության մասնակիցների նույնականացման միասնական համակարգի ստեղծման վերաբերյալ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առաջարկների մշակում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անդամ պետությունների հետ համաձայնեցում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համաձայնագրի նախագիծ</w:t>
            </w:r>
          </w:p>
        </w:tc>
      </w:tr>
      <w:tr w:rsidR="00CE0420" w:rsidRPr="00464C04" w:rsidTr="00311860">
        <w:trPr>
          <w:jc w:val="center"/>
        </w:trPr>
        <w:tc>
          <w:tcPr>
            <w:tcW w:w="15393" w:type="dxa"/>
            <w:gridSpan w:val="6"/>
            <w:shd w:val="clear" w:color="auto" w:fill="FFFFFF"/>
          </w:tcPr>
          <w:p w:rsidR="00CE0420" w:rsidRPr="00464C04" w:rsidRDefault="00CE0420" w:rsidP="00311860">
            <w:pPr>
              <w:spacing w:after="120"/>
              <w:ind w:right="89"/>
              <w:jc w:val="center"/>
              <w:rPr>
                <w:sz w:val="20"/>
              </w:rPr>
            </w:pPr>
            <w:r w:rsidRPr="00464C04">
              <w:rPr>
                <w:rStyle w:val="Bodytext21"/>
                <w:rFonts w:ascii="Sylfaen" w:eastAsia="Sylfaen" w:hAnsi="Sylfaen"/>
                <w:sz w:val="20"/>
                <w:szCs w:val="24"/>
              </w:rPr>
              <w:t>4. Տեղեկատվական փոխգործակցության կազմակերպում</w:t>
            </w:r>
          </w:p>
        </w:tc>
      </w:tr>
      <w:tr w:rsidR="00CE0420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E0420" w:rsidRPr="00464C04" w:rsidRDefault="00CE0420" w:rsidP="00311860">
            <w:pPr>
              <w:pStyle w:val="Bodytext20"/>
              <w:shd w:val="clear" w:color="auto" w:fill="auto"/>
              <w:tabs>
                <w:tab w:val="left" w:pos="595"/>
              </w:tabs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պատուհան» ազգային մեխանիզմների շրջանակներում շահագրգիռ անձանց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պետական մարմինների փոխգործակցության ընթացակարգերի միասնականացում (B2G)</w:t>
            </w:r>
          </w:p>
        </w:tc>
        <w:tc>
          <w:tcPr>
            <w:tcW w:w="2220" w:type="dxa"/>
            <w:shd w:val="clear" w:color="auto" w:fill="FFFFFF"/>
          </w:tcPr>
          <w:p w:rsidR="00CE0420" w:rsidRPr="00464C04" w:rsidRDefault="00CE0420" w:rsidP="00311860">
            <w:pPr>
              <w:spacing w:after="120"/>
              <w:ind w:right="89"/>
              <w:jc w:val="center"/>
              <w:rPr>
                <w:sz w:val="20"/>
              </w:rPr>
            </w:pPr>
            <w:r w:rsidRPr="00464C04">
              <w:rPr>
                <w:rStyle w:val="Bodytext21"/>
                <w:rFonts w:ascii="Sylfaen" w:eastAsia="Sylfaen" w:hAnsi="Sylfaen"/>
                <w:sz w:val="20"/>
                <w:szCs w:val="24"/>
              </w:rPr>
              <w:t>կետ 4.1</w:t>
            </w:r>
          </w:p>
        </w:tc>
        <w:tc>
          <w:tcPr>
            <w:tcW w:w="8103" w:type="dxa"/>
            <w:gridSpan w:val="4"/>
            <w:shd w:val="clear" w:color="auto" w:fill="FFFFFF"/>
          </w:tcPr>
          <w:p w:rsidR="00CE0420" w:rsidRPr="00464C04" w:rsidRDefault="00CE0420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11"/>
              </w:tabs>
              <w:spacing w:before="0" w:after="120" w:line="240" w:lineRule="auto"/>
              <w:ind w:left="504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4.1.1.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Ցանկով սահմանված B2G ընթացակարգերի առնչությամբ պետական մարմինների կամ լիազոր</w:t>
            </w:r>
            <w:r w:rsidR="004A75DE" w:rsidRPr="00464C04">
              <w:rPr>
                <w:rStyle w:val="Bodytext21"/>
                <w:rFonts w:ascii="Sylfaen" w:hAnsi="Sylfaen"/>
                <w:sz w:val="20"/>
                <w:szCs w:val="24"/>
              </w:rPr>
              <w:t>ված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կազմակերպությունների կողմից ծառայությունների մատուցման վերաբերյալ </w:t>
            </w:r>
            <w:r w:rsidR="00D843CB"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հանձնարարականների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մշակում</w:t>
            </w:r>
          </w:p>
          <w:p w:rsidR="00464C04" w:rsidRPr="00464C04" w:rsidRDefault="00464C04" w:rsidP="00311860">
            <w:pPr>
              <w:pStyle w:val="Bodytext20"/>
              <w:shd w:val="clear" w:color="auto" w:fill="auto"/>
              <w:tabs>
                <w:tab w:val="left" w:pos="1111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մարմինների ակտերի նախագծեր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092735" w:rsidRPr="00464C04" w:rsidRDefault="00B743F3" w:rsidP="00311860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4.2.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«Մեկ պատուհան» ազգային մեխանիզմների շրջանակներում միջգերատեսչական տեղեկատվական փոխգործակցության ընթացակարգերի օպտիմալացում (G2G)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4.2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6D1DE4" w:rsidP="00311860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.2.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1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. Միջգերատեսչական փոխգործակցության շրջանակներում յուրաքանչյուր B2G ընթացակարգի</w:t>
            </w:r>
            <w:r w:rsidR="000936A2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իրականացման համար անհրաժեշտ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>՝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պահանջվող 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այն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տեղեկություններ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>ի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ցանկի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սահմանում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, 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որոնց վերաբերյալ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հանձնարարականներ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>ը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="000442B7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մշակվում են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սույն պլանի 4.1.1 ենթակետի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համա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պատասխան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սեպտեմբեր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E0420" w:rsidRPr="00464C04" w:rsidRDefault="00B743F3" w:rsidP="00311860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Միության շրջանակներում՝ «մեկ պատուհան» ազգային մեխանիզմների գործունեության ապահովման ընթացքում գործողության մեջ դրված ընդհանուր գործընթացների օպտիմալացում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իրագործում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4.3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4.3.1.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շրջանակներում՝ «մեկ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> 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պատուհան» ազգային մեխանիզմների գործունեության ապահովման ընթացքում գործողության մեջ դրված ընդհանուր գործընթացների ցանկի թարմացում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4.3.2.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շրջանակներում՝ «մեկ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> 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պատուհան» ազգային մեխանիզմների գործունեության ապահովման ընթացքում գործողության մեջ դրված ընդհանուր գործընթացների կանոնակարգում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537847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մարմինների ակտեր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4.3.3.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 Միության ինտեգրված տեղեկատվական համակարգի՝ Հանձնաժողովի ինտեգրացիոն հատվածում «մեկ պատուհան» ազգային մեխանիզմների գործունեության ապահովման ընթացքում գործողության մեջ դրված ընդհանուր գործընթացների իրագործում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հաշվետվություն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տեխնիկական փաստաթղթեր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4.3.4.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շրջանակներում Միության ինտեգրված տեղեկատվական համակարգի՝ անդամ պետությունների ազգային հատվածներում «մեկ պատուհան» ազգային մեխանիզմների գործունեության ապահովման ընթացքում գործողության մեջ դրված ընդհանուր գործընթացների իրագործում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հաշվետվություն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տեխնիկական փաստաթղթեր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4.4.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Շահագրգիռ անձանց կողմից «մեկ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> 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պատուհան» ազգային մեխանիզմների օգտագործման ընթացակարգերի պարզեցում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4.4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Default="00B743F3" w:rsidP="00311860">
            <w:pPr>
              <w:pStyle w:val="Bodytext20"/>
              <w:shd w:val="clear" w:color="auto" w:fill="auto"/>
              <w:tabs>
                <w:tab w:val="left" w:pos="1111"/>
              </w:tabs>
              <w:spacing w:before="0" w:after="120" w:line="240" w:lineRule="auto"/>
              <w:ind w:left="504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4.4.1.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B2G միասնականացված ընթացակարգերի մասին</w:t>
            </w:r>
            <w:r w:rsidR="000936A2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տեղեկատվությ</w:t>
            </w:r>
            <w:r w:rsidR="00224712" w:rsidRPr="00464C04">
              <w:rPr>
                <w:rStyle w:val="Bodytext21"/>
                <w:rFonts w:ascii="Sylfaen" w:hAnsi="Sylfaen"/>
                <w:sz w:val="20"/>
                <w:szCs w:val="24"/>
              </w:rPr>
              <w:t>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 ստանալ</w:t>
            </w:r>
            <w:r w:rsidR="00224712" w:rsidRPr="00464C04">
              <w:rPr>
                <w:rStyle w:val="Bodytext21"/>
                <w:rFonts w:ascii="Sylfaen" w:hAnsi="Sylfaen"/>
                <w:sz w:val="20"/>
                <w:szCs w:val="24"/>
              </w:rPr>
              <w:t>ու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օգտագործել</w:t>
            </w:r>
            <w:r w:rsidR="00224712" w:rsidRPr="00464C04">
              <w:rPr>
                <w:rStyle w:val="Bodytext21"/>
                <w:rFonts w:ascii="Sylfaen" w:hAnsi="Sylfaen"/>
                <w:sz w:val="20"/>
                <w:szCs w:val="24"/>
              </w:rPr>
              <w:t>ու ժամանակ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շահագրգիռ անձանց համար հավասար պայմանների ապահովման նպատակով էլեկտրոնային տարբերակով B2G միասնականացված ընթացակարգերի կատալոգի </w:t>
            </w:r>
            <w:r w:rsidR="00464C04">
              <w:rPr>
                <w:rStyle w:val="Bodytext21"/>
                <w:rFonts w:ascii="Sylfaen" w:hAnsi="Sylfaen"/>
                <w:sz w:val="20"/>
                <w:szCs w:val="24"/>
              </w:rPr>
              <w:t>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="00464C04">
              <w:rPr>
                <w:rStyle w:val="Bodytext21"/>
                <w:rFonts w:ascii="Sylfaen" w:hAnsi="Sylfaen"/>
                <w:sz w:val="20"/>
                <w:szCs w:val="24"/>
              </w:rPr>
              <w:t>ավորվում</w:t>
            </w:r>
          </w:p>
          <w:p w:rsidR="00464C04" w:rsidRPr="00464C04" w:rsidRDefault="00464C04" w:rsidP="00311860">
            <w:pPr>
              <w:pStyle w:val="Bodytext20"/>
              <w:shd w:val="clear" w:color="auto" w:fill="auto"/>
              <w:tabs>
                <w:tab w:val="left" w:pos="1111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մարմնի ակտի նախագիծ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B743F3" w:rsidP="00311860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4.5.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Միության՝ «մեկ պատուհան» ազգային մեխանիզմների գործունեությունն ապահովելու համար անհրաժեշտ նորմատիվ-տեղեկատվական տեղեկությունների միասնական համակարգի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ավորում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զարգացում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4.5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2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4.5.1.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Միության նորմատիվ-տեղեկատվական տեղեկությունների միասնական համակարգի կազմում ներառելու համար տեղեկատուների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դասակարգիչների ձ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ավորում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311860">
            <w:pPr>
              <w:spacing w:after="12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Միության մարմինների ակտեր</w:t>
            </w:r>
          </w:p>
        </w:tc>
      </w:tr>
      <w:tr w:rsidR="00CE0420" w:rsidRPr="00464C04" w:rsidTr="00311860">
        <w:trPr>
          <w:jc w:val="center"/>
        </w:trPr>
        <w:tc>
          <w:tcPr>
            <w:tcW w:w="15393" w:type="dxa"/>
            <w:gridSpan w:val="6"/>
            <w:shd w:val="clear" w:color="auto" w:fill="FFFFFF"/>
          </w:tcPr>
          <w:p w:rsidR="00CE0420" w:rsidRPr="00464C04" w:rsidRDefault="00CE0420" w:rsidP="00311860">
            <w:pPr>
              <w:spacing w:after="120"/>
              <w:ind w:right="89"/>
              <w:jc w:val="center"/>
              <w:rPr>
                <w:sz w:val="20"/>
              </w:rPr>
            </w:pPr>
            <w:r w:rsidRPr="00464C04">
              <w:rPr>
                <w:rStyle w:val="Bodytext21"/>
                <w:rFonts w:ascii="Sylfaen" w:eastAsia="Sylfaen" w:hAnsi="Sylfaen"/>
                <w:sz w:val="20"/>
                <w:szCs w:val="24"/>
              </w:rPr>
              <w:t>5. Հասկացութային ապարատի ձ</w:t>
            </w:r>
            <w:r w:rsidR="00775CC7">
              <w:rPr>
                <w:rStyle w:val="Bodytext21"/>
                <w:rFonts w:ascii="Sylfaen" w:eastAsia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eastAsia="Sylfaen" w:hAnsi="Sylfaen"/>
                <w:sz w:val="20"/>
                <w:szCs w:val="24"/>
              </w:rPr>
              <w:t>ավորում</w:t>
            </w:r>
          </w:p>
        </w:tc>
      </w:tr>
      <w:tr w:rsidR="00AB5B47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AB5B47" w:rsidP="00311860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78" w:right="130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5.1.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="00DA7A35" w:rsidRPr="00464C04">
              <w:rPr>
                <w:rStyle w:val="Bodytext21"/>
                <w:rFonts w:ascii="Sylfaen" w:hAnsi="Sylfaen"/>
                <w:sz w:val="20"/>
                <w:szCs w:val="24"/>
              </w:rPr>
              <w:t>Եվրասիական տնտեսական բարձրագույն խորհրդի 2014 թվականի մայիսի 29-ի թիվ 68 որոշմամբ հաստատված՝ 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րտաքին տնտեսական գործունեության կարգավորման համակարգում «մեկ պատուհան» 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>մեխանիզմի զարգացման հիմնական ուղղությունների (այսուհետ՝ Հիմնական ուղղություններ) իրագործման ժամանակ օգտագործվող</w:t>
            </w:r>
            <w:r w:rsidRPr="00464C0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եզրույթների բառարանի վարում (թարմացում)</w:t>
            </w:r>
          </w:p>
        </w:tc>
        <w:tc>
          <w:tcPr>
            <w:tcW w:w="2220" w:type="dxa"/>
            <w:shd w:val="clear" w:color="auto" w:fill="FFFFFF"/>
          </w:tcPr>
          <w:p w:rsidR="00AB5B47" w:rsidRPr="00464C04" w:rsidRDefault="004C44FC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5.2</w:t>
            </w:r>
          </w:p>
        </w:tc>
        <w:tc>
          <w:tcPr>
            <w:tcW w:w="2117" w:type="dxa"/>
            <w:shd w:val="clear" w:color="auto" w:fill="FFFFFF"/>
          </w:tcPr>
          <w:p w:rsidR="00AB5B47" w:rsidRPr="00464C04" w:rsidRDefault="00635D6E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4C44FC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AB5B47" w:rsidRPr="00464C04" w:rsidRDefault="004C44FC" w:rsidP="00311860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AB5B47" w:rsidRPr="00464C04" w:rsidRDefault="00AB5B47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բառարանի հետ կապված առաջարկ</w:t>
            </w:r>
            <w:r w:rsidR="00D843CB" w:rsidRPr="00464C04">
              <w:rPr>
                <w:rStyle w:val="Bodytext21"/>
                <w:rFonts w:ascii="Sylfaen" w:hAnsi="Sylfaen"/>
                <w:sz w:val="20"/>
                <w:szCs w:val="24"/>
              </w:rPr>
              <w:t>ություն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ներ</w:t>
            </w:r>
          </w:p>
        </w:tc>
      </w:tr>
      <w:tr w:rsidR="004C44FC" w:rsidRPr="00464C04" w:rsidTr="00311860">
        <w:trPr>
          <w:jc w:val="center"/>
        </w:trPr>
        <w:tc>
          <w:tcPr>
            <w:tcW w:w="15393" w:type="dxa"/>
            <w:gridSpan w:val="6"/>
            <w:shd w:val="clear" w:color="auto" w:fill="FFFFFF"/>
          </w:tcPr>
          <w:p w:rsidR="004C44FC" w:rsidRPr="00464C04" w:rsidRDefault="004C44FC" w:rsidP="00311860">
            <w:pPr>
              <w:spacing w:after="120"/>
              <w:ind w:right="89"/>
              <w:jc w:val="center"/>
              <w:rPr>
                <w:sz w:val="20"/>
              </w:rPr>
            </w:pPr>
            <w:r w:rsidRPr="00464C04">
              <w:rPr>
                <w:rStyle w:val="Bodytext21"/>
                <w:rFonts w:ascii="Sylfaen" w:eastAsia="Sylfaen" w:hAnsi="Sylfaen"/>
                <w:sz w:val="20"/>
                <w:szCs w:val="24"/>
              </w:rPr>
              <w:t>6. Միջոցառումների պլանի իրագործումն ապահովող կազմակերպչական մեխանիզմ (կառավարման մեխանիզմ)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Default="00B743F3" w:rsidP="00311860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78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6.1.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պետությունների կողմից Հիմնական ուղղությունների իրագործման համար պատասխանատու լիազոր</w:t>
            </w:r>
            <w:r w:rsidR="004A75DE" w:rsidRPr="00464C04">
              <w:rPr>
                <w:rStyle w:val="Bodytext21"/>
                <w:rFonts w:ascii="Sylfaen" w:hAnsi="Sylfaen"/>
                <w:sz w:val="20"/>
                <w:szCs w:val="24"/>
              </w:rPr>
              <w:t>ված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մարմինների սահմանում</w:t>
            </w:r>
          </w:p>
          <w:p w:rsidR="00464C04" w:rsidRPr="00464C04" w:rsidRDefault="00464C04" w:rsidP="00311860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6.3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761D0F" w:rsidP="00311860">
            <w:pPr>
              <w:pStyle w:val="Bodytext20"/>
              <w:shd w:val="clear" w:color="auto" w:fill="auto"/>
              <w:spacing w:before="0" w:after="12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ապրիլ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 (Ռուսաստանի Դաշնություն)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31186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պետության կառավարության ակտ</w:t>
            </w:r>
          </w:p>
        </w:tc>
      </w:tr>
      <w:tr w:rsidR="004C44FC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4C44FC" w:rsidP="00464C04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6.2.</w:t>
            </w:r>
            <w:r w:rsidR="00092735" w:rsidRPr="00464C04">
              <w:rPr>
                <w:rFonts w:ascii="Sylfaen" w:hAnsi="Sylfaen"/>
                <w:sz w:val="20"/>
                <w:szCs w:val="24"/>
              </w:rPr>
              <w:tab/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Եվրասիական տնտեսական բարձրագույն խորհրդի 2015 թվականի մայիսի 8-ի թիվ 19 որոշմամբ հաստատված՝ Հիմնական ուղղությունների իրագործման միջոցառումների պլանի (այսուհետ՝ միջոցառումների պլան) </w:t>
            </w:r>
            <w:r w:rsidR="00775CC7">
              <w:rPr>
                <w:rFonts w:ascii="Sylfaen" w:hAnsi="Sylfaen"/>
                <w:sz w:val="20"/>
                <w:szCs w:val="24"/>
              </w:rPr>
              <w:t>և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 սույն </w:t>
            </w:r>
            <w:r w:rsidR="009F03E6" w:rsidRPr="00464C04">
              <w:rPr>
                <w:rFonts w:ascii="Sylfaen" w:hAnsi="Sylfaen"/>
                <w:sz w:val="20"/>
                <w:szCs w:val="24"/>
              </w:rPr>
              <w:t>պ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լանի իրագործման համար </w:t>
            </w:r>
            <w:r w:rsidR="009F03E6" w:rsidRPr="00464C04">
              <w:rPr>
                <w:rFonts w:ascii="Sylfaen" w:hAnsi="Sylfaen"/>
                <w:sz w:val="20"/>
                <w:szCs w:val="24"/>
              </w:rPr>
              <w:t>անդամ պետությունների կողմից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 լիազորված</w:t>
            </w:r>
            <w:r w:rsidR="009F03E6" w:rsidRPr="00464C04">
              <w:rPr>
                <w:rFonts w:ascii="Sylfaen" w:hAnsi="Sylfaen"/>
                <w:sz w:val="20"/>
                <w:szCs w:val="24"/>
              </w:rPr>
              <w:t>՝</w:t>
            </w:r>
            <w:r w:rsidR="000F5153" w:rsidRPr="00464C04">
              <w:rPr>
                <w:rFonts w:ascii="Sylfaen" w:hAnsi="Sylfaen"/>
                <w:sz w:val="20"/>
                <w:szCs w:val="24"/>
              </w:rPr>
              <w:t xml:space="preserve"> համակարգող (խորհրդատվական) մարմինների ստեղծում</w:t>
            </w:r>
          </w:p>
        </w:tc>
        <w:tc>
          <w:tcPr>
            <w:tcW w:w="2220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6.4</w:t>
            </w:r>
          </w:p>
        </w:tc>
        <w:tc>
          <w:tcPr>
            <w:tcW w:w="2117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hուլիս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պետություն (Ռուսաստանի Դաշնություն)</w:t>
            </w:r>
          </w:p>
        </w:tc>
        <w:tc>
          <w:tcPr>
            <w:tcW w:w="3377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անդամ պետության կառավարության ակտ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543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6.3.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Կառավարման մեխանիզմի կազմակերպչական կառուցվածքի կատարելագործում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6.5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464C04">
            <w:pPr>
              <w:spacing w:after="16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6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6.3.1.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2015 թվականի սեպտեմբերի 28-ի թիվ 124 որոշմամբ հաստատված միջոցառումների պլանի կատարումն ապահովող մեխանիզմի կազմակերպչական կառուցվածքի մասին հիմնադրույթի թարմացում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635D6E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ակտեր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1120"/>
              </w:tabs>
              <w:spacing w:before="0" w:after="16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6.3.2.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2015 թվականի դեկտեմբերի 22-ի թիվ 162 կարգադրությամբ հաստատված միջոցառումների պլանի կատարման աշխատանքային խմբի կազմի թարմացում (այսուհետ` աշխատանքային խումբ)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635D6E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ակտեր</w:t>
            </w:r>
          </w:p>
        </w:tc>
      </w:tr>
      <w:tr w:rsidR="004C44FC" w:rsidRPr="00464C04" w:rsidTr="00311860">
        <w:trPr>
          <w:jc w:val="center"/>
        </w:trPr>
        <w:tc>
          <w:tcPr>
            <w:tcW w:w="15393" w:type="dxa"/>
            <w:gridSpan w:val="6"/>
            <w:shd w:val="clear" w:color="auto" w:fill="FFFFFF"/>
          </w:tcPr>
          <w:p w:rsidR="004C44FC" w:rsidRPr="00464C04" w:rsidRDefault="004C44FC" w:rsidP="00464C04">
            <w:pPr>
              <w:spacing w:after="160"/>
              <w:ind w:right="89"/>
              <w:jc w:val="center"/>
              <w:rPr>
                <w:sz w:val="20"/>
              </w:rPr>
            </w:pPr>
            <w:r w:rsidRPr="00464C04">
              <w:rPr>
                <w:rStyle w:val="Bodytext21"/>
                <w:rFonts w:ascii="Sylfaen" w:eastAsia="Sylfaen" w:hAnsi="Sylfaen"/>
                <w:sz w:val="20"/>
                <w:szCs w:val="24"/>
              </w:rPr>
              <w:t>7. Կազմակերպչական հարցեր</w:t>
            </w:r>
          </w:p>
        </w:tc>
      </w:tr>
      <w:tr w:rsidR="004C44FC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tabs>
                <w:tab w:val="left" w:pos="535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«Մեկ պատուհան» մեխանիզմի մասսայականացում. աշխատանք ԶԼՄ-ների հետ, Հիմնական ուղղությունների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միջոցառումների 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պլանի իրագործման վերաբերյալ բաց քննարկումների, սեմինարների, համաժողովների</w:t>
            </w:r>
            <w:r w:rsidR="00816FCE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="00816FCE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կլոր սեղանների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կազմակերպում</w:t>
            </w:r>
          </w:p>
        </w:tc>
        <w:tc>
          <w:tcPr>
            <w:tcW w:w="2220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կետ 7.1</w:t>
            </w:r>
          </w:p>
        </w:tc>
        <w:tc>
          <w:tcPr>
            <w:tcW w:w="2117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4C44FC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:rsidR="004C44FC" w:rsidRPr="00464C04" w:rsidRDefault="004C44FC" w:rsidP="00464C04">
            <w:pPr>
              <w:pStyle w:val="Bodytext20"/>
              <w:spacing w:before="0" w:after="1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1150"/>
              </w:tabs>
              <w:spacing w:before="0" w:after="16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7.1.1.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Յուրաքանչյուր թեմատիկ բլոկի հիմնահարցերով միջազգային համաժողովների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կլոր սեղանների անցկացում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635D6E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հաշվետվություն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580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7.2.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Հիմնական ուղղությունների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միջոցառումների պլանի իրագործման մասով կատարված աշխատանքի վերաբերյալ հաշվետվությունների </w:t>
            </w:r>
            <w:r w:rsidR="004343A1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պատրաստում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հրապարակում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կետ 7.2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464C04">
            <w:pPr>
              <w:spacing w:after="16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1105"/>
              </w:tabs>
              <w:spacing w:before="0" w:after="16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7.2.1.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2016 թվականի մանրամասնեցված պլանի կատարման վերաբերյալ հաշվետվության </w:t>
            </w:r>
            <w:r w:rsidR="004343A1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պատրաստում </w:t>
            </w:r>
            <w:r w:rsidR="00775CC7">
              <w:rPr>
                <w:rStyle w:val="Bodytext21"/>
                <w:rFonts w:ascii="Sylfaen" w:hAnsi="Sylfaen"/>
                <w:sz w:val="20"/>
                <w:szCs w:val="24"/>
              </w:rPr>
              <w:t>և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հրապարակում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ապրիլ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պաշտոնական կայքում հաշվետվության հրապարակում</w:t>
            </w: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565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7.3.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Աշխատանքային խմբի նիստերի կազմակերպում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4C44FC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-</w:t>
            </w:r>
          </w:p>
        </w:tc>
        <w:tc>
          <w:tcPr>
            <w:tcW w:w="2117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6D274A" w:rsidP="00464C04">
            <w:pPr>
              <w:spacing w:after="160"/>
              <w:ind w:left="27" w:right="135"/>
              <w:rPr>
                <w:sz w:val="20"/>
              </w:rPr>
            </w:pPr>
          </w:p>
        </w:tc>
        <w:tc>
          <w:tcPr>
            <w:tcW w:w="3377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left="27" w:right="135"/>
              <w:rPr>
                <w:sz w:val="20"/>
              </w:rPr>
            </w:pPr>
          </w:p>
        </w:tc>
      </w:tr>
      <w:tr w:rsidR="004278D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6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7.3.1.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Համակարգող խորհրդի կազմում աշխատանքային խմբի նիստեր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635D6E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մեկ 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տարվա ընթացքում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նիստերի արձանագրություններ</w:t>
            </w:r>
          </w:p>
        </w:tc>
      </w:tr>
      <w:tr w:rsidR="006D274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Pr="00464C04" w:rsidRDefault="004A1BE7" w:rsidP="00464C04">
            <w:pPr>
              <w:pStyle w:val="Bodytext20"/>
              <w:shd w:val="clear" w:color="auto" w:fill="auto"/>
              <w:tabs>
                <w:tab w:val="left" w:pos="1135"/>
              </w:tabs>
              <w:spacing w:before="0" w:after="160" w:line="240" w:lineRule="auto"/>
              <w:ind w:left="504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.3.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2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>Առանձին թեմատիկ բլոկ</w:t>
            </w:r>
            <w:r w:rsidR="00C50D9B" w:rsidRPr="00464C04">
              <w:rPr>
                <w:rStyle w:val="Bodytext21"/>
                <w:rFonts w:ascii="Sylfaen" w:hAnsi="Sylfaen"/>
                <w:sz w:val="20"/>
                <w:szCs w:val="24"/>
              </w:rPr>
              <w:t>ն</w:t>
            </w:r>
            <w:r w:rsidR="00B743F3"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երի կազմում աշխատանքային խմբի նիստեր 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եռամսյակ</w:t>
            </w:r>
            <w:r w:rsidR="004A1BE7" w:rsidRPr="00464C04">
              <w:rPr>
                <w:rStyle w:val="Bodytext21"/>
                <w:rFonts w:ascii="Sylfaen" w:hAnsi="Sylfaen"/>
                <w:sz w:val="20"/>
                <w:szCs w:val="24"/>
              </w:rPr>
              <w:t>ը մեկ անգամ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նիստերի արձանագրություններ</w:t>
            </w:r>
          </w:p>
        </w:tc>
      </w:tr>
      <w:tr w:rsidR="006D274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C06201" w:rsidRDefault="00B743F3" w:rsidP="00464C04">
            <w:pPr>
              <w:pStyle w:val="Bodytext20"/>
              <w:shd w:val="clear" w:color="auto" w:fill="auto"/>
              <w:tabs>
                <w:tab w:val="left" w:pos="595"/>
              </w:tabs>
              <w:spacing w:before="0" w:after="160" w:line="240" w:lineRule="auto"/>
              <w:ind w:left="78"/>
              <w:jc w:val="left"/>
              <w:rPr>
                <w:rStyle w:val="Bodytext21"/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7.4.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Միջոցառումների պլանի կատարման </w:t>
            </w:r>
            <w:r w:rsidR="004A1BE7" w:rsidRPr="00464C04">
              <w:rPr>
                <w:rStyle w:val="Bodytext21"/>
                <w:rFonts w:ascii="Sylfaen" w:hAnsi="Sylfaen"/>
                <w:sz w:val="20"/>
                <w:szCs w:val="24"/>
              </w:rPr>
              <w:t>մասով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 աշխատանքային խմբի աշխատանքի պլանի </w:t>
            </w:r>
            <w:r w:rsidR="004A1BE7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պատրաստում</w:t>
            </w:r>
          </w:p>
          <w:p w:rsidR="00464C04" w:rsidRPr="00464C04" w:rsidRDefault="00464C04" w:rsidP="00464C04">
            <w:pPr>
              <w:pStyle w:val="Bodytext20"/>
              <w:shd w:val="clear" w:color="auto" w:fill="auto"/>
              <w:tabs>
                <w:tab w:val="left" w:pos="595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hուլիս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աշխատանքային խմբի աշխատանքի պլան</w:t>
            </w:r>
          </w:p>
        </w:tc>
      </w:tr>
      <w:tr w:rsidR="006D274A" w:rsidRPr="00464C04" w:rsidTr="00311860">
        <w:trPr>
          <w:jc w:val="center"/>
        </w:trPr>
        <w:tc>
          <w:tcPr>
            <w:tcW w:w="5070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tabs>
                <w:tab w:val="left" w:pos="595"/>
              </w:tabs>
              <w:spacing w:before="0" w:after="160" w:line="240" w:lineRule="auto"/>
              <w:ind w:left="78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lastRenderedPageBreak/>
              <w:t>7.5.</w:t>
            </w:r>
            <w:r w:rsidR="00092735" w:rsidRPr="00464C04">
              <w:rPr>
                <w:rStyle w:val="Bodytext21"/>
                <w:rFonts w:ascii="Sylfaen" w:hAnsi="Sylfaen"/>
                <w:sz w:val="20"/>
                <w:szCs w:val="24"/>
              </w:rPr>
              <w:tab/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 xml:space="preserve">Միջոցառումների պլանի կատարման 2018 թվականի մանրամասնեցված պլանի նախագծի </w:t>
            </w:r>
            <w:r w:rsidR="004A1BE7" w:rsidRPr="00464C04">
              <w:rPr>
                <w:rStyle w:val="Bodytext21"/>
                <w:rFonts w:ascii="Sylfaen" w:hAnsi="Sylfaen"/>
                <w:sz w:val="20"/>
                <w:szCs w:val="24"/>
              </w:rPr>
              <w:t>նախա</w:t>
            </w: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պատրաստում</w:t>
            </w:r>
          </w:p>
        </w:tc>
        <w:tc>
          <w:tcPr>
            <w:tcW w:w="2220" w:type="dxa"/>
            <w:shd w:val="clear" w:color="auto" w:fill="FFFFFF"/>
          </w:tcPr>
          <w:p w:rsidR="006D274A" w:rsidRPr="00464C04" w:rsidRDefault="006D274A" w:rsidP="00464C04">
            <w:pPr>
              <w:spacing w:after="160"/>
              <w:ind w:right="89"/>
              <w:jc w:val="center"/>
              <w:rPr>
                <w:sz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right="89"/>
              <w:jc w:val="center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դեկտեմբեր</w:t>
            </w:r>
          </w:p>
        </w:tc>
        <w:tc>
          <w:tcPr>
            <w:tcW w:w="2609" w:type="dxa"/>
            <w:gridSpan w:val="2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Հանձնաժողով, անդամ պետություններ</w:t>
            </w:r>
          </w:p>
        </w:tc>
        <w:tc>
          <w:tcPr>
            <w:tcW w:w="3377" w:type="dxa"/>
            <w:shd w:val="clear" w:color="auto" w:fill="FFFFFF"/>
          </w:tcPr>
          <w:p w:rsidR="006D274A" w:rsidRPr="00464C04" w:rsidRDefault="00B743F3" w:rsidP="00464C04">
            <w:pPr>
              <w:pStyle w:val="Bodytext20"/>
              <w:shd w:val="clear" w:color="auto" w:fill="auto"/>
              <w:spacing w:before="0" w:after="160" w:line="240" w:lineRule="auto"/>
              <w:ind w:left="27" w:right="135"/>
              <w:jc w:val="left"/>
              <w:rPr>
                <w:rFonts w:ascii="Sylfaen" w:hAnsi="Sylfaen"/>
                <w:sz w:val="20"/>
                <w:szCs w:val="24"/>
              </w:rPr>
            </w:pPr>
            <w:r w:rsidRPr="00464C04">
              <w:rPr>
                <w:rStyle w:val="Bodytext21"/>
                <w:rFonts w:ascii="Sylfaen" w:hAnsi="Sylfaen"/>
                <w:sz w:val="20"/>
                <w:szCs w:val="24"/>
              </w:rPr>
              <w:t>Հանձնաժողովի կոլեգիայի ակտ</w:t>
            </w:r>
          </w:p>
        </w:tc>
      </w:tr>
    </w:tbl>
    <w:p w:rsidR="00464C04" w:rsidRDefault="00464C04" w:rsidP="00311860">
      <w:pPr>
        <w:pStyle w:val="FootnoteText"/>
        <w:tabs>
          <w:tab w:val="left" w:pos="1134"/>
        </w:tabs>
        <w:spacing w:after="160" w:line="360" w:lineRule="auto"/>
        <w:ind w:left="567" w:hanging="567"/>
        <w:jc w:val="both"/>
        <w:rPr>
          <w:sz w:val="24"/>
          <w:szCs w:val="24"/>
        </w:rPr>
      </w:pPr>
    </w:p>
    <w:p w:rsidR="00464C04" w:rsidRPr="003E62D4" w:rsidRDefault="00464C04" w:rsidP="00464C04">
      <w:pPr>
        <w:pStyle w:val="FootnoteText"/>
        <w:tabs>
          <w:tab w:val="left" w:pos="1134"/>
        </w:tabs>
        <w:ind w:left="567" w:hanging="567"/>
        <w:jc w:val="both"/>
        <w:rPr>
          <w:b/>
          <w:sz w:val="24"/>
          <w:szCs w:val="24"/>
        </w:rPr>
      </w:pPr>
      <w:r w:rsidRPr="003E62D4">
        <w:rPr>
          <w:b/>
          <w:sz w:val="24"/>
          <w:szCs w:val="24"/>
        </w:rPr>
        <w:t>———————————</w:t>
      </w:r>
    </w:p>
    <w:p w:rsidR="00811514" w:rsidRPr="00464C04" w:rsidRDefault="00811514" w:rsidP="00311860">
      <w:pPr>
        <w:pStyle w:val="FootnoteText"/>
        <w:tabs>
          <w:tab w:val="left" w:pos="1134"/>
        </w:tabs>
        <w:spacing w:after="160" w:line="360" w:lineRule="auto"/>
        <w:ind w:left="567" w:hanging="567"/>
        <w:jc w:val="both"/>
        <w:rPr>
          <w:szCs w:val="24"/>
        </w:rPr>
      </w:pPr>
      <w:r w:rsidRPr="000F7C0B">
        <w:rPr>
          <w:rStyle w:val="FootnoteReference"/>
          <w:sz w:val="24"/>
          <w:szCs w:val="24"/>
        </w:rPr>
        <w:sym w:font="Symbol" w:char="F02A"/>
      </w:r>
      <w:r w:rsidRPr="000F7C0B">
        <w:rPr>
          <w:sz w:val="24"/>
          <w:szCs w:val="24"/>
        </w:rPr>
        <w:t xml:space="preserve"> </w:t>
      </w:r>
      <w:r w:rsidR="00311860">
        <w:rPr>
          <w:sz w:val="24"/>
          <w:szCs w:val="24"/>
        </w:rPr>
        <w:tab/>
      </w:r>
      <w:r w:rsidRPr="00464C04">
        <w:rPr>
          <w:szCs w:val="24"/>
        </w:rPr>
        <w:t>Նշվում է Եվրասիական տնտեսական բարձրագույն խորհրդի 2015 թվականի մայիսի 8-ի թիվ 19 որոշմամբ հաստատված՝ արտաքին տնտեսական գործունեության կարգավորման համակարգում «մեկ պատուհան» մեխանիզմի զարգացման հիմնական ուղղությունների իրագործման միջոցառումների պլանում միջոցառումների ցանկի համապատասխան կետը (բաժին XII):</w:t>
      </w:r>
    </w:p>
    <w:p w:rsidR="00811514" w:rsidRPr="00464C04" w:rsidRDefault="00811514" w:rsidP="00311860">
      <w:pPr>
        <w:pStyle w:val="FootnoteText"/>
        <w:tabs>
          <w:tab w:val="left" w:pos="1134"/>
        </w:tabs>
        <w:spacing w:after="160" w:line="360" w:lineRule="auto"/>
        <w:ind w:left="567" w:hanging="567"/>
        <w:jc w:val="both"/>
        <w:rPr>
          <w:szCs w:val="24"/>
        </w:rPr>
      </w:pPr>
      <w:r w:rsidRPr="00464C04">
        <w:rPr>
          <w:rStyle w:val="FootnoteReference"/>
          <w:szCs w:val="24"/>
        </w:rPr>
        <w:sym w:font="Symbol" w:char="F02A"/>
      </w:r>
      <w:r w:rsidRPr="00464C04">
        <w:rPr>
          <w:rStyle w:val="FootnoteReference"/>
          <w:szCs w:val="24"/>
        </w:rPr>
        <w:sym w:font="Symbol" w:char="F02A"/>
      </w:r>
      <w:r w:rsidRPr="00464C04">
        <w:rPr>
          <w:szCs w:val="24"/>
        </w:rPr>
        <w:t xml:space="preserve"> </w:t>
      </w:r>
      <w:r w:rsidR="00311860" w:rsidRPr="00464C04">
        <w:rPr>
          <w:szCs w:val="24"/>
        </w:rPr>
        <w:tab/>
      </w:r>
      <w:r w:rsidRPr="00464C04">
        <w:rPr>
          <w:szCs w:val="24"/>
        </w:rPr>
        <w:t>Միության մարմնի հանձնարարական բնույթի ակտ, որն ուղղված է ընդհանուր սկզբունքների ձ</w:t>
      </w:r>
      <w:r w:rsidR="00775CC7">
        <w:rPr>
          <w:szCs w:val="24"/>
        </w:rPr>
        <w:t>և</w:t>
      </w:r>
      <w:r w:rsidRPr="00464C04">
        <w:rPr>
          <w:szCs w:val="24"/>
        </w:rPr>
        <w:t xml:space="preserve">ավորմանը </w:t>
      </w:r>
      <w:r w:rsidR="00775CC7">
        <w:rPr>
          <w:szCs w:val="24"/>
        </w:rPr>
        <w:t>և</w:t>
      </w:r>
      <w:r w:rsidRPr="00464C04">
        <w:rPr>
          <w:szCs w:val="24"/>
        </w:rPr>
        <w:t xml:space="preserve"> նորմատիվ իրավական կարգավորում պահանջող դրույթների սահմանմանը՝ էտալոնային մոդելին համապատասխան «մեկ պատուհան» ազգային մեխանիզմների </w:t>
      </w:r>
      <w:r w:rsidR="00775CC7">
        <w:rPr>
          <w:szCs w:val="24"/>
        </w:rPr>
        <w:t>և</w:t>
      </w:r>
      <w:r w:rsidRPr="00464C04">
        <w:rPr>
          <w:szCs w:val="24"/>
        </w:rPr>
        <w:t xml:space="preserve"> անդամ պետությունների օրենսդրության ճյուղերի համահավաք ցանկի գործունեությունն ապահովելու համար, որոնք ապահովում են այդպիսի ազգային մեխանիզմների գործունեությունը </w:t>
      </w:r>
      <w:r w:rsidR="00775CC7">
        <w:rPr>
          <w:szCs w:val="24"/>
        </w:rPr>
        <w:t>և</w:t>
      </w:r>
      <w:r w:rsidRPr="00464C04">
        <w:rPr>
          <w:szCs w:val="24"/>
        </w:rPr>
        <w:t xml:space="preserve"> ենթակա են կատարելագործման</w:t>
      </w:r>
    </w:p>
    <w:p w:rsidR="00811514" w:rsidRPr="000F7C0B" w:rsidRDefault="00811514" w:rsidP="000F7C0B">
      <w:pPr>
        <w:pStyle w:val="Footnote0"/>
        <w:shd w:val="clear" w:color="auto" w:fill="auto"/>
        <w:spacing w:after="160" w:line="360" w:lineRule="auto"/>
        <w:ind w:right="238"/>
        <w:jc w:val="center"/>
        <w:rPr>
          <w:rFonts w:ascii="Sylfaen" w:hAnsi="Sylfaen"/>
        </w:rPr>
      </w:pPr>
    </w:p>
    <w:p w:rsidR="00092735" w:rsidRPr="000F7C0B" w:rsidRDefault="008C2D2C" w:rsidP="000F7C0B">
      <w:pPr>
        <w:pStyle w:val="Footnote0"/>
        <w:shd w:val="clear" w:color="auto" w:fill="auto"/>
        <w:spacing w:after="160" w:line="360" w:lineRule="auto"/>
        <w:ind w:right="238"/>
        <w:jc w:val="center"/>
        <w:rPr>
          <w:rFonts w:ascii="Sylfaen" w:hAnsi="Sylfaen"/>
        </w:rPr>
      </w:pPr>
      <w:r w:rsidRPr="000F7C0B">
        <w:rPr>
          <w:rFonts w:ascii="Sylfaen" w:hAnsi="Sylfaen"/>
        </w:rPr>
        <w:t>——————————</w:t>
      </w:r>
    </w:p>
    <w:sectPr w:rsidR="00092735" w:rsidRPr="000F7C0B" w:rsidSect="00464C04">
      <w:footerReference w:type="default" r:id="rId8"/>
      <w:pgSz w:w="16840" w:h="11907" w:orient="landscape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F1D" w:rsidRDefault="00C06F1D" w:rsidP="006D274A">
      <w:r>
        <w:separator/>
      </w:r>
    </w:p>
  </w:endnote>
  <w:endnote w:type="continuationSeparator" w:id="0">
    <w:p w:rsidR="00C06F1D" w:rsidRDefault="00C06F1D" w:rsidP="006D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01956"/>
      <w:docPartObj>
        <w:docPartGallery w:val="Page Numbers (Bottom of Page)"/>
        <w:docPartUnique/>
      </w:docPartObj>
    </w:sdtPr>
    <w:sdtEndPr/>
    <w:sdtContent>
      <w:p w:rsidR="00464C04" w:rsidRDefault="00692F7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101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F1D" w:rsidRDefault="00C06F1D">
      <w:r>
        <w:separator/>
      </w:r>
    </w:p>
  </w:footnote>
  <w:footnote w:type="continuationSeparator" w:id="0">
    <w:p w:rsidR="00C06F1D" w:rsidRDefault="00C06F1D">
      <w:r>
        <w:continuationSeparator/>
      </w:r>
    </w:p>
  </w:footnote>
  <w:footnote w:id="1">
    <w:p w:rsidR="000936A2" w:rsidRPr="00311860" w:rsidRDefault="000936A2" w:rsidP="00311860">
      <w:pPr>
        <w:pStyle w:val="FootnoteText"/>
        <w:jc w:val="both"/>
      </w:pPr>
      <w:r w:rsidRPr="00311860">
        <w:rPr>
          <w:rStyle w:val="FootnoteReference"/>
        </w:rPr>
        <w:sym w:font="Symbol" w:char="F02A"/>
      </w:r>
      <w:r w:rsidRPr="00311860">
        <w:t xml:space="preserve"> Նշվում է Եվրասիական տնտեսական բարձրագույն խորհրդի 2015 թվականի մայիսի 8-ի թիվ 19 որոշմամբ հաստատված՝ արտաքին տնտեսական գործունեության կարգավորման համակարգում «մեկ պատուհան» մեխանիզմի զարգացման հիմնական ուղղությունների իրագործման միջոցառումների պլանում միջոցառումների ցանկի համապատասխան կետը (բաժին XII):</w:t>
      </w:r>
    </w:p>
  </w:footnote>
  <w:footnote w:id="2">
    <w:p w:rsidR="008D0D2C" w:rsidRPr="00311860" w:rsidRDefault="008D0D2C" w:rsidP="00311860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95274"/>
    <w:multiLevelType w:val="multilevel"/>
    <w:tmpl w:val="0BEE0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74A"/>
    <w:rsid w:val="00025D27"/>
    <w:rsid w:val="00025DE3"/>
    <w:rsid w:val="000442B7"/>
    <w:rsid w:val="00055D3D"/>
    <w:rsid w:val="00092735"/>
    <w:rsid w:val="000936A2"/>
    <w:rsid w:val="000D52E7"/>
    <w:rsid w:val="000F5153"/>
    <w:rsid w:val="000F7C0B"/>
    <w:rsid w:val="00111B17"/>
    <w:rsid w:val="001603EF"/>
    <w:rsid w:val="00187986"/>
    <w:rsid w:val="0019014B"/>
    <w:rsid w:val="001A2589"/>
    <w:rsid w:val="001E7A54"/>
    <w:rsid w:val="00207E59"/>
    <w:rsid w:val="00224712"/>
    <w:rsid w:val="00243440"/>
    <w:rsid w:val="00297DAE"/>
    <w:rsid w:val="002D00CA"/>
    <w:rsid w:val="002F3040"/>
    <w:rsid w:val="00311860"/>
    <w:rsid w:val="00373952"/>
    <w:rsid w:val="00397A96"/>
    <w:rsid w:val="003D2C81"/>
    <w:rsid w:val="003E62D4"/>
    <w:rsid w:val="004278DA"/>
    <w:rsid w:val="004343A1"/>
    <w:rsid w:val="00464C04"/>
    <w:rsid w:val="00464CB0"/>
    <w:rsid w:val="00467423"/>
    <w:rsid w:val="004A1BE7"/>
    <w:rsid w:val="004A75DE"/>
    <w:rsid w:val="004B1B83"/>
    <w:rsid w:val="004B71BA"/>
    <w:rsid w:val="004C44FC"/>
    <w:rsid w:val="004F0647"/>
    <w:rsid w:val="00511017"/>
    <w:rsid w:val="00526557"/>
    <w:rsid w:val="00531B2F"/>
    <w:rsid w:val="00537847"/>
    <w:rsid w:val="005660A6"/>
    <w:rsid w:val="005A1C86"/>
    <w:rsid w:val="005E3DA4"/>
    <w:rsid w:val="005E6CF9"/>
    <w:rsid w:val="00631074"/>
    <w:rsid w:val="00635D6E"/>
    <w:rsid w:val="00665910"/>
    <w:rsid w:val="00692F7A"/>
    <w:rsid w:val="006B6564"/>
    <w:rsid w:val="006C170D"/>
    <w:rsid w:val="006D1DE4"/>
    <w:rsid w:val="006D2646"/>
    <w:rsid w:val="006D274A"/>
    <w:rsid w:val="006D42B7"/>
    <w:rsid w:val="007424F5"/>
    <w:rsid w:val="00744A42"/>
    <w:rsid w:val="00761D0F"/>
    <w:rsid w:val="00767F0F"/>
    <w:rsid w:val="00775CC7"/>
    <w:rsid w:val="00811514"/>
    <w:rsid w:val="00816FCE"/>
    <w:rsid w:val="00826D97"/>
    <w:rsid w:val="0084361C"/>
    <w:rsid w:val="008830F1"/>
    <w:rsid w:val="008B1C6E"/>
    <w:rsid w:val="008C2D2C"/>
    <w:rsid w:val="008C5A4A"/>
    <w:rsid w:val="008D0D2C"/>
    <w:rsid w:val="008D59B9"/>
    <w:rsid w:val="008F5F7A"/>
    <w:rsid w:val="00904E86"/>
    <w:rsid w:val="00933E56"/>
    <w:rsid w:val="009420AD"/>
    <w:rsid w:val="00993A04"/>
    <w:rsid w:val="009B5C8D"/>
    <w:rsid w:val="009C3543"/>
    <w:rsid w:val="009D141B"/>
    <w:rsid w:val="009E0448"/>
    <w:rsid w:val="009F03E6"/>
    <w:rsid w:val="00A04AF1"/>
    <w:rsid w:val="00A4378E"/>
    <w:rsid w:val="00A45DD7"/>
    <w:rsid w:val="00A913B0"/>
    <w:rsid w:val="00AB1E25"/>
    <w:rsid w:val="00AB5B47"/>
    <w:rsid w:val="00B15089"/>
    <w:rsid w:val="00B42257"/>
    <w:rsid w:val="00B743F3"/>
    <w:rsid w:val="00B83BD2"/>
    <w:rsid w:val="00BB3A2E"/>
    <w:rsid w:val="00C06201"/>
    <w:rsid w:val="00C06F1D"/>
    <w:rsid w:val="00C24131"/>
    <w:rsid w:val="00C50D9B"/>
    <w:rsid w:val="00C92958"/>
    <w:rsid w:val="00CA1693"/>
    <w:rsid w:val="00CA57FB"/>
    <w:rsid w:val="00CA5FB6"/>
    <w:rsid w:val="00CB17C5"/>
    <w:rsid w:val="00CD172C"/>
    <w:rsid w:val="00CE0420"/>
    <w:rsid w:val="00D36760"/>
    <w:rsid w:val="00D40E17"/>
    <w:rsid w:val="00D77221"/>
    <w:rsid w:val="00D843CB"/>
    <w:rsid w:val="00DA7A35"/>
    <w:rsid w:val="00DD2358"/>
    <w:rsid w:val="00EB6B8E"/>
    <w:rsid w:val="00ED09D8"/>
    <w:rsid w:val="00ED5DC4"/>
    <w:rsid w:val="00F50626"/>
    <w:rsid w:val="00F6679B"/>
    <w:rsid w:val="00FE09AE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D50B"/>
  <w15:docId w15:val="{AA053D64-3418-4351-8C48-4E478A5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274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74A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4 pt,Body text (2) + 13 pt,Spacing 2 pt,Small Caps,Body text (2) + 15 pt"/>
    <w:basedOn w:val="Bodytext2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6D274A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6D274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6D274A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6D27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D274A"/>
    <w:pPr>
      <w:shd w:val="clear" w:color="auto" w:fill="FFFFFF"/>
      <w:spacing w:before="42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D274A"/>
    <w:pPr>
      <w:shd w:val="clear" w:color="auto" w:fill="FFFFFF"/>
      <w:spacing w:before="300"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D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D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0D2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B2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1B2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1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2D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D2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2D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2C"/>
    <w:rPr>
      <w:color w:val="000000"/>
    </w:rPr>
  </w:style>
  <w:style w:type="character" w:customStyle="1" w:styleId="Bodytext315pt">
    <w:name w:val="Body text (3) + 15 pt"/>
    <w:basedOn w:val="Bodytext3"/>
    <w:rsid w:val="00D36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19pt">
    <w:name w:val="Heading #1 + 19 pt"/>
    <w:aliases w:val="Not Bold"/>
    <w:basedOn w:val="Heading1"/>
    <w:rsid w:val="00D36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36CE4D-00D9-4D9D-9F0C-3AA01B39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Mkrtchyan</dc:creator>
  <cp:lastModifiedBy>Arpine Khachatryan</cp:lastModifiedBy>
  <cp:revision>21</cp:revision>
  <dcterms:created xsi:type="dcterms:W3CDTF">2019-03-05T10:57:00Z</dcterms:created>
  <dcterms:modified xsi:type="dcterms:W3CDTF">2020-05-06T07:25:00Z</dcterms:modified>
</cp:coreProperties>
</file>