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565D" w14:textId="6D753A54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2</w:t>
      </w:r>
    </w:p>
    <w:p w14:paraId="6F1D1914" w14:textId="454B9071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4A5818AA" w14:textId="515ED8F3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92391D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="00F02EC0">
        <w:rPr>
          <w:rFonts w:ascii="GHEA Mariam" w:hAnsi="GHEA Mariam"/>
          <w:spacing w:val="-2"/>
          <w:szCs w:val="22"/>
          <w:lang w:val="hy-AM"/>
        </w:rPr>
        <w:t>ի N 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30B70A19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790B40D6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</w:p>
    <w:p w14:paraId="3FC35731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  <w:r w:rsidRPr="00363CD4">
        <w:rPr>
          <w:rFonts w:ascii="GHEA Mariam" w:hAnsi="GHEA Mariam" w:cs="Arial"/>
          <w:lang w:val="hy-AM" w:eastAsia="en-US"/>
        </w:rPr>
        <w:t>ՀԱՅԱՍՏԱՆԻ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ՀԱՆՐԱՊԵՏՈՒԹՅԱՆ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ԿԱՌԱՎԱՐՈՒԹՅԱՆ</w:t>
      </w:r>
      <w:r w:rsidRPr="00363CD4">
        <w:rPr>
          <w:rFonts w:ascii="GHEA Mariam" w:hAnsi="GHEA Mariam"/>
          <w:lang w:val="hy-AM" w:eastAsia="en-US"/>
        </w:rPr>
        <w:t xml:space="preserve"> 2019 </w:t>
      </w:r>
      <w:r w:rsidRPr="00363CD4">
        <w:rPr>
          <w:rFonts w:ascii="GHEA Mariam" w:hAnsi="GHEA Mariam" w:cs="Arial"/>
          <w:lang w:val="hy-AM" w:eastAsia="en-US"/>
        </w:rPr>
        <w:t>ԹՎԱԿԱՆԻ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ԴԵԿՏԵՄԲԵՐԻ</w:t>
      </w:r>
      <w:r w:rsidRPr="00363CD4">
        <w:rPr>
          <w:rFonts w:ascii="GHEA Mariam" w:hAnsi="GHEA Mariam"/>
          <w:lang w:val="hy-AM" w:eastAsia="en-US"/>
        </w:rPr>
        <w:t xml:space="preserve"> 26-</w:t>
      </w:r>
      <w:r w:rsidRPr="00363CD4">
        <w:rPr>
          <w:rFonts w:ascii="GHEA Mariam" w:hAnsi="GHEA Mariam" w:cs="Arial"/>
          <w:lang w:val="hy-AM" w:eastAsia="en-US"/>
        </w:rPr>
        <w:t>Ի</w:t>
      </w:r>
      <w:r w:rsidRPr="00363CD4">
        <w:rPr>
          <w:rFonts w:ascii="GHEA Mariam" w:hAnsi="GHEA Mariam"/>
          <w:lang w:val="hy-AM" w:eastAsia="en-US"/>
        </w:rPr>
        <w:t xml:space="preserve"> N 1919-</w:t>
      </w:r>
      <w:r w:rsidRPr="00363CD4">
        <w:rPr>
          <w:rFonts w:ascii="GHEA Mariam" w:hAnsi="GHEA Mariam" w:cs="Arial"/>
          <w:lang w:val="hy-AM" w:eastAsia="en-US"/>
        </w:rPr>
        <w:t>Ն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ՈՐՈՇՄԱՆ</w:t>
      </w:r>
    </w:p>
    <w:p w14:paraId="43F4B99C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  <w:r>
        <w:rPr>
          <w:rFonts w:ascii="GHEA Mariam" w:hAnsi="GHEA Mariam"/>
          <w:lang w:val="hy-AM" w:eastAsia="en-US"/>
        </w:rPr>
        <w:t xml:space="preserve"> N</w:t>
      </w:r>
      <w:r w:rsidRPr="00363CD4">
        <w:rPr>
          <w:rFonts w:ascii="GHEA Mariam" w:hAnsi="GHEA Mariam"/>
          <w:lang w:val="hy-AM" w:eastAsia="en-US"/>
        </w:rPr>
        <w:t xml:space="preserve">N 3 </w:t>
      </w:r>
      <w:r w:rsidRPr="00363CD4">
        <w:rPr>
          <w:rFonts w:ascii="GHEA Mariam" w:hAnsi="GHEA Mariam" w:cs="Arial"/>
          <w:lang w:val="hy-AM" w:eastAsia="en-US"/>
        </w:rPr>
        <w:t>ԵՎ</w:t>
      </w:r>
      <w:r w:rsidRPr="00363CD4">
        <w:rPr>
          <w:rFonts w:ascii="GHEA Mariam" w:hAnsi="GHEA Mariam"/>
          <w:lang w:val="hy-AM" w:eastAsia="en-US"/>
        </w:rPr>
        <w:t xml:space="preserve"> 4 </w:t>
      </w:r>
      <w:r w:rsidRPr="00363CD4">
        <w:rPr>
          <w:rFonts w:ascii="GHEA Mariam" w:hAnsi="GHEA Mariam" w:cs="Arial"/>
          <w:lang w:val="hy-AM" w:eastAsia="en-US"/>
        </w:rPr>
        <w:t>ՀԱՎԵԼՎԱԾՆԵՐՈՒՄ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ԿԱՏԱՐՎՈՂ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ՓՈՓՈԽՈՒԹՅՈՒՆՆԵՐԸ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ԵՎ</w:t>
      </w:r>
      <w:r w:rsidRPr="00363CD4">
        <w:rPr>
          <w:rFonts w:ascii="GHEA Mariam" w:hAnsi="GHEA Mariam"/>
          <w:lang w:val="hy-AM" w:eastAsia="en-US"/>
        </w:rPr>
        <w:t xml:space="preserve"> </w:t>
      </w:r>
      <w:r w:rsidRPr="00363CD4">
        <w:rPr>
          <w:rFonts w:ascii="GHEA Mariam" w:hAnsi="GHEA Mariam" w:cs="Arial"/>
          <w:lang w:val="hy-AM" w:eastAsia="en-US"/>
        </w:rPr>
        <w:t>ԼՐԱՑՈՒՄՆԵՐԸ</w:t>
      </w:r>
    </w:p>
    <w:p w14:paraId="1E81621A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</w:p>
    <w:tbl>
      <w:tblPr>
        <w:tblW w:w="15046" w:type="dxa"/>
        <w:tblInd w:w="142" w:type="dxa"/>
        <w:tblLook w:val="04A0" w:firstRow="1" w:lastRow="0" w:firstColumn="1" w:lastColumn="0" w:noHBand="0" w:noVBand="1"/>
      </w:tblPr>
      <w:tblGrid>
        <w:gridCol w:w="859"/>
        <w:gridCol w:w="802"/>
        <w:gridCol w:w="840"/>
        <w:gridCol w:w="1100"/>
        <w:gridCol w:w="1383"/>
        <w:gridCol w:w="5222"/>
        <w:gridCol w:w="1540"/>
        <w:gridCol w:w="1540"/>
        <w:gridCol w:w="1760"/>
      </w:tblGrid>
      <w:tr w:rsidR="005F6143" w:rsidRPr="00363CD4" w14:paraId="3B1EF074" w14:textId="77777777" w:rsidTr="004826FB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D69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74C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CDD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6AB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CE7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A49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71F" w14:textId="77777777" w:rsidR="005F6143" w:rsidRPr="00363CD4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75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5F6143" w:rsidRPr="00363CD4" w14:paraId="3520FB17" w14:textId="77777777" w:rsidTr="004826FB">
        <w:trPr>
          <w:trHeight w:val="1005"/>
        </w:trPr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5CF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Գործառական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7B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5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9D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4C6F3" w14:textId="77777777" w:rsidR="005F6143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</w:p>
          <w:p w14:paraId="594131D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363CD4" w14:paraId="0983FDCA" w14:textId="77777777" w:rsidTr="004826FB">
        <w:trPr>
          <w:trHeight w:val="540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4D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բաժին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56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խումբ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D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72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C8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proofErr w:type="spellEnd"/>
          </w:p>
        </w:tc>
        <w:tc>
          <w:tcPr>
            <w:tcW w:w="5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83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1F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55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3F5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5F6143" w:rsidRPr="00363CD4" w14:paraId="2EDD9BA0" w14:textId="77777777" w:rsidTr="004826FB">
        <w:trPr>
          <w:trHeight w:val="33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BEF7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AF0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96B6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9C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47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2EA7" w14:textId="77777777" w:rsidR="005F6143" w:rsidRPr="00594C7F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72D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887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CEF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0FFD0E9F" w14:textId="77777777" w:rsidTr="004826FB">
        <w:trPr>
          <w:trHeight w:val="33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8093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5BE3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116B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CB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45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99F" w14:textId="77777777" w:rsidR="005F6143" w:rsidRPr="00594C7F" w:rsidRDefault="005F6143" w:rsidP="004826FB">
            <w:pPr>
              <w:rPr>
                <w:rFonts w:ascii="GHEA Mariam" w:hAnsi="GHEA Mariam" w:cs="Calibri"/>
                <w:lang w:val="hy-AM"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A75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0EB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9B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54B3BF5C" w14:textId="77777777" w:rsidTr="004826FB">
        <w:trPr>
          <w:trHeight w:val="585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9DC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1DED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F01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71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5F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771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կ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րթության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B9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2D8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E29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30000C60" w14:textId="77777777" w:rsidTr="004826FB">
        <w:trPr>
          <w:trHeight w:val="34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FEE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56B0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10A653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F0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EE3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lastRenderedPageBreak/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br/>
              <w:t>11010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58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lastRenderedPageBreak/>
              <w:t xml:space="preserve"> ԿՐԹՈՒԹՅՈՒՆ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659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75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FE7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(422,500.5)</w:t>
            </w:r>
          </w:p>
        </w:tc>
      </w:tr>
      <w:tr w:rsidR="005F6143" w:rsidRPr="00363CD4" w14:paraId="50A03F7C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D2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A5B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B57C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48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054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8CDB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696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597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B5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62059554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5F6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ABD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98E36D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918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C7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836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731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F21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B0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(422,500.5)</w:t>
            </w:r>
          </w:p>
        </w:tc>
      </w:tr>
      <w:tr w:rsidR="005F6143" w:rsidRPr="00363CD4" w14:paraId="72BCF8C3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BD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F9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BC50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6D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E8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5B0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900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775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4F4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5547907C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F1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281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09A6C3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D6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64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1BF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13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87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A8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(422,500.5)</w:t>
            </w:r>
          </w:p>
        </w:tc>
      </w:tr>
      <w:tr w:rsidR="005F6143" w:rsidRPr="00363CD4" w14:paraId="00F35025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BA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4D2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7070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E9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3D2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BA3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D27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EF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91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53843114" w14:textId="77777777" w:rsidTr="004826FB">
        <w:trPr>
          <w:trHeight w:val="61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506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DC7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153B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E6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0B1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ED7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B6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03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32B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397A92D7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89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B8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1121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9EF43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1148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0B93F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Արտադպրոցական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դաստիարակության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DC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0E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AD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(422,500.5)</w:t>
            </w:r>
          </w:p>
        </w:tc>
      </w:tr>
      <w:tr w:rsidR="005F6143" w:rsidRPr="00363CD4" w14:paraId="075D7723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43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AD9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9088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9870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D4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11005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B2B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71E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5A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9B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590D91E1" w14:textId="77777777" w:rsidTr="004826FB">
        <w:trPr>
          <w:trHeight w:val="6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402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C1C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DBA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AA8D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C30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E6B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Դպրոցականների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ամառային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հանգստի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կազմակերպում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փոխհատուցում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91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6F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1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363CD4" w14:paraId="2F64C2B2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4D7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8BB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3436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D4CB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C4C5D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E69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9AF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69E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355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649CC090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E9F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ED7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6AE1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0B91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964F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7D97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F65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B52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BC6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(422,500.5)</w:t>
            </w:r>
          </w:p>
        </w:tc>
      </w:tr>
      <w:tr w:rsidR="005F6143" w:rsidRPr="00363CD4" w14:paraId="5CB8CB74" w14:textId="77777777" w:rsidTr="004826FB">
        <w:trPr>
          <w:trHeight w:val="5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BE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8C8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CB2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DAB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414E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652C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0EB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6CF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D0D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24315AB4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0AF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855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05A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AF5B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0643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4E7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BB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F97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011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363CD4" w14:paraId="495437C9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627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361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C9E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8FA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675A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5C09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B35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E40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B43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363CD4" w14:paraId="09619BB5" w14:textId="77777777" w:rsidTr="004826FB">
        <w:trPr>
          <w:trHeight w:val="45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EE6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A0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3E9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001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77F7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136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377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D30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E5B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363CD4" w14:paraId="5C17D4B4" w14:textId="77777777" w:rsidTr="004826FB">
        <w:trPr>
          <w:trHeight w:val="5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18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68B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D5DE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7F3B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E291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6799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Ընթացիկ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FEF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63C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CBC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363CD4" w14:paraId="4C37667F" w14:textId="77777777" w:rsidTr="004826FB">
        <w:trPr>
          <w:trHeight w:val="5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F2C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948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50F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ED27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3A9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101F5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ընթացիկ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EFF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C58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586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363CD4" w14:paraId="7D4C2C1B" w14:textId="77777777" w:rsidTr="004826FB">
        <w:trPr>
          <w:trHeight w:val="63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F26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08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175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AC6A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1F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BB9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148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ՀԱՆԳԻՍՏ, ՄՇԱԿՈՒՅԹ ԵՎ ԿՐՈՆ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7C7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0A7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41,069.6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6A2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422,500.5</w:t>
            </w:r>
          </w:p>
        </w:tc>
      </w:tr>
      <w:tr w:rsidR="005F6143" w:rsidRPr="00363CD4" w14:paraId="5A1D8251" w14:textId="77777777" w:rsidTr="004826FB">
        <w:trPr>
          <w:trHeight w:val="37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09E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098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0F659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709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8043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6CB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BBA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528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D79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2790A03E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46E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336C25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CA986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A4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9D5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AE6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8E2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DEE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41,069.6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81E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422,500.5</w:t>
            </w:r>
          </w:p>
        </w:tc>
      </w:tr>
      <w:tr w:rsidR="005F6143" w:rsidRPr="00363CD4" w14:paraId="5A92A486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2C0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3F7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1748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77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876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549B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7A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0E4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1C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178C0A0C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99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522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EB79EA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2EA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DE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F55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տներ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ակումբներ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կենտրոններ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06C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F9A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8BC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5F6143" w:rsidRPr="00363CD4" w14:paraId="6F7C4E01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86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DD50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2826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67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48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07A2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2A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C6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D6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34DD8DCA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5EA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1ABF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E5D5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F18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ABD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7B93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4C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FF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A4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5F6143" w:rsidRPr="00363CD4" w14:paraId="16F47638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BD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C09B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DA6A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B4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745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D5E37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41C5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8CC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3BA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53490476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6F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9690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CD1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CFCBB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1196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1BA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Մարզերի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մշակութային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զարգացման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DAAC0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05EC1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3E477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5F6143" w:rsidRPr="00363CD4" w14:paraId="6BAA0674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075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AB1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2547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F0FE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2E7D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F14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A65BD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EAE6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5C16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5F58A61D" w14:textId="77777777" w:rsidTr="004826FB">
        <w:trPr>
          <w:trHeight w:val="8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F2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EAE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B9C7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EE37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7827D6" w14:textId="77777777" w:rsidR="005F6143" w:rsidRPr="00363CD4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290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համայնքներին</w:t>
            </w:r>
            <w:proofErr w:type="spellEnd"/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հաստատությունների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շենքային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պայմանների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բարելավման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համար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43F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09F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7266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2,400.0</w:t>
            </w:r>
          </w:p>
        </w:tc>
      </w:tr>
      <w:tr w:rsidR="005F6143" w:rsidRPr="00363CD4" w14:paraId="4D927BA2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93E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CF2C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B2DB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826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8506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847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79F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A23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BCA0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5AFB7FF8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0D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A90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1803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451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7B3B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239E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29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CB8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D21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2,400.0</w:t>
            </w:r>
          </w:p>
        </w:tc>
      </w:tr>
      <w:tr w:rsidR="005F6143" w:rsidRPr="00363CD4" w14:paraId="717444D3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3A6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2CED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71D4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EAB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ED08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185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DC7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45D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FCC7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096D5FC8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510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F706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83C5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D6E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72FD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0F5D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4ED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88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B89A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5F6143" w:rsidRPr="00363CD4" w14:paraId="03862B56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C6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C62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DF3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A2B2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65FD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B1CB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87C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68C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AD26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5F6143" w:rsidRPr="00363CD4" w14:paraId="4D3AF2C2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300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2F5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922A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38C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641E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389" w14:textId="3C526305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ԴՐԱՄԱՇՆՈՐ</w:t>
            </w:r>
            <w:r w:rsidR="000E2555">
              <w:rPr>
                <w:rFonts w:ascii="GHEA Mariam" w:hAnsi="GHEA Mariam" w:cs="Calibri"/>
                <w:lang w:val="hy-AM" w:eastAsia="en-US"/>
              </w:rPr>
              <w:t>Հ</w:t>
            </w:r>
            <w:r w:rsidRPr="00363CD4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9B5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713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8E4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5F6143" w:rsidRPr="00363CD4" w14:paraId="182AB04C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D1B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667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305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4E01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7B5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A02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96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646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7CF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2,400.0</w:t>
            </w:r>
          </w:p>
        </w:tc>
      </w:tr>
      <w:tr w:rsidR="005F6143" w:rsidRPr="00363CD4" w14:paraId="4F0FDE69" w14:textId="77777777" w:rsidTr="004826FB">
        <w:trPr>
          <w:trHeight w:val="5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46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E51A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EFBB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A531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3B15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731CB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14C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26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17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2,400.0</w:t>
            </w:r>
          </w:p>
        </w:tc>
      </w:tr>
      <w:tr w:rsidR="005F6143" w:rsidRPr="00363CD4" w14:paraId="60B99EC7" w14:textId="77777777" w:rsidTr="004826FB">
        <w:trPr>
          <w:trHeight w:val="5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3AD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2E62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A47D6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07</w:t>
            </w:r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947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CF0CE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AD3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արժեքների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պահպանում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9DC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894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41,069.6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5D0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420,100.5</w:t>
            </w:r>
          </w:p>
        </w:tc>
      </w:tr>
      <w:tr w:rsidR="005F6143" w:rsidRPr="00363CD4" w14:paraId="4B88CDF8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171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2B7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00305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D3A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350C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FF66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7A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70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AB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1119BB10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FD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FD4E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98057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E573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D353D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0B13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E4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DA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41,069.6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A1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420,100.5</w:t>
            </w:r>
          </w:p>
        </w:tc>
      </w:tr>
      <w:tr w:rsidR="005F6143" w:rsidRPr="00363CD4" w14:paraId="048E7DD8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09B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36E1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8CE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28E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D51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EF0BD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63A6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70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792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7B1EB510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A4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CAD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8A7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44EBE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1075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2E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Մշակութային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ժառանգության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2D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99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41,069.6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A5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420,100.5</w:t>
            </w:r>
          </w:p>
        </w:tc>
      </w:tr>
      <w:tr w:rsidR="005F6143" w:rsidRPr="00363CD4" w14:paraId="7FEA8C7B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1A8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68BB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0F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5CCD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465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5E5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D4D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F46D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C22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2D057461" w14:textId="77777777" w:rsidTr="004826FB">
        <w:trPr>
          <w:trHeight w:val="8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DB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EF34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87D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F5BA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B0F3F" w14:textId="77777777" w:rsidR="005F6143" w:rsidRPr="00363CD4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A4D15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85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354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6555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</w:tr>
      <w:tr w:rsidR="005F6143" w:rsidRPr="00363CD4" w14:paraId="4F1AB0EC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6B6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C2BA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BDE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9E42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32F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21E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EA1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7DA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33F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7A0629B7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22E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2CC1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811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06CE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E99D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57E5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CC0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E83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088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7D78783F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54A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C732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A8A4DC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67E2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B31E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376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1BD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559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E62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49E4D4CC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F73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C9F0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273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6E6E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568B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EA4E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B5C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C46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264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4B7553F5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702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90A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D061D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527C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4C90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FFA9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400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2A1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E2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3313AE59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B0C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5774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1E7BB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E1FC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5395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36C4" w14:textId="2EBB9D36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ԴՐԱՄԱՇՆՈՐ</w:t>
            </w:r>
            <w:r w:rsidR="000E2555">
              <w:rPr>
                <w:rFonts w:ascii="GHEA Mariam" w:hAnsi="GHEA Mariam" w:cs="Calibri"/>
                <w:lang w:val="hy-AM" w:eastAsia="en-US"/>
              </w:rPr>
              <w:t>Հ</w:t>
            </w:r>
            <w:r w:rsidRPr="00363CD4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EDD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6B6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222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7DB983FA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C0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C691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F96A2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B4F1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5D9C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935E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6DB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F26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F76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3E8040FD" w14:textId="77777777" w:rsidTr="004826FB">
        <w:trPr>
          <w:trHeight w:val="5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070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07A0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457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4E2A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78EA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39B8F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FE4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DC5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84D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37,080.0</w:t>
            </w:r>
          </w:p>
        </w:tc>
      </w:tr>
      <w:tr w:rsidR="005F6143" w:rsidRPr="00363CD4" w14:paraId="038F8437" w14:textId="77777777" w:rsidTr="004826FB">
        <w:trPr>
          <w:trHeight w:val="69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00A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8D3B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AF491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760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2066" w14:textId="77777777" w:rsidR="005F6143" w:rsidRPr="00363CD4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12003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C4968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ամրակայման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E96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C46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D7A0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8,500.0</w:t>
            </w:r>
          </w:p>
        </w:tc>
      </w:tr>
      <w:tr w:rsidR="005F6143" w:rsidRPr="00363CD4" w14:paraId="44152B1E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D66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0C52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78F2B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4262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9D0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0C620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A19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557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5DB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4CEB7DC0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FE7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693B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BCD36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7EC8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523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A08F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579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9DF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D41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7574A525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113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4EBA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E157D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4715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0EA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A90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96B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C46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2F5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0BA3EC87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716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B6B1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0FB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EFE4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935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090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59F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0FE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1EA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1E1B8289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F6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7DE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5407C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BE0C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04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48F9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741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64F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D33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7B57E8E1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7E2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3D42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7F575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605F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7D0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DE33" w14:textId="27E0B6C1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ԴՐԱՄԱՇՆՈՐ</w:t>
            </w:r>
            <w:r w:rsidR="000E2555">
              <w:rPr>
                <w:rFonts w:ascii="GHEA Mariam" w:hAnsi="GHEA Mariam" w:cs="Calibri"/>
                <w:lang w:val="hy-AM" w:eastAsia="en-US"/>
              </w:rPr>
              <w:t>Հ</w:t>
            </w:r>
            <w:r w:rsidRPr="00363CD4">
              <w:rPr>
                <w:rFonts w:ascii="GHEA Mariam" w:hAnsi="GHEA Mariam" w:cs="Calibri"/>
                <w:lang w:eastAsia="en-US"/>
              </w:rPr>
              <w:t>ՆԵՐ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FDC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9E6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7B1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1F0056F4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F84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B5F7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0B1D3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BD86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3E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624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412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11F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40E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7F764864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63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EA37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9C7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D513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4A6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22D6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դրամաշնորհներ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ոչ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առևտրային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3D0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858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085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363CD4" w14:paraId="496B24D0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8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A00B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109322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5262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A4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DFE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89B6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57A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1D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460A381A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FF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4AB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A6F01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C47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854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21001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F41D2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ամրակայում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նորոգում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410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3CE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7581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289,248.9</w:t>
            </w:r>
          </w:p>
        </w:tc>
      </w:tr>
      <w:tr w:rsidR="005F6143" w:rsidRPr="00363CD4" w14:paraId="5DEE4187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129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0055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649AB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4FB4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97B02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885B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D58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D7B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47E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20D22C07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BA2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52E8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87914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DBB5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800F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1AAD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6C1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70F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69FE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289,248.9</w:t>
            </w:r>
          </w:p>
        </w:tc>
      </w:tr>
      <w:tr w:rsidR="005F6143" w:rsidRPr="00363CD4" w14:paraId="3421DEA9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D5C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9B10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38283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A957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38B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997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A9D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825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6060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755663A0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C20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543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CD902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F2D2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67D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771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C59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A90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C7A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289,248.9</w:t>
            </w:r>
          </w:p>
        </w:tc>
      </w:tr>
      <w:tr w:rsidR="005F6143" w:rsidRPr="00363CD4" w14:paraId="319CAC56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EB0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802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492CE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BAB1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FC57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F2F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0F6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E81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6FE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289,248.9</w:t>
            </w:r>
          </w:p>
        </w:tc>
      </w:tr>
      <w:tr w:rsidR="005F6143" w:rsidRPr="00363CD4" w14:paraId="702971E9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3AA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3099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838F1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554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069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1B67C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ՀԻՄՆԱԿԱՆ ՄԻՋՈՑՆԵՐ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6E8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868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3C6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289,248.9</w:t>
            </w:r>
          </w:p>
        </w:tc>
      </w:tr>
      <w:tr w:rsidR="005F6143" w:rsidRPr="00363CD4" w14:paraId="364BDEED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09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3E3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2BFB9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0167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37BB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E7BD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ՇԵՆՔԵՐ ԵՎ ՇԻՆՈՒԹՅՈՒՆՆԵՐ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F93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0F6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64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242,340.0</w:t>
            </w:r>
          </w:p>
        </w:tc>
      </w:tr>
      <w:tr w:rsidR="005F6143" w:rsidRPr="00363CD4" w14:paraId="19AD8023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F0E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C0B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F46C41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D3BD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45C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E1D9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Շենքերի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շինությունների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13A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4F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3,989.6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0B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242,340.0</w:t>
            </w:r>
          </w:p>
        </w:tc>
      </w:tr>
      <w:tr w:rsidR="005F6143" w:rsidRPr="00363CD4" w14:paraId="1950A4FD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F8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E3C7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A202E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582A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FF6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2DB6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ԱՅԼ ՀԻՄՆԱԿԱՆ ՄԻՋՈՑՆԵՐ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9A8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E6D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95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46,908.8</w:t>
            </w:r>
          </w:p>
        </w:tc>
      </w:tr>
      <w:tr w:rsidR="005F6143" w:rsidRPr="00363CD4" w14:paraId="13D5F5DB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411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D197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1747A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4551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22102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94402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Նախագծահետազոտական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ծախսեր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EB5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A16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DD3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46,908.8</w:t>
            </w:r>
          </w:p>
        </w:tc>
      </w:tr>
      <w:tr w:rsidR="005F6143" w:rsidRPr="00363CD4" w14:paraId="36B1E030" w14:textId="77777777" w:rsidTr="004826FB">
        <w:trPr>
          <w:trHeight w:val="34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88B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B544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FD530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29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A45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21003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A70FF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74B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446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CF8C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8,388.0</w:t>
            </w:r>
          </w:p>
        </w:tc>
      </w:tr>
      <w:tr w:rsidR="005F6143" w:rsidRPr="00363CD4" w14:paraId="58E8D0CE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53B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BD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F950F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36C5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7F4AC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591D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81A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C96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47B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7C8693B7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57F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E4C2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BBB78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D781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4B1F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3A7C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7F6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D8B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107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8,388.0</w:t>
            </w:r>
          </w:p>
        </w:tc>
      </w:tr>
      <w:tr w:rsidR="005F6143" w:rsidRPr="00363CD4" w14:paraId="7DDE54DF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D6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4618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9D99E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3A4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337B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4339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թվում`բյուջետային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BB5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1BE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BEC2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7A0C9C35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F9A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770D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B0389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3FA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4C4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D1A7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EFE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2A8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BDC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363CD4" w14:paraId="33D11417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8A3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FA49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A49009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8068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058CB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2A1B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16C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1A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32AE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363CD4" w14:paraId="2FD142AD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71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D13F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32BC3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BAEF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5F3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D71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ՀԻՄՆԱԿԱՆ ՄԻՋՈՑՆԵՐ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7A1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1A3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B99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363CD4" w14:paraId="09BE73F9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AD8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12B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82E30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D4B3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EFD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F9A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ՇԵՆՔԵՐ ԵՎ ՇԻՆՈՒԹՅՈՒՆՆԵՐ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6BF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71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C12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8,388.0</w:t>
            </w:r>
          </w:p>
        </w:tc>
      </w:tr>
      <w:tr w:rsidR="005F6143" w:rsidRPr="00363CD4" w14:paraId="3FF66A59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CE8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FE4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16304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F4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E666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7B4DAB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Շենքերի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շինությունների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13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7B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5E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8,388.0</w:t>
            </w:r>
          </w:p>
        </w:tc>
      </w:tr>
      <w:tr w:rsidR="005F6143" w:rsidRPr="00363CD4" w14:paraId="21EC8D2A" w14:textId="77777777" w:rsidTr="004826FB">
        <w:trPr>
          <w:trHeight w:val="5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C12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0F9C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A7B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7EC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8E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21004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901D6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FC2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FD7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F9F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76,883.6</w:t>
            </w:r>
          </w:p>
        </w:tc>
      </w:tr>
      <w:tr w:rsidR="005F6143" w:rsidRPr="00363CD4" w14:paraId="3C7BA186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79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CA20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FE70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E587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FF0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B14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թվում`ըստ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3B4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D82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9F1B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11FB028A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E8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555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29F9A4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EE9F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7856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4499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կրթության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գիտության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սպորտի</w:t>
            </w:r>
            <w:proofErr w:type="spellEnd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74C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DB6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607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76,883.6</w:t>
            </w:r>
          </w:p>
        </w:tc>
      </w:tr>
      <w:tr w:rsidR="005F6143" w:rsidRPr="00363CD4" w14:paraId="5AFCD5AF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0FE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8958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0CDF6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3C60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F7F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4F06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626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35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4B9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6B2EA7E1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74D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6176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ECB17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032E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B73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30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43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6BD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F9D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363CD4" w14:paraId="03812B4C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649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C67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9022A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DA08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48A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71A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1F7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899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B629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363CD4" w14:paraId="571F581E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B53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1BD3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D04CB7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379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B83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8C7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ՀԻՄՆԱԿԱՆ ՄԻՋՈՑՆԵՐ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AEB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8BE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DE67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363CD4" w14:paraId="2783F070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5E8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1C8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F2962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71C9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0FE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96C3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ՇԵՆՔԵՐ ԵՎ ՇԻՆՈՒԹՅՈՒՆՆԵՐ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971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69C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B2E1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363CD4" w14:paraId="27A7F821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C87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280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08168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4D51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C478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43FA99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Շենքերի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շինությունների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կապիտալ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929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1A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A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76,883.6</w:t>
            </w:r>
          </w:p>
        </w:tc>
      </w:tr>
      <w:tr w:rsidR="005F6143" w:rsidRPr="00363CD4" w14:paraId="1101EDB8" w14:textId="77777777" w:rsidTr="004826FB">
        <w:trPr>
          <w:trHeight w:val="345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DF2E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D5B5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4D1C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E22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71E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5C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FE5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689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454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2062C614" w14:textId="77777777" w:rsidTr="004826FB">
        <w:trPr>
          <w:trHeight w:val="66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96A6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E440B5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37326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388863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91A14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A1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E1E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5C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11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489549BC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5AE6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932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D502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8D43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218F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DDD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6E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F1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B1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363CD4" w14:paraId="4E680CAE" w14:textId="77777777" w:rsidTr="004826FB">
        <w:trPr>
          <w:trHeight w:val="66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A93F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C02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717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B433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E40D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F5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համայնքների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0E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9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9B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26F23589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B4F9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5E2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7D9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E127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85E6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DEE7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7F4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2C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60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363CD4" w14:paraId="4E5F121B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C977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BF9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C3A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F9A7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47A1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1E5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D28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E29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326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6A7D9C21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66A7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ADE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39C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77BD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732C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33124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4E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4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5A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742BC2E2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B81D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0BD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5FF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A570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832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A165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4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0C08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30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2B38E549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05E2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FF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B7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BED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1B75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4374A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53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56A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3F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363CD4" w14:paraId="0D37C73F" w14:textId="77777777" w:rsidTr="004826FB">
        <w:trPr>
          <w:trHeight w:val="30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0E81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0B5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63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804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1139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52F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E3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6C8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96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363CD4" w14:paraId="5F5F35B5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36A6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5CF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591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30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1E4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1A4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E2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E1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074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03C8E2FF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C4C9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BD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0BF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13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355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11001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D4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62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016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D7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124,863.6</w:t>
            </w:r>
          </w:p>
        </w:tc>
      </w:tr>
      <w:tr w:rsidR="005F6143" w:rsidRPr="00363CD4" w14:paraId="2D27AD64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90CA7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4F7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582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AF5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B1D4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451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E0F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F4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D46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3A3F8B28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3A8B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A16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420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E0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84412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39F0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660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36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540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124,863.6</w:t>
            </w:r>
          </w:p>
        </w:tc>
      </w:tr>
      <w:tr w:rsidR="005F6143" w:rsidRPr="00363CD4" w14:paraId="5E6DE8B3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A50D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947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4CF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D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AB27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DF1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731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4E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C6C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363CD4" w14:paraId="3558DCA1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50E4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2E7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E1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A8A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BC0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47F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60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967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C1B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124,863.6</w:t>
            </w:r>
          </w:p>
        </w:tc>
      </w:tr>
      <w:tr w:rsidR="005F6143" w:rsidRPr="00363CD4" w14:paraId="3C041F98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4E11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BF3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747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D0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4198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552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F4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FF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A85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124,863.6</w:t>
            </w:r>
          </w:p>
        </w:tc>
      </w:tr>
      <w:tr w:rsidR="005F6143" w:rsidRPr="00363CD4" w14:paraId="5BE1A9F1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CEC1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74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F1F3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D9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8C8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1C1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ԱՅԼ ԾԱԽՍԵՐ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82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A9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4AC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124,863.6</w:t>
            </w:r>
          </w:p>
        </w:tc>
      </w:tr>
      <w:tr w:rsidR="005F6143" w:rsidRPr="00363CD4" w14:paraId="1D834D15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16C1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ED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C86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F42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A3D5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CFF0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միջոցներ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E7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7775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0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124,863.6</w:t>
            </w:r>
          </w:p>
        </w:tc>
      </w:tr>
      <w:tr w:rsidR="005F6143" w:rsidRPr="00363CD4" w14:paraId="482DCC17" w14:textId="77777777" w:rsidTr="004826FB">
        <w:trPr>
          <w:trHeight w:val="33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0F2E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2ED6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F3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6F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2F5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11001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50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08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AF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AD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363CD4">
              <w:rPr>
                <w:rFonts w:ascii="GHEA Mariam" w:hAnsi="GHEA Mariam" w:cs="Calibri"/>
                <w:b/>
                <w:bCs/>
                <w:lang w:eastAsia="en-US"/>
              </w:rPr>
              <w:t>(124,863.6)</w:t>
            </w:r>
          </w:p>
        </w:tc>
      </w:tr>
      <w:tr w:rsidR="005F6143" w:rsidRPr="00363CD4" w14:paraId="09C2C2D4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B619A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233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FC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C2B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76750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239A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7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00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37C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0B8FBC12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8FF1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87B8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756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0A2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04F8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E3F0" w14:textId="77777777" w:rsidR="005F6143" w:rsidRPr="00363CD4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 xml:space="preserve"> ՀՀ </w:t>
            </w:r>
            <w:proofErr w:type="spellStart"/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308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ED2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63B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363CD4">
              <w:rPr>
                <w:rFonts w:ascii="GHEA Mariam" w:hAnsi="GHEA Mariam" w:cs="Calibri"/>
                <w:i/>
                <w:iCs/>
                <w:lang w:eastAsia="en-US"/>
              </w:rPr>
              <w:t>(124,863.6)</w:t>
            </w:r>
          </w:p>
        </w:tc>
      </w:tr>
      <w:tr w:rsidR="005F6143" w:rsidRPr="00363CD4" w14:paraId="6D535F64" w14:textId="77777777" w:rsidTr="004826FB">
        <w:trPr>
          <w:trHeight w:val="54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EC38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6D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106D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251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81C4F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DAE4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EA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DA1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75D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363CD4" w14:paraId="1CD0DD78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F789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0241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E9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AA2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587D2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465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3F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A0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979A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5F6143" w:rsidRPr="00363CD4" w14:paraId="558F4949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CF500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18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A77C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4BA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79556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FE60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363CD4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5B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2FB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D52F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5F6143" w:rsidRPr="00363CD4" w14:paraId="3D7AEC4E" w14:textId="77777777" w:rsidTr="004826FB">
        <w:trPr>
          <w:trHeight w:val="27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B4DDB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0AE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8272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415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1D35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6387" w14:textId="77777777" w:rsidR="005F6143" w:rsidRPr="00363CD4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ԱՅԼ </w:t>
            </w:r>
            <w:r w:rsidRPr="00363CD4">
              <w:rPr>
                <w:rFonts w:ascii="GHEA Mariam" w:hAnsi="GHEA Mariam" w:cs="Calibri"/>
                <w:color w:val="000000"/>
                <w:lang w:eastAsia="en-US"/>
              </w:rPr>
              <w:t>ԾԱԽՍԵՐ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13C0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133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29D6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5F6143" w:rsidRPr="00363CD4" w14:paraId="083E9EF4" w14:textId="77777777" w:rsidTr="004826FB">
        <w:trPr>
          <w:trHeight w:val="28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845F4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5E6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A189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D1DF" w14:textId="77777777" w:rsidR="005F6143" w:rsidRPr="00363CD4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F2E54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B12FF1" w14:textId="77777777" w:rsidR="005F6143" w:rsidRPr="00363CD4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Պահուստային</w:t>
            </w:r>
            <w:proofErr w:type="spellEnd"/>
            <w:r w:rsidRPr="00363CD4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363CD4">
              <w:rPr>
                <w:rFonts w:ascii="GHEA Mariam" w:hAnsi="GHEA Mariam" w:cs="Calibri"/>
                <w:lang w:eastAsia="en-US"/>
              </w:rPr>
              <w:t>միջոցներ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22D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B79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ED27" w14:textId="77777777" w:rsidR="005F6143" w:rsidRPr="00363CD4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363CD4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  <w:tr w:rsidR="005F6143" w:rsidRPr="00363CD4" w14:paraId="5398B3C8" w14:textId="77777777" w:rsidTr="004826FB">
        <w:trPr>
          <w:trHeight w:val="27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971" w14:textId="77777777" w:rsidR="005F6143" w:rsidRPr="00363CD4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3BC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8B69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C5C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0DE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0C5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387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2357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D85" w14:textId="77777777" w:rsidR="005F6143" w:rsidRPr="00363CD4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</w:tbl>
    <w:p w14:paraId="2435EFE7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4412824" w14:textId="77777777" w:rsidR="005F6143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12ADC1E6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2EF45FB6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700883B5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3EB5C2C9" w:rsidR="005F6143" w:rsidRPr="00DA51A7" w:rsidRDefault="005F6143" w:rsidP="0092391D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92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134" w:right="1134" w:bottom="1276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6E2ED" w14:textId="77777777" w:rsidR="00B26236" w:rsidRDefault="00B26236" w:rsidP="005F6143">
      <w:r>
        <w:separator/>
      </w:r>
    </w:p>
  </w:endnote>
  <w:endnote w:type="continuationSeparator" w:id="0">
    <w:p w14:paraId="1BC68A88" w14:textId="77777777" w:rsidR="00B26236" w:rsidRDefault="00B26236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FC07" w14:textId="77777777" w:rsidR="00B26236" w:rsidRDefault="00B26236" w:rsidP="005F6143">
      <w:r>
        <w:separator/>
      </w:r>
    </w:p>
  </w:footnote>
  <w:footnote w:type="continuationSeparator" w:id="0">
    <w:p w14:paraId="05C115A4" w14:textId="77777777" w:rsidR="00B26236" w:rsidRDefault="00B26236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B26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B26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B26236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5F6143"/>
    <w:rsid w:val="008812B5"/>
    <w:rsid w:val="0092391D"/>
    <w:rsid w:val="00AE7720"/>
    <w:rsid w:val="00B26236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2020-05-27T08:07:00Z</dcterms:modified>
</cp:coreProperties>
</file>