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0DF" w:rsidRDefault="009A30DF" w:rsidP="003C2DE3">
      <w:pPr>
        <w:pStyle w:val="Bodytext40"/>
        <w:shd w:val="clear" w:color="auto" w:fill="auto"/>
        <w:spacing w:before="0" w:after="160" w:line="360" w:lineRule="auto"/>
        <w:ind w:right="580"/>
        <w:jc w:val="right"/>
        <w:rPr>
          <w:rStyle w:val="Bodytext4Spacing2pt"/>
          <w:rFonts w:ascii="Sylfaen" w:hAnsi="Sylfaen"/>
          <w:spacing w:val="0"/>
          <w:sz w:val="24"/>
          <w:szCs w:val="24"/>
        </w:rPr>
      </w:pPr>
      <w:r w:rsidRPr="003C2DE3">
        <w:rPr>
          <w:rStyle w:val="Bodytext4Spacing2pt"/>
          <w:rFonts w:ascii="Sylfaen" w:hAnsi="Sylfaen"/>
          <w:spacing w:val="0"/>
          <w:sz w:val="24"/>
          <w:szCs w:val="24"/>
        </w:rPr>
        <w:t>Նախագիծ</w:t>
      </w:r>
    </w:p>
    <w:p w:rsidR="0041765E" w:rsidRPr="003C2DE3" w:rsidRDefault="0091398B" w:rsidP="003C2DE3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C2DE3">
        <w:rPr>
          <w:rStyle w:val="Bodytext4Spacing2pt"/>
          <w:rFonts w:ascii="Sylfaen" w:hAnsi="Sylfaen"/>
          <w:b/>
          <w:spacing w:val="0"/>
          <w:sz w:val="24"/>
          <w:szCs w:val="24"/>
        </w:rPr>
        <w:t>ՀԱՄԱՁԱՅՆԱԳԻՐ</w:t>
      </w:r>
    </w:p>
    <w:p w:rsidR="0041765E" w:rsidRDefault="0091398B" w:rsidP="003C2DE3">
      <w:pPr>
        <w:pStyle w:val="Bodytext40"/>
        <w:shd w:val="clear" w:color="auto" w:fill="auto"/>
        <w:tabs>
          <w:tab w:val="left" w:pos="426"/>
        </w:tabs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Երրորդ երկրների հետ փոխադարձ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տրում տեխնիկական </w:t>
      </w:r>
      <w:r w:rsidR="008A73FA" w:rsidRPr="003C2DE3">
        <w:rPr>
          <w:rFonts w:ascii="Sylfaen" w:hAnsi="Sylfaen"/>
          <w:sz w:val="24"/>
          <w:szCs w:val="24"/>
        </w:rPr>
        <w:t xml:space="preserve">խոչընդոտների </w:t>
      </w:r>
      <w:r w:rsidRPr="003C2DE3">
        <w:rPr>
          <w:rFonts w:ascii="Sylfaen" w:hAnsi="Sylfaen"/>
          <w:sz w:val="24"/>
          <w:szCs w:val="24"/>
        </w:rPr>
        <w:t xml:space="preserve">վերացման կարգի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պայմանների մասին</w:t>
      </w:r>
    </w:p>
    <w:p w:rsidR="003C2DE3" w:rsidRPr="003C2DE3" w:rsidRDefault="003C2DE3" w:rsidP="003C2DE3">
      <w:pPr>
        <w:pStyle w:val="Bodytext40"/>
        <w:shd w:val="clear" w:color="auto" w:fill="auto"/>
        <w:tabs>
          <w:tab w:val="left" w:pos="426"/>
        </w:tabs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հիմնվելով «Եվրասիական տնտեսական միության մասին» 2014 թվականի մայիսի 29-ի պայմանագրի (այսուհետ՝ Պայմանագիր) դրույթների վրա,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ընդունելով Եվրասիական տնտեսական միությունում (այսուհետ՝ Միություն) տեխնիկական կանոնակարգման ոլորտում ինտեգրացիոն գործընթացները խորացնելու անհրաժեշտությունը,</w:t>
      </w:r>
    </w:p>
    <w:p w:rsid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հաշվի առնելով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տրի համաշխարհային կազմակերպության «Առ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տրում </w:t>
      </w:r>
      <w:r w:rsidRPr="003348E2">
        <w:rPr>
          <w:rFonts w:ascii="Sylfaen" w:hAnsi="Sylfaen"/>
          <w:spacing w:val="-4"/>
          <w:sz w:val="24"/>
          <w:szCs w:val="24"/>
        </w:rPr>
        <w:t xml:space="preserve">տեխնիկական խոչընդոտների մասին» համաձայնագրով սահմանված կանոնները </w:t>
      </w:r>
      <w:bookmarkStart w:id="0" w:name="_GoBack"/>
      <w:r w:rsidR="00495F44">
        <w:rPr>
          <w:rFonts w:ascii="Sylfaen" w:hAnsi="Sylfaen"/>
          <w:spacing w:val="-4"/>
          <w:sz w:val="24"/>
          <w:szCs w:val="24"/>
        </w:rPr>
        <w:t>և</w:t>
      </w:r>
      <w:bookmarkEnd w:id="0"/>
      <w:r w:rsidRPr="003348E2">
        <w:rPr>
          <w:rFonts w:ascii="Sylfaen" w:hAnsi="Sylfaen"/>
          <w:spacing w:val="-4"/>
          <w:sz w:val="24"/>
          <w:szCs w:val="24"/>
        </w:rPr>
        <w:t xml:space="preserve"> սկզբունքները</w:t>
      </w:r>
      <w:r w:rsidRPr="003C2DE3">
        <w:rPr>
          <w:rFonts w:ascii="Sylfaen" w:hAnsi="Sylfaen"/>
          <w:sz w:val="24"/>
          <w:szCs w:val="24"/>
        </w:rPr>
        <w:t>, որոնք ընդունվել են 1994 թվականի ապրիլի 15-ի բազմակողմ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տրային բանակցությունների</w:t>
      </w:r>
      <w:r w:rsidR="003849E5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Ուրուգվայի փուլի արդյունքներով, 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համաձայնեցին </w:t>
      </w:r>
      <w:r w:rsidR="008A73FA" w:rsidRPr="003C2DE3">
        <w:rPr>
          <w:rFonts w:ascii="Sylfaen" w:hAnsi="Sylfaen"/>
          <w:sz w:val="24"/>
          <w:szCs w:val="24"/>
        </w:rPr>
        <w:t>հետ</w:t>
      </w:r>
      <w:r w:rsidR="00495F44">
        <w:rPr>
          <w:rFonts w:ascii="Sylfaen" w:hAnsi="Sylfaen"/>
          <w:sz w:val="24"/>
          <w:szCs w:val="24"/>
        </w:rPr>
        <w:t>և</w:t>
      </w:r>
      <w:r w:rsidR="008A73FA" w:rsidRPr="003C2DE3">
        <w:rPr>
          <w:rFonts w:ascii="Sylfaen" w:hAnsi="Sylfaen"/>
          <w:sz w:val="24"/>
          <w:szCs w:val="24"/>
        </w:rPr>
        <w:t xml:space="preserve">յալի </w:t>
      </w:r>
      <w:r w:rsidRPr="003C2DE3">
        <w:rPr>
          <w:rFonts w:ascii="Sylfaen" w:hAnsi="Sylfaen"/>
          <w:sz w:val="24"/>
          <w:szCs w:val="24"/>
        </w:rPr>
        <w:t>մասին.</w:t>
      </w:r>
    </w:p>
    <w:p w:rsidR="00E33D30" w:rsidRPr="003C2DE3" w:rsidRDefault="00E33D30" w:rsidP="003C2DE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1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1.</w:t>
      </w:r>
      <w:r w:rsid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ամաձայնագրով սահմանվում են Միության տեխնիկական կանոնակարգերի տեխնիկական կանոնակարգման օբյեկտ հանդիսացող արտադրանքի՝ երրորդ երկրների հետ անդամ պետությունների փոխադարձ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տրում տեխնիկական խոչընդոտների վերացման կարգը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պայմանները: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2.</w:t>
      </w:r>
      <w:r w:rsid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Երրորդ երկրների հետ փոխադարձ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տրում տեխնիկական խոչընդոտների վերացումն իրականացվում է այդ երկրների հետ Միության </w:t>
      </w:r>
      <w:r w:rsidRPr="003C2DE3">
        <w:rPr>
          <w:rFonts w:ascii="Sylfaen" w:hAnsi="Sylfaen"/>
          <w:sz w:val="24"/>
          <w:szCs w:val="24"/>
        </w:rPr>
        <w:lastRenderedPageBreak/>
        <w:t>միջազգային պայմանագրեր</w:t>
      </w:r>
      <w:r w:rsidR="003C5B75" w:rsidRPr="003C2DE3">
        <w:rPr>
          <w:rFonts w:ascii="Sylfaen" w:hAnsi="Sylfaen"/>
          <w:sz w:val="24"/>
          <w:szCs w:val="24"/>
        </w:rPr>
        <w:t>ի</w:t>
      </w:r>
      <w:r w:rsidRPr="003C2DE3">
        <w:rPr>
          <w:rFonts w:ascii="Sylfaen" w:hAnsi="Sylfaen"/>
          <w:sz w:val="24"/>
          <w:szCs w:val="24"/>
        </w:rPr>
        <w:t xml:space="preserve"> (այսուհետ՝ միջազգային պայմանագրեր) </w:t>
      </w:r>
      <w:r w:rsidR="003C5B75" w:rsidRPr="003C2DE3">
        <w:rPr>
          <w:rFonts w:ascii="Sylfaen" w:hAnsi="Sylfaen"/>
          <w:sz w:val="24"/>
          <w:szCs w:val="24"/>
        </w:rPr>
        <w:t xml:space="preserve">կնքման </w:t>
      </w:r>
      <w:r w:rsidRPr="003C2DE3">
        <w:rPr>
          <w:rFonts w:ascii="Sylfaen" w:hAnsi="Sylfaen"/>
          <w:sz w:val="24"/>
          <w:szCs w:val="24"/>
        </w:rPr>
        <w:t xml:space="preserve">միջոցով՝ հաշվի առնելով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ամաձայնագրի դրույթները։</w:t>
      </w:r>
    </w:p>
    <w:p w:rsidR="00E33D30" w:rsidRPr="003C2DE3" w:rsidRDefault="00E33D30" w:rsidP="003C2DE3">
      <w:pPr>
        <w:pStyle w:val="Bodytext20"/>
        <w:shd w:val="clear" w:color="auto" w:fill="auto"/>
        <w:spacing w:before="0" w:after="160" w:line="360" w:lineRule="auto"/>
        <w:ind w:right="480"/>
        <w:jc w:val="center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2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Սույն համաձայնագրի նպատակներով օգտագործվում են հասկացություններ, որոնք ունեն հետ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յալ իմաստը՝</w:t>
      </w:r>
    </w:p>
    <w:p w:rsidR="0041765E" w:rsidRPr="003C2DE3" w:rsidRDefault="00045399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b/>
          <w:sz w:val="24"/>
          <w:szCs w:val="24"/>
        </w:rPr>
        <w:t>համապատասխանության գնահատման փաստաթղթեր</w:t>
      </w:r>
      <w:r w:rsidR="0091398B" w:rsidRPr="003C2DE3">
        <w:rPr>
          <w:rFonts w:ascii="Sylfaen" w:hAnsi="Sylfaen"/>
          <w:sz w:val="24"/>
          <w:szCs w:val="24"/>
        </w:rPr>
        <w:t xml:space="preserve">՝ փաստաթղթեր, </w:t>
      </w:r>
      <w:r w:rsidR="0091398B" w:rsidRPr="003348E2">
        <w:rPr>
          <w:rFonts w:ascii="Sylfaen" w:hAnsi="Sylfaen"/>
          <w:spacing w:val="-4"/>
          <w:sz w:val="24"/>
          <w:szCs w:val="24"/>
        </w:rPr>
        <w:t xml:space="preserve">որոնք Պայմանագրին, Միության տեխնիկական կանոնակարգերի պահանջներին </w:t>
      </w:r>
      <w:r w:rsidR="00495F44">
        <w:rPr>
          <w:rFonts w:ascii="Sylfaen" w:hAnsi="Sylfaen"/>
          <w:spacing w:val="-4"/>
          <w:sz w:val="24"/>
          <w:szCs w:val="24"/>
        </w:rPr>
        <w:t>և</w:t>
      </w:r>
      <w:r w:rsidR="0091398B" w:rsidRPr="003348E2">
        <w:rPr>
          <w:rFonts w:ascii="Sylfaen" w:hAnsi="Sylfaen"/>
          <w:spacing w:val="-4"/>
          <w:sz w:val="24"/>
          <w:szCs w:val="24"/>
        </w:rPr>
        <w:t xml:space="preserve"> (կամ) Եվրասիական տնտեսական հանձնաժողովի </w:t>
      </w:r>
      <w:r w:rsidR="003C5B75" w:rsidRPr="003348E2">
        <w:rPr>
          <w:rFonts w:ascii="Sylfaen" w:hAnsi="Sylfaen"/>
          <w:spacing w:val="-4"/>
          <w:sz w:val="24"/>
          <w:szCs w:val="24"/>
        </w:rPr>
        <w:t xml:space="preserve">ակտերին </w:t>
      </w:r>
      <w:r w:rsidR="0091398B" w:rsidRPr="003348E2">
        <w:rPr>
          <w:rFonts w:ascii="Sylfaen" w:hAnsi="Sylfaen"/>
          <w:spacing w:val="-4"/>
          <w:sz w:val="24"/>
          <w:szCs w:val="24"/>
        </w:rPr>
        <w:t>կամ երրորդ երկրների</w:t>
      </w:r>
      <w:r w:rsidR="0091398B" w:rsidRPr="003C2DE3">
        <w:rPr>
          <w:rFonts w:ascii="Sylfaen" w:hAnsi="Sylfaen"/>
          <w:sz w:val="24"/>
          <w:szCs w:val="24"/>
        </w:rPr>
        <w:t xml:space="preserve"> օրենսդրության</w:t>
      </w:r>
      <w:r w:rsidR="003C5B75" w:rsidRPr="003C2DE3">
        <w:rPr>
          <w:rFonts w:ascii="Sylfaen" w:hAnsi="Sylfaen"/>
          <w:sz w:val="24"/>
          <w:szCs w:val="24"/>
        </w:rPr>
        <w:t>ը</w:t>
      </w:r>
      <w:r w:rsidR="0091398B" w:rsidRPr="003C2DE3">
        <w:rPr>
          <w:rFonts w:ascii="Sylfaen" w:hAnsi="Sylfaen"/>
          <w:sz w:val="24"/>
          <w:szCs w:val="24"/>
        </w:rPr>
        <w:t xml:space="preserve"> համապատասխան ձ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>ակերպվում են համապատասխանության գնահատման արդյունքներով</w:t>
      </w:r>
      <w:r w:rsidR="001B2BF8"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045399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b/>
          <w:sz w:val="24"/>
          <w:szCs w:val="24"/>
        </w:rPr>
        <w:t>փոխադարձ առ</w:t>
      </w:r>
      <w:r w:rsidR="00495F44">
        <w:rPr>
          <w:rFonts w:ascii="Sylfaen" w:hAnsi="Sylfaen"/>
          <w:b/>
          <w:sz w:val="24"/>
          <w:szCs w:val="24"/>
        </w:rPr>
        <w:t>և</w:t>
      </w:r>
      <w:r w:rsidRPr="003C2DE3">
        <w:rPr>
          <w:rFonts w:ascii="Sylfaen" w:hAnsi="Sylfaen"/>
          <w:b/>
          <w:sz w:val="24"/>
          <w:szCs w:val="24"/>
        </w:rPr>
        <w:t>տրում տեխնիկական խոչընդոտներ</w:t>
      </w:r>
      <w:r w:rsidR="0091398B" w:rsidRPr="003C2DE3">
        <w:rPr>
          <w:rFonts w:ascii="Sylfaen" w:hAnsi="Sylfaen"/>
          <w:sz w:val="24"/>
          <w:szCs w:val="24"/>
        </w:rPr>
        <w:t>՝ տեխնիկական կանոնակարգման ոլորտում</w:t>
      </w:r>
      <w:r w:rsidR="00F0164F" w:rsidRPr="003C2DE3">
        <w:rPr>
          <w:rFonts w:ascii="Sylfaen" w:hAnsi="Sylfaen"/>
          <w:sz w:val="24"/>
          <w:szCs w:val="24"/>
        </w:rPr>
        <w:t xml:space="preserve"> գործող</w:t>
      </w:r>
      <w:r w:rsidR="0091398B" w:rsidRPr="003C2DE3">
        <w:rPr>
          <w:rFonts w:ascii="Sylfaen" w:hAnsi="Sylfaen"/>
          <w:sz w:val="24"/>
          <w:szCs w:val="24"/>
        </w:rPr>
        <w:t xml:space="preserve">, այդ թվում՝ Միության տեխնիկական կանոնակարգերի, Միությունում կիրառվող համապատասխանության գնահատման </w:t>
      </w:r>
      <w:r w:rsidR="00F0164F" w:rsidRPr="003C2DE3">
        <w:rPr>
          <w:rFonts w:ascii="Sylfaen" w:hAnsi="Sylfaen"/>
          <w:sz w:val="24"/>
          <w:szCs w:val="24"/>
        </w:rPr>
        <w:t xml:space="preserve">ստանդարտների 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 xml:space="preserve"> ընթացակարգերի պահանջների տարբերություն</w:t>
      </w:r>
      <w:r w:rsidR="002B62E4" w:rsidRPr="003C2DE3">
        <w:rPr>
          <w:rFonts w:ascii="Sylfaen" w:hAnsi="Sylfaen"/>
          <w:sz w:val="24"/>
          <w:szCs w:val="24"/>
        </w:rPr>
        <w:t>ն</w:t>
      </w:r>
      <w:r w:rsidR="0091398B" w:rsidRPr="003C2DE3">
        <w:rPr>
          <w:rFonts w:ascii="Sylfaen" w:hAnsi="Sylfaen"/>
          <w:sz w:val="24"/>
          <w:szCs w:val="24"/>
        </w:rPr>
        <w:t xml:space="preserve"> </w:t>
      </w:r>
      <w:r w:rsidR="004C5D42" w:rsidRPr="003C2DE3">
        <w:rPr>
          <w:rFonts w:ascii="Sylfaen" w:hAnsi="Sylfaen"/>
          <w:sz w:val="24"/>
          <w:szCs w:val="24"/>
        </w:rPr>
        <w:t xml:space="preserve">արտադրանքի նույնանուն տեսակների </w:t>
      </w:r>
      <w:r w:rsidR="00977390" w:rsidRPr="003C2DE3">
        <w:rPr>
          <w:rFonts w:ascii="Sylfaen" w:hAnsi="Sylfaen"/>
          <w:sz w:val="24"/>
          <w:szCs w:val="24"/>
        </w:rPr>
        <w:t>մասով երրորդ երկրում կիրառվող՝</w:t>
      </w:r>
      <w:r w:rsidR="004C5D42" w:rsidRPr="003C2DE3">
        <w:rPr>
          <w:rFonts w:ascii="Sylfaen" w:hAnsi="Sylfaen"/>
          <w:sz w:val="24"/>
          <w:szCs w:val="24"/>
        </w:rPr>
        <w:t xml:space="preserve"> </w:t>
      </w:r>
      <w:r w:rsidR="009507F2" w:rsidRPr="003C2DE3">
        <w:rPr>
          <w:rFonts w:ascii="Sylfaen" w:hAnsi="Sylfaen"/>
          <w:sz w:val="24"/>
          <w:szCs w:val="24"/>
        </w:rPr>
        <w:t>տեխնիկական կանոնակարգման ոլորտում</w:t>
      </w:r>
      <w:r w:rsidR="004C5D42" w:rsidRPr="003C2DE3">
        <w:rPr>
          <w:rFonts w:ascii="Sylfaen" w:hAnsi="Sylfaen"/>
          <w:sz w:val="24"/>
          <w:szCs w:val="24"/>
        </w:rPr>
        <w:t xml:space="preserve"> գործող</w:t>
      </w:r>
      <w:r w:rsidR="009507F2" w:rsidRPr="003C2DE3">
        <w:rPr>
          <w:rFonts w:ascii="Sylfaen" w:hAnsi="Sylfaen"/>
          <w:sz w:val="24"/>
          <w:szCs w:val="24"/>
        </w:rPr>
        <w:t xml:space="preserve">, այդ թվում՝ </w:t>
      </w:r>
      <w:r w:rsidR="0091398B" w:rsidRPr="003C2DE3">
        <w:rPr>
          <w:rFonts w:ascii="Sylfaen" w:hAnsi="Sylfaen"/>
          <w:sz w:val="24"/>
          <w:szCs w:val="24"/>
        </w:rPr>
        <w:t>երրորդ երկրի տարածքում կիրառման համար պարտադիր</w:t>
      </w:r>
      <w:r w:rsidR="00977390" w:rsidRPr="003C2DE3">
        <w:rPr>
          <w:rFonts w:ascii="Sylfaen" w:hAnsi="Sylfaen"/>
          <w:sz w:val="24"/>
          <w:szCs w:val="24"/>
        </w:rPr>
        <w:t>՝</w:t>
      </w:r>
      <w:r w:rsidR="0091398B" w:rsidRPr="003C2DE3">
        <w:rPr>
          <w:rFonts w:ascii="Sylfaen" w:hAnsi="Sylfaen"/>
          <w:sz w:val="24"/>
          <w:szCs w:val="24"/>
        </w:rPr>
        <w:t xml:space="preserve"> </w:t>
      </w:r>
      <w:r w:rsidR="00977390" w:rsidRPr="003C2DE3">
        <w:rPr>
          <w:rFonts w:ascii="Sylfaen" w:hAnsi="Sylfaen"/>
          <w:sz w:val="24"/>
          <w:szCs w:val="24"/>
        </w:rPr>
        <w:t xml:space="preserve">տեխնիկական կանոնակարգման օբյեկտներին ներկայացվող </w:t>
      </w:r>
      <w:r w:rsidR="0091398B" w:rsidRPr="003C2DE3">
        <w:rPr>
          <w:rFonts w:ascii="Sylfaen" w:hAnsi="Sylfaen"/>
          <w:sz w:val="24"/>
          <w:szCs w:val="24"/>
        </w:rPr>
        <w:t xml:space="preserve">պահանջները կանոնակարգող նորմատիվ-տեխնիկական փաստաթղթերի, համապատասխանության գնահատման </w:t>
      </w:r>
      <w:r w:rsidR="00977390" w:rsidRPr="003C2DE3">
        <w:rPr>
          <w:rFonts w:ascii="Sylfaen" w:hAnsi="Sylfaen"/>
          <w:sz w:val="24"/>
          <w:szCs w:val="24"/>
        </w:rPr>
        <w:t xml:space="preserve">ստանդարտների 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 xml:space="preserve"> ընթացակարգերի պահանջներից, որոնք խոչընդոտներ </w:t>
      </w:r>
      <w:r w:rsidR="00977390" w:rsidRPr="003C2DE3">
        <w:rPr>
          <w:rFonts w:ascii="Sylfaen" w:hAnsi="Sylfaen"/>
          <w:sz w:val="24"/>
          <w:szCs w:val="24"/>
        </w:rPr>
        <w:t xml:space="preserve">են ստեղծում </w:t>
      </w:r>
      <w:r w:rsidR="0091398B" w:rsidRPr="003C2DE3">
        <w:rPr>
          <w:rFonts w:ascii="Sylfaen" w:hAnsi="Sylfaen"/>
          <w:sz w:val="24"/>
          <w:szCs w:val="24"/>
        </w:rPr>
        <w:t>երրորդ երկրների հետ անդամ պետությունների փոխադարձ առ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>տրում</w:t>
      </w:r>
      <w:r w:rsidR="00606066"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045399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b/>
          <w:sz w:val="24"/>
          <w:szCs w:val="24"/>
        </w:rPr>
        <w:t>երրորդ երկիր</w:t>
      </w:r>
      <w:r w:rsidR="0091398B" w:rsidRPr="003C2DE3">
        <w:rPr>
          <w:rFonts w:ascii="Sylfaen" w:hAnsi="Sylfaen"/>
          <w:sz w:val="24"/>
          <w:szCs w:val="24"/>
        </w:rPr>
        <w:t>՝ պետություն կամ Միության անդամ չհանդիսացող պետությունների միավորում: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Սույն համաձայնագրում օգտագործվող մյուս հասկացությունները կիրառվում են Պայմանագրով սահմանված իմաստներով։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3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Միջազգային պայմանագրերի կնքումն իրականացվում է՝ հաշվի առնելով հետ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յալ </w:t>
      </w:r>
      <w:r w:rsidR="00495F44">
        <w:rPr>
          <w:rFonts w:ascii="Sylfaen" w:hAnsi="Sylfaen"/>
          <w:sz w:val="24"/>
          <w:szCs w:val="24"/>
        </w:rPr>
        <w:t>պայմանների</w:t>
      </w:r>
      <w:r w:rsidRPr="003C2DE3">
        <w:rPr>
          <w:rFonts w:ascii="Sylfaen" w:hAnsi="Sylfaen"/>
          <w:sz w:val="24"/>
          <w:szCs w:val="24"/>
        </w:rPr>
        <w:t xml:space="preserve"> կատարման հնարավորությունը</w:t>
      </w:r>
      <w:r w:rsidR="00606066" w:rsidRPr="003C2DE3">
        <w:rPr>
          <w:rFonts w:ascii="Sylfaen" w:hAnsi="Sylfaen"/>
          <w:sz w:val="24"/>
          <w:szCs w:val="24"/>
        </w:rPr>
        <w:t>՝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Միության տարածքում շրջանառության մեջ դրվող արտադրանքի՝ Միության տեխնիկական կանոնակարգերով սահմանված պահանջներին համապատասխանության ապահովում,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երկրի տարածքում շրջանառության մեջ դրվող արտադրանքի՝ երրորդ երկրի օրենսդրությամբ սահմանված պահանջներին համապատասխանության ապահովում.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համապատասխանության գնահատման արդյունքների ճանաչում՝ </w:t>
      </w:r>
      <w:r w:rsidR="00096C73" w:rsidRPr="003C2DE3">
        <w:rPr>
          <w:rFonts w:ascii="Sylfaen" w:hAnsi="Sylfaen"/>
          <w:sz w:val="24"/>
          <w:szCs w:val="24"/>
        </w:rPr>
        <w:t xml:space="preserve">Միության տարածքում շրջանառության մեջ դրվող արտադրանքի </w:t>
      </w:r>
      <w:r w:rsidR="002D7098" w:rsidRPr="003C2DE3">
        <w:rPr>
          <w:rFonts w:ascii="Sylfaen" w:hAnsi="Sylfaen"/>
          <w:sz w:val="24"/>
          <w:szCs w:val="24"/>
        </w:rPr>
        <w:t>համար</w:t>
      </w:r>
      <w:r w:rsidR="00061229" w:rsidRPr="003C2DE3">
        <w:rPr>
          <w:rFonts w:ascii="Sylfaen" w:hAnsi="Sylfaen"/>
          <w:sz w:val="24"/>
          <w:szCs w:val="24"/>
        </w:rPr>
        <w:t xml:space="preserve"> </w:t>
      </w:r>
      <w:r w:rsidRPr="003C2DE3">
        <w:rPr>
          <w:rFonts w:ascii="Sylfaen" w:hAnsi="Sylfaen"/>
          <w:sz w:val="24"/>
          <w:szCs w:val="24"/>
        </w:rPr>
        <w:t>Միության տեխնիկական կանոնակարգերով սահմանված պարտադիր պահանջների</w:t>
      </w:r>
      <w:r w:rsidR="003C2DE3">
        <w:rPr>
          <w:rFonts w:ascii="Sylfaen" w:hAnsi="Sylfaen"/>
          <w:sz w:val="24"/>
          <w:szCs w:val="24"/>
        </w:rPr>
        <w:t xml:space="preserve"> </w:t>
      </w:r>
      <w:r w:rsidR="00495F44">
        <w:rPr>
          <w:rFonts w:ascii="Sylfaen" w:hAnsi="Sylfaen"/>
          <w:sz w:val="24"/>
          <w:szCs w:val="24"/>
        </w:rPr>
        <w:t>և</w:t>
      </w:r>
      <w:r w:rsidR="00096C73" w:rsidRPr="003C2DE3">
        <w:rPr>
          <w:rFonts w:ascii="Sylfaen" w:hAnsi="Sylfaen"/>
          <w:sz w:val="24"/>
          <w:szCs w:val="24"/>
        </w:rPr>
        <w:t xml:space="preserve"> երրորդ երկրի տարածքում շրջանառության մեջ դրվող արտադրանքի </w:t>
      </w:r>
      <w:r w:rsidR="002D7098" w:rsidRPr="003C2DE3">
        <w:rPr>
          <w:rFonts w:ascii="Sylfaen" w:hAnsi="Sylfaen"/>
          <w:sz w:val="24"/>
          <w:szCs w:val="24"/>
        </w:rPr>
        <w:t>համար</w:t>
      </w:r>
      <w:r w:rsidR="00096C73" w:rsidRPr="003C2DE3">
        <w:rPr>
          <w:rFonts w:ascii="Sylfaen" w:hAnsi="Sylfaen"/>
          <w:sz w:val="24"/>
          <w:szCs w:val="24"/>
        </w:rPr>
        <w:t xml:space="preserve"> երրորդ երկրի օրենսդրությամբ սահմանված </w:t>
      </w:r>
      <w:r w:rsidRPr="003C2DE3">
        <w:rPr>
          <w:rFonts w:ascii="Sylfaen" w:hAnsi="Sylfaen"/>
          <w:sz w:val="24"/>
          <w:szCs w:val="24"/>
        </w:rPr>
        <w:t xml:space="preserve">պահանջների համադրելիության </w:t>
      </w:r>
      <w:r w:rsidR="00096C73" w:rsidRPr="003C2DE3">
        <w:rPr>
          <w:rFonts w:ascii="Sylfaen" w:hAnsi="Sylfaen"/>
          <w:sz w:val="24"/>
          <w:szCs w:val="24"/>
        </w:rPr>
        <w:t xml:space="preserve">որոշման </w:t>
      </w:r>
      <w:r w:rsidRPr="003C2DE3">
        <w:rPr>
          <w:rFonts w:ascii="Sylfaen" w:hAnsi="Sylfaen"/>
          <w:sz w:val="24"/>
          <w:szCs w:val="24"/>
        </w:rPr>
        <w:t>հիման վրա</w:t>
      </w:r>
      <w:r w:rsidR="00096C73"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հավատարմագրման մարմնի առկայություն</w:t>
      </w:r>
      <w:r w:rsidR="00C01288" w:rsidRPr="003C2DE3">
        <w:rPr>
          <w:rFonts w:ascii="Sylfaen" w:hAnsi="Sylfaen"/>
          <w:sz w:val="24"/>
          <w:szCs w:val="24"/>
        </w:rPr>
        <w:t>, որը</w:t>
      </w:r>
      <w:r w:rsidR="000A7F1D" w:rsidRPr="003C2DE3">
        <w:rPr>
          <w:rFonts w:ascii="Sylfaen" w:hAnsi="Sylfaen"/>
          <w:sz w:val="24"/>
          <w:szCs w:val="24"/>
        </w:rPr>
        <w:t>,</w:t>
      </w:r>
      <w:r w:rsidR="00C01288" w:rsidRPr="003C2DE3">
        <w:rPr>
          <w:rFonts w:ascii="Sylfaen" w:hAnsi="Sylfaen"/>
          <w:sz w:val="24"/>
          <w:szCs w:val="24"/>
        </w:rPr>
        <w:t xml:space="preserve"> երրորդ երկրի օրենսդրությանը համապատասխան</w:t>
      </w:r>
      <w:r w:rsidR="000A7F1D" w:rsidRPr="003C2DE3">
        <w:rPr>
          <w:rFonts w:ascii="Sylfaen" w:hAnsi="Sylfaen"/>
          <w:sz w:val="24"/>
          <w:szCs w:val="24"/>
        </w:rPr>
        <w:t>,</w:t>
      </w:r>
      <w:r w:rsidR="00C01288" w:rsidRPr="003C2DE3">
        <w:rPr>
          <w:rFonts w:ascii="Sylfaen" w:hAnsi="Sylfaen"/>
          <w:sz w:val="24"/>
          <w:szCs w:val="24"/>
        </w:rPr>
        <w:t xml:space="preserve"> ճանաչվել է որպես իրավասու (լիազորված)</w:t>
      </w:r>
      <w:r w:rsidR="00785E4F" w:rsidRPr="003C2DE3">
        <w:rPr>
          <w:rFonts w:ascii="Sylfaen" w:hAnsi="Sylfaen"/>
          <w:sz w:val="24"/>
          <w:szCs w:val="24"/>
        </w:rPr>
        <w:t>,</w:t>
      </w:r>
      <w:r w:rsidR="00C01288" w:rsidRPr="003C2DE3">
        <w:rPr>
          <w:rFonts w:ascii="Sylfaen" w:hAnsi="Sylfaen"/>
          <w:sz w:val="24"/>
          <w:szCs w:val="24"/>
        </w:rPr>
        <w:t xml:space="preserve"> </w:t>
      </w:r>
      <w:r w:rsidR="00495F44">
        <w:rPr>
          <w:rFonts w:ascii="Sylfaen" w:hAnsi="Sylfaen"/>
          <w:sz w:val="24"/>
          <w:szCs w:val="24"/>
        </w:rPr>
        <w:t>և</w:t>
      </w:r>
      <w:r w:rsidR="00C01288" w:rsidRPr="003C2DE3">
        <w:rPr>
          <w:rFonts w:ascii="Sylfaen" w:hAnsi="Sylfaen"/>
          <w:sz w:val="24"/>
          <w:szCs w:val="24"/>
        </w:rPr>
        <w:t xml:space="preserve"> </w:t>
      </w:r>
      <w:r w:rsidRPr="003C2DE3">
        <w:rPr>
          <w:rFonts w:ascii="Sylfaen" w:hAnsi="Sylfaen"/>
          <w:sz w:val="24"/>
          <w:szCs w:val="24"/>
        </w:rPr>
        <w:t>որն իրականացնում է համապատասխանության գնահատման մարմինների հավատարմագրում</w:t>
      </w:r>
      <w:r w:rsidR="00C01288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հավատարմագրման ոլորտում միջազգային ստանդարտների պահանջների համաձայն.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անդամ պետություններում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երկրում կիրառվող համապատասխանության գնահատման մարմինների հավատարմագրման </w:t>
      </w:r>
      <w:r w:rsidRPr="003C2DE3">
        <w:rPr>
          <w:rFonts w:ascii="Sylfaen" w:hAnsi="Sylfaen"/>
          <w:spacing w:val="-6"/>
          <w:sz w:val="24"/>
          <w:szCs w:val="24"/>
        </w:rPr>
        <w:t xml:space="preserve">ընթացակարգերի համազորության ապահովում՝ անդամ պետությունների </w:t>
      </w:r>
      <w:r w:rsidR="00495F44">
        <w:rPr>
          <w:rFonts w:ascii="Sylfaen" w:hAnsi="Sylfaen"/>
          <w:spacing w:val="-6"/>
          <w:sz w:val="24"/>
          <w:szCs w:val="24"/>
        </w:rPr>
        <w:t>և</w:t>
      </w:r>
      <w:r w:rsidRPr="003C2DE3">
        <w:rPr>
          <w:rFonts w:ascii="Sylfaen" w:hAnsi="Sylfaen"/>
          <w:spacing w:val="-6"/>
          <w:sz w:val="24"/>
          <w:szCs w:val="24"/>
        </w:rPr>
        <w:t xml:space="preserve"> երրորդ երկրի հավատարմագրման մարմինների կողմից նշված ընթացակարգերի փոխադարձ համեմատական գնահատումների իրականացման միջոցով՝ հավատարմագրման ոլորտում միջազգային ստանդարտների պահանջներին համապատասխան.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Միությունում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երկրում անցկացվող՝ համապատասխանության գնահատման ընթացակարգերի համազորության </w:t>
      </w:r>
      <w:r w:rsidR="00A721C4" w:rsidRPr="003C2DE3">
        <w:rPr>
          <w:rFonts w:ascii="Sylfaen" w:hAnsi="Sylfaen"/>
          <w:sz w:val="24"/>
          <w:szCs w:val="24"/>
        </w:rPr>
        <w:t>որոշում</w:t>
      </w:r>
      <w:r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տեխնիկական կանոնակարգման օբյեկտների՝ պարտադիր պահանջներին </w:t>
      </w:r>
      <w:r w:rsidRPr="003C2DE3">
        <w:rPr>
          <w:rFonts w:ascii="Sylfaen" w:hAnsi="Sylfaen"/>
          <w:sz w:val="24"/>
          <w:szCs w:val="24"/>
        </w:rPr>
        <w:lastRenderedPageBreak/>
        <w:t xml:space="preserve">համապատասխանության գնահատման </w:t>
      </w:r>
      <w:r w:rsidR="00A37C7E" w:rsidRPr="003C2DE3">
        <w:rPr>
          <w:rFonts w:ascii="Sylfaen" w:hAnsi="Sylfaen"/>
          <w:sz w:val="24"/>
          <w:szCs w:val="24"/>
        </w:rPr>
        <w:t xml:space="preserve">այն </w:t>
      </w:r>
      <w:r w:rsidRPr="003C2DE3">
        <w:rPr>
          <w:rFonts w:ascii="Sylfaen" w:hAnsi="Sylfaen"/>
          <w:sz w:val="24"/>
          <w:szCs w:val="24"/>
        </w:rPr>
        <w:t>արդյունքների փոխադարձ ճանաչում</w:t>
      </w:r>
      <w:r w:rsidR="00A37C7E" w:rsidRPr="003C2DE3">
        <w:rPr>
          <w:rFonts w:ascii="Sylfaen" w:hAnsi="Sylfaen"/>
          <w:sz w:val="24"/>
          <w:szCs w:val="24"/>
        </w:rPr>
        <w:t xml:space="preserve"> 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="00A37C7E" w:rsidRPr="003C2DE3">
        <w:rPr>
          <w:rFonts w:ascii="Sylfaen" w:hAnsi="Sylfaen"/>
          <w:sz w:val="24"/>
          <w:szCs w:val="24"/>
        </w:rPr>
        <w:t xml:space="preserve"> երրորդ երկրի կողմից</w:t>
      </w:r>
      <w:r w:rsidRPr="003C2DE3">
        <w:rPr>
          <w:rFonts w:ascii="Sylfaen" w:hAnsi="Sylfaen"/>
          <w:sz w:val="24"/>
          <w:szCs w:val="24"/>
        </w:rPr>
        <w:t xml:space="preserve">, որոնք ստացվել են 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երկրի կողմից լիազորված (նշանակված)՝ համապատասխանության գնահատման մարմինների կողմից (այսուհետ՝ համապատասխանության գնահատման արդյունքների փոխադարձ ճանաչում):</w:t>
      </w:r>
    </w:p>
    <w:p w:rsidR="00FD7899" w:rsidRPr="003C2DE3" w:rsidRDefault="00FD7899" w:rsidP="003C2DE3">
      <w:pPr>
        <w:pStyle w:val="Bodytext20"/>
        <w:shd w:val="clear" w:color="auto" w:fill="auto"/>
        <w:spacing w:before="0" w:after="160" w:line="360" w:lineRule="auto"/>
        <w:ind w:right="440"/>
        <w:jc w:val="center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4</w:t>
      </w:r>
    </w:p>
    <w:p w:rsidR="00FD7899" w:rsidRPr="003C2DE3" w:rsidRDefault="0091398B" w:rsidP="003C2DE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Միջազգային պայմանագրերը, որպես կանոն, պետք է պարունակեն՝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երկրի պարտավորությունները նախատեսող դրույթներ՝ հաշվի առնելով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ամաձայնագրի 3-րդ հոդված</w:t>
      </w:r>
      <w:r w:rsidR="00A37C7E" w:rsidRPr="003C2DE3">
        <w:rPr>
          <w:rFonts w:ascii="Sylfaen" w:hAnsi="Sylfaen"/>
          <w:sz w:val="24"/>
          <w:szCs w:val="24"/>
        </w:rPr>
        <w:t>ում</w:t>
      </w:r>
      <w:r w:rsidR="003C2DE3">
        <w:rPr>
          <w:rFonts w:ascii="Sylfaen" w:hAnsi="Sylfaen"/>
          <w:sz w:val="24"/>
          <w:szCs w:val="24"/>
        </w:rPr>
        <w:t xml:space="preserve"> </w:t>
      </w:r>
      <w:r w:rsidRPr="003C2DE3">
        <w:rPr>
          <w:rFonts w:ascii="Sylfaen" w:hAnsi="Sylfaen"/>
          <w:sz w:val="24"/>
          <w:szCs w:val="24"/>
        </w:rPr>
        <w:t>նշված պայմանները.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արտադրանքի (արտադրանքի խմբերի, տեսակների) ցանկ, որի </w:t>
      </w:r>
      <w:r w:rsidR="00A37C7E" w:rsidRPr="003C2DE3">
        <w:rPr>
          <w:rFonts w:ascii="Sylfaen" w:hAnsi="Sylfaen"/>
          <w:sz w:val="24"/>
          <w:szCs w:val="24"/>
        </w:rPr>
        <w:t xml:space="preserve">մասով </w:t>
      </w:r>
      <w:r w:rsidRPr="003C2DE3">
        <w:rPr>
          <w:rFonts w:ascii="Sylfaen" w:hAnsi="Sylfaen"/>
          <w:sz w:val="24"/>
          <w:szCs w:val="24"/>
        </w:rPr>
        <w:t xml:space="preserve">վերացվում են տեխնիկական խոչընդոտները (այսուհետ՝ արտադրանք, որի </w:t>
      </w:r>
      <w:r w:rsidR="00A37C7E" w:rsidRPr="003C2DE3">
        <w:rPr>
          <w:rFonts w:ascii="Sylfaen" w:hAnsi="Sylfaen"/>
          <w:sz w:val="24"/>
          <w:szCs w:val="24"/>
        </w:rPr>
        <w:t xml:space="preserve">մասով </w:t>
      </w:r>
      <w:r w:rsidRPr="003C2DE3">
        <w:rPr>
          <w:rFonts w:ascii="Sylfaen" w:hAnsi="Sylfaen"/>
          <w:sz w:val="24"/>
          <w:szCs w:val="24"/>
        </w:rPr>
        <w:t>վերացվում են տեխնիկական խոչընդոտները).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Միության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երկրի մարմինների՝ </w:t>
      </w:r>
      <w:r w:rsidR="0051207B" w:rsidRPr="003C2DE3">
        <w:rPr>
          <w:rFonts w:ascii="Sylfaen" w:hAnsi="Sylfaen"/>
          <w:sz w:val="24"/>
          <w:szCs w:val="24"/>
        </w:rPr>
        <w:t xml:space="preserve">այն </w:t>
      </w:r>
      <w:r w:rsidRPr="003C2DE3">
        <w:rPr>
          <w:rFonts w:ascii="Sylfaen" w:hAnsi="Sylfaen"/>
          <w:sz w:val="24"/>
          <w:szCs w:val="24"/>
        </w:rPr>
        <w:t>արտադրանքի</w:t>
      </w:r>
      <w:r w:rsidR="0051207B" w:rsidRPr="003C2DE3">
        <w:rPr>
          <w:rFonts w:ascii="Sylfaen" w:hAnsi="Sylfaen"/>
          <w:sz w:val="24"/>
          <w:szCs w:val="24"/>
        </w:rPr>
        <w:t xml:space="preserve">ն ներկայացվող </w:t>
      </w:r>
      <w:r w:rsidRPr="003C2DE3">
        <w:rPr>
          <w:rFonts w:ascii="Sylfaen" w:hAnsi="Sylfaen"/>
          <w:sz w:val="24"/>
          <w:szCs w:val="24"/>
        </w:rPr>
        <w:t xml:space="preserve">պահանջներ սահմանող փաստաթղթերի ցանկ, որի </w:t>
      </w:r>
      <w:r w:rsidR="0051207B" w:rsidRPr="003C2DE3">
        <w:rPr>
          <w:rFonts w:ascii="Sylfaen" w:hAnsi="Sylfaen"/>
          <w:sz w:val="24"/>
          <w:szCs w:val="24"/>
        </w:rPr>
        <w:t xml:space="preserve">մասով </w:t>
      </w:r>
      <w:r w:rsidRPr="003C2DE3">
        <w:rPr>
          <w:rFonts w:ascii="Sylfaen" w:hAnsi="Sylfaen"/>
          <w:sz w:val="24"/>
          <w:szCs w:val="24"/>
        </w:rPr>
        <w:t>վերացվում են տեխնիկական խոչընդոտները.</w:t>
      </w:r>
    </w:p>
    <w:p w:rsidR="0041765E" w:rsidRPr="003C2DE3" w:rsidRDefault="0051207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անդամ-պետությունների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պետության պարտավորություններն </w:t>
      </w:r>
      <w:r w:rsidR="0091398B" w:rsidRPr="003C2DE3">
        <w:rPr>
          <w:rFonts w:ascii="Sylfaen" w:hAnsi="Sylfaen"/>
          <w:sz w:val="24"/>
          <w:szCs w:val="24"/>
        </w:rPr>
        <w:t>այն արտադրանքի</w:t>
      </w:r>
      <w:r w:rsidRPr="003C2DE3">
        <w:rPr>
          <w:rFonts w:ascii="Sylfaen" w:hAnsi="Sylfaen"/>
          <w:sz w:val="24"/>
          <w:szCs w:val="24"/>
        </w:rPr>
        <w:t xml:space="preserve">ն ներկայացվող </w:t>
      </w:r>
      <w:r w:rsidR="0091398B" w:rsidRPr="003C2DE3">
        <w:rPr>
          <w:rFonts w:ascii="Sylfaen" w:hAnsi="Sylfaen"/>
          <w:sz w:val="24"/>
          <w:szCs w:val="24"/>
        </w:rPr>
        <w:t>պահանջներ սահմանող փաստաթղթերի, ինչպես նա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 xml:space="preserve"> նշված փաստաթղթերում կատարված փոփոխությունների մասին տեղեկատվության փոխանակման գծով, որի </w:t>
      </w:r>
      <w:r w:rsidR="005737E9" w:rsidRPr="003C2DE3">
        <w:rPr>
          <w:rFonts w:ascii="Sylfaen" w:hAnsi="Sylfaen"/>
          <w:sz w:val="24"/>
          <w:szCs w:val="24"/>
        </w:rPr>
        <w:t xml:space="preserve">մասով </w:t>
      </w:r>
      <w:r w:rsidR="0091398B" w:rsidRPr="003C2DE3">
        <w:rPr>
          <w:rFonts w:ascii="Sylfaen" w:hAnsi="Sylfaen"/>
          <w:sz w:val="24"/>
          <w:szCs w:val="24"/>
        </w:rPr>
        <w:t>վերացվում են տեխնիկական խոչընդոտները.</w:t>
      </w:r>
    </w:p>
    <w:p w:rsidR="0041765E" w:rsidRPr="003C2DE3" w:rsidRDefault="00695894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համապատասխանության գնահատման արդյունքների փոխադարձ ճանաչման աշխատանքներ անցկացնելու համար </w:t>
      </w:r>
      <w:r w:rsidR="0091398B" w:rsidRPr="003C2DE3">
        <w:rPr>
          <w:rFonts w:ascii="Sylfaen" w:hAnsi="Sylfaen"/>
          <w:sz w:val="24"/>
          <w:szCs w:val="24"/>
        </w:rPr>
        <w:t>համապատասխանության գնահատման մարմիններ</w:t>
      </w:r>
      <w:r w:rsidR="00045399" w:rsidRPr="003C2DE3">
        <w:rPr>
          <w:rFonts w:ascii="Sylfaen" w:hAnsi="Sylfaen"/>
          <w:sz w:val="24"/>
          <w:szCs w:val="24"/>
        </w:rPr>
        <w:t>ի</w:t>
      </w:r>
      <w:r w:rsidR="004C5D42" w:rsidRPr="003C2DE3">
        <w:rPr>
          <w:rFonts w:ascii="Sylfaen" w:hAnsi="Sylfaen"/>
          <w:sz w:val="24"/>
          <w:szCs w:val="24"/>
        </w:rPr>
        <w:t>՝</w:t>
      </w:r>
      <w:r w:rsidR="0091398B" w:rsidRPr="003C2DE3">
        <w:rPr>
          <w:rFonts w:ascii="Sylfaen" w:hAnsi="Sylfaen"/>
          <w:sz w:val="24"/>
          <w:szCs w:val="24"/>
        </w:rPr>
        <w:t xml:space="preserve"> անդամ պետությունների օրենսդրության </w:t>
      </w:r>
      <w:r w:rsidR="00495F44">
        <w:rPr>
          <w:rFonts w:ascii="Sylfaen" w:hAnsi="Sylfaen"/>
          <w:sz w:val="24"/>
          <w:szCs w:val="24"/>
        </w:rPr>
        <w:t>և</w:t>
      </w:r>
      <w:r w:rsidR="0091398B" w:rsidRPr="003C2DE3">
        <w:rPr>
          <w:rFonts w:ascii="Sylfaen" w:hAnsi="Sylfaen"/>
          <w:sz w:val="24"/>
          <w:szCs w:val="24"/>
        </w:rPr>
        <w:t xml:space="preserve"> երրորդ երկրի օրենսդրության համաձայն լիազոր</w:t>
      </w:r>
      <w:r w:rsidRPr="003C2DE3">
        <w:rPr>
          <w:rFonts w:ascii="Sylfaen" w:hAnsi="Sylfaen"/>
          <w:sz w:val="24"/>
          <w:szCs w:val="24"/>
        </w:rPr>
        <w:t>ման</w:t>
      </w:r>
      <w:r w:rsidR="0091398B" w:rsidRPr="003C2DE3">
        <w:rPr>
          <w:rFonts w:ascii="Sylfaen" w:hAnsi="Sylfaen"/>
          <w:sz w:val="24"/>
          <w:szCs w:val="24"/>
        </w:rPr>
        <w:t xml:space="preserve"> (նշանակ</w:t>
      </w:r>
      <w:r w:rsidRPr="003C2DE3">
        <w:rPr>
          <w:rFonts w:ascii="Sylfaen" w:hAnsi="Sylfaen"/>
          <w:sz w:val="24"/>
          <w:szCs w:val="24"/>
        </w:rPr>
        <w:t>ման</w:t>
      </w:r>
      <w:r w:rsidR="0091398B" w:rsidRPr="003C2DE3">
        <w:rPr>
          <w:rFonts w:ascii="Sylfaen" w:hAnsi="Sylfaen"/>
          <w:sz w:val="24"/>
          <w:szCs w:val="24"/>
        </w:rPr>
        <w:t>) մասին դրույթներ.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 xml:space="preserve">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պետության՝ համապատասխանության գնահատման լիազորված (նշանակված) մարմինների մասին տեղեկատվության փոխանակման կարգը, ինչպես նա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պետության՝ նշված տեղեկատվությունը Եվրասիական տնտեսական հանձնաժողով (այսուհետ՝ Հանձնաժողով) ներկայացնելու պարտավորությունները սահմանող դրույթներ.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համապատասխանության գնահատման արդյունքների փոխադարձ ճանաչման կարգը նախատեսող դրույթներ.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համապատասխանության գնահատման մարմինների հավատարմագրման </w:t>
      </w:r>
      <w:r w:rsidR="007455A3" w:rsidRPr="003C2DE3">
        <w:rPr>
          <w:rFonts w:ascii="Sylfaen" w:hAnsi="Sylfaen"/>
          <w:sz w:val="24"/>
          <w:szCs w:val="24"/>
        </w:rPr>
        <w:t xml:space="preserve">համար </w:t>
      </w:r>
      <w:r w:rsidRPr="003C2DE3">
        <w:rPr>
          <w:rFonts w:ascii="Sylfaen" w:hAnsi="Sylfaen"/>
          <w:sz w:val="24"/>
          <w:szCs w:val="24"/>
        </w:rPr>
        <w:t>կիրառվող ընթացակարգերի</w:t>
      </w:r>
      <w:r w:rsidR="007455A3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</w:t>
      </w:r>
      <w:r w:rsidR="007455A3" w:rsidRPr="003C2DE3">
        <w:rPr>
          <w:rFonts w:ascii="Sylfaen" w:hAnsi="Sylfaen"/>
          <w:sz w:val="24"/>
          <w:szCs w:val="24"/>
        </w:rPr>
        <w:t xml:space="preserve">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="007455A3" w:rsidRPr="003C2DE3">
        <w:rPr>
          <w:rFonts w:ascii="Sylfaen" w:hAnsi="Sylfaen"/>
          <w:sz w:val="24"/>
          <w:szCs w:val="24"/>
        </w:rPr>
        <w:t xml:space="preserve"> երրորդ երկրի հավատարմագրման մարմինների կողմից </w:t>
      </w:r>
      <w:r w:rsidRPr="003C2DE3">
        <w:rPr>
          <w:rFonts w:ascii="Sylfaen" w:hAnsi="Sylfaen"/>
          <w:sz w:val="24"/>
          <w:szCs w:val="24"/>
        </w:rPr>
        <w:t xml:space="preserve">փոխադարձ համեմատական գնահատումների իրականացման կարգը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ժամկետները</w:t>
      </w:r>
      <w:r w:rsidR="007455A3" w:rsidRPr="003C2DE3">
        <w:rPr>
          <w:rFonts w:ascii="Sylfaen" w:hAnsi="Sylfaen"/>
          <w:sz w:val="24"/>
          <w:szCs w:val="24"/>
        </w:rPr>
        <w:t xml:space="preserve"> նախատեսող դրույթներ</w:t>
      </w:r>
      <w:r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համապատասխանության գնահատման արդյունքների փոխադարձ ճանաչման աշխատանքի արդյունքների հետ կապված վիճելի հարցերի կարգավորման կարգ.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այլ դրույթներ, որոնք վերաբերում են փոխադարձ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տրում տեխնիկական խոչընդոտների վերացման հարցերին։</w:t>
      </w:r>
    </w:p>
    <w:p w:rsidR="00FD7899" w:rsidRPr="003C2DE3" w:rsidRDefault="00FD7899" w:rsidP="003348E2">
      <w:pPr>
        <w:pStyle w:val="Bodytext20"/>
        <w:shd w:val="clear" w:color="auto" w:fill="auto"/>
        <w:spacing w:before="0" w:after="160" w:line="346" w:lineRule="auto"/>
        <w:jc w:val="left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5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Միջազգային պայմանագրերը, որպես կանոն, պարունակում են համապատասխանության գնահատման արդյունքների փոխադարձ ճանաչման հետ կապված հետ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յալ դրույթները՝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անդամ պետության կամ երրորդ երկրի համապատասխան մարմնի կողմից տրամադրված համապատասխանության գնահատման մասին փաստաթղթերի (այդ թվում՝ հետազոտությունների (փորձարկումների) կամ չա</w:t>
      </w:r>
      <w:r w:rsidR="007455A3" w:rsidRPr="003C2DE3">
        <w:rPr>
          <w:rFonts w:ascii="Sylfaen" w:hAnsi="Sylfaen"/>
          <w:sz w:val="24"/>
          <w:szCs w:val="24"/>
        </w:rPr>
        <w:t>փ</w:t>
      </w:r>
      <w:r w:rsidRPr="003C2DE3">
        <w:rPr>
          <w:rFonts w:ascii="Sylfaen" w:hAnsi="Sylfaen"/>
          <w:sz w:val="24"/>
          <w:szCs w:val="24"/>
        </w:rPr>
        <w:t>ումների արձանագրությունների կամ այլ փաստաթղթերի)</w:t>
      </w:r>
      <w:r w:rsidR="00DE13B0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</w:t>
      </w:r>
      <w:r w:rsidR="00DE13B0" w:rsidRPr="003C2DE3">
        <w:rPr>
          <w:rFonts w:ascii="Sylfaen" w:hAnsi="Sylfaen"/>
          <w:sz w:val="24"/>
          <w:szCs w:val="24"/>
        </w:rPr>
        <w:t xml:space="preserve">հայտատուի կողմից </w:t>
      </w:r>
      <w:r w:rsidRPr="003C2DE3">
        <w:rPr>
          <w:rFonts w:ascii="Sylfaen" w:hAnsi="Sylfaen"/>
          <w:sz w:val="24"/>
          <w:szCs w:val="24"/>
        </w:rPr>
        <w:t>ներկայացում</w:t>
      </w:r>
      <w:r w:rsidR="007455A3" w:rsidRPr="003C2DE3">
        <w:rPr>
          <w:rFonts w:ascii="Sylfaen" w:hAnsi="Sylfaen"/>
          <w:sz w:val="24"/>
          <w:szCs w:val="24"/>
        </w:rPr>
        <w:t xml:space="preserve"> </w:t>
      </w:r>
      <w:r w:rsidR="00DE13B0" w:rsidRPr="003C2DE3">
        <w:rPr>
          <w:rFonts w:ascii="Sylfaen" w:hAnsi="Sylfaen"/>
          <w:sz w:val="24"/>
          <w:szCs w:val="24"/>
        </w:rPr>
        <w:t>անդամ պետության կամ երրորդ երկրի՝ համապատասխանության գնահատման լիազորված (նշանակված) մարմին</w:t>
      </w:r>
      <w:r w:rsidRPr="003C2DE3">
        <w:rPr>
          <w:rFonts w:ascii="Sylfaen" w:hAnsi="Sylfaen"/>
          <w:sz w:val="24"/>
          <w:szCs w:val="24"/>
        </w:rPr>
        <w:t>.</w:t>
      </w:r>
    </w:p>
    <w:p w:rsidR="0041765E" w:rsidRPr="003C2DE3" w:rsidRDefault="00C41E0F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անդամ պետության կամ երրորդ երկրի՝ համապատասխանության գնահատման լիազորված (նշանակված) մարմնի կողմից հայտատուի ներկայացրած՝ համապատասխանության գնահատման մասին փաստաթղթերի ուսումնասիրության կարգ.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C2DE3">
        <w:rPr>
          <w:rFonts w:ascii="Sylfaen" w:hAnsi="Sylfaen"/>
          <w:spacing w:val="-6"/>
          <w:sz w:val="24"/>
          <w:szCs w:val="24"/>
        </w:rPr>
        <w:t xml:space="preserve">անդամ պետության կամ երրորդ </w:t>
      </w:r>
      <w:r w:rsidR="00116F83" w:rsidRPr="003C2DE3">
        <w:rPr>
          <w:rFonts w:ascii="Sylfaen" w:hAnsi="Sylfaen"/>
          <w:spacing w:val="-6"/>
          <w:sz w:val="24"/>
          <w:szCs w:val="24"/>
        </w:rPr>
        <w:t>երկրի</w:t>
      </w:r>
      <w:r w:rsidRPr="003C2DE3">
        <w:rPr>
          <w:rFonts w:ascii="Sylfaen" w:hAnsi="Sylfaen"/>
          <w:spacing w:val="-6"/>
          <w:sz w:val="24"/>
          <w:szCs w:val="24"/>
        </w:rPr>
        <w:t>՝ համապատասխանության գնահատման լիազորված (նշանակված) մարմնի կողմից համապատասխանության գնահատման արդյունքները ճանաչելու հնարավորության մասին որոշման կայացում.</w:t>
      </w:r>
    </w:p>
    <w:p w:rsidR="0041765E" w:rsidRPr="003C2DE3" w:rsidRDefault="00245974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անդամ պետության կամ երրորդ երկրի</w:t>
      </w:r>
      <w:r w:rsidR="00EE4433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համապատասխանության գնահատման </w:t>
      </w:r>
      <w:r w:rsidR="00EE4433" w:rsidRPr="003C2DE3">
        <w:rPr>
          <w:rFonts w:ascii="Sylfaen" w:hAnsi="Sylfaen"/>
          <w:sz w:val="24"/>
          <w:szCs w:val="24"/>
        </w:rPr>
        <w:t xml:space="preserve">լիազորված (նշանակված) </w:t>
      </w:r>
      <w:r w:rsidRPr="003C2DE3">
        <w:rPr>
          <w:rFonts w:ascii="Sylfaen" w:hAnsi="Sylfaen"/>
          <w:sz w:val="24"/>
          <w:szCs w:val="24"/>
        </w:rPr>
        <w:t xml:space="preserve">մարմնի կողմից </w:t>
      </w:r>
      <w:r w:rsidR="000655C8" w:rsidRPr="003C2DE3">
        <w:rPr>
          <w:rFonts w:ascii="Sylfaen" w:hAnsi="Sylfaen"/>
          <w:sz w:val="24"/>
          <w:szCs w:val="24"/>
        </w:rPr>
        <w:t xml:space="preserve">այն արտադրանքի </w:t>
      </w:r>
      <w:r w:rsidR="0091398B" w:rsidRPr="003C2DE3">
        <w:rPr>
          <w:rFonts w:ascii="Sylfaen" w:hAnsi="Sylfaen"/>
          <w:sz w:val="24"/>
          <w:szCs w:val="24"/>
        </w:rPr>
        <w:t xml:space="preserve">լրացուցիչ հետազոտությունների (փորձարկումների) կամ չափումների </w:t>
      </w:r>
      <w:r w:rsidR="0091398B" w:rsidRPr="003C2DE3">
        <w:rPr>
          <w:rFonts w:ascii="Sylfaen" w:hAnsi="Sylfaen"/>
          <w:spacing w:val="-6"/>
          <w:sz w:val="24"/>
          <w:szCs w:val="24"/>
        </w:rPr>
        <w:t>անցկացում, որի նկատմամբ վերացվում են տեխնիկական խոչընդոտները</w:t>
      </w:r>
      <w:r w:rsidR="004F2A4A" w:rsidRPr="003C2DE3">
        <w:rPr>
          <w:rFonts w:ascii="Sylfaen" w:hAnsi="Sylfaen"/>
          <w:spacing w:val="-6"/>
          <w:sz w:val="24"/>
          <w:szCs w:val="24"/>
        </w:rPr>
        <w:t>՝</w:t>
      </w:r>
      <w:r w:rsidR="0091398B" w:rsidRPr="003C2DE3">
        <w:rPr>
          <w:rFonts w:ascii="Sylfaen" w:hAnsi="Sylfaen"/>
          <w:spacing w:val="-6"/>
          <w:sz w:val="24"/>
          <w:szCs w:val="24"/>
        </w:rPr>
        <w:t xml:space="preserve"> </w:t>
      </w:r>
      <w:r w:rsidR="004F2A4A" w:rsidRPr="003C2DE3">
        <w:rPr>
          <w:rFonts w:ascii="Sylfaen" w:hAnsi="Sylfaen"/>
          <w:spacing w:val="-6"/>
          <w:sz w:val="24"/>
          <w:szCs w:val="24"/>
        </w:rPr>
        <w:t>Միության տեխնիկական կանոնակարգերով կամ երրորդ երկրի օրենսդրությամբ</w:t>
      </w:r>
      <w:r w:rsidR="004F2A4A" w:rsidRPr="003C2DE3" w:rsidDel="00245974">
        <w:rPr>
          <w:rFonts w:ascii="Sylfaen" w:hAnsi="Sylfaen"/>
          <w:spacing w:val="-6"/>
          <w:sz w:val="24"/>
          <w:szCs w:val="24"/>
        </w:rPr>
        <w:t xml:space="preserve"> </w:t>
      </w:r>
      <w:r w:rsidR="004F2A4A" w:rsidRPr="003C2DE3">
        <w:rPr>
          <w:rFonts w:ascii="Sylfaen" w:hAnsi="Sylfaen"/>
          <w:spacing w:val="-6"/>
          <w:sz w:val="24"/>
          <w:szCs w:val="24"/>
        </w:rPr>
        <w:t xml:space="preserve">սահմանված </w:t>
      </w:r>
      <w:r w:rsidR="0091398B" w:rsidRPr="003C2DE3">
        <w:rPr>
          <w:rFonts w:ascii="Sylfaen" w:hAnsi="Sylfaen"/>
          <w:spacing w:val="-6"/>
          <w:sz w:val="24"/>
          <w:szCs w:val="24"/>
        </w:rPr>
        <w:t>պահանջներին դրա համապատասխանության հաստատման նպատակներով.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 xml:space="preserve">Միությունում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երկրում կիրառվող՝ համապատասխանության գնահատման լրացուցիչ ընթացակարգերի անցկացում.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համապատասխանության գնահատման արդյունքների փոխադարձ ճանաչման աշխատանքների արդյունքների հիման վրա անդամ պետության կամ երրորդ երկրի՝ համապատասխանության գնահատման լիազորված (նշանակված) մարմնի կողմից Հանձնաժողովի ակտերով կամ երրորդ երկրի օրենսդրությամբ սահմանված ձ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ով համապատասխանության գնահատման մասին փաստաթղթերի տրամադրում կամ դրանց տրամադրման մերժում.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ճանաչման արդյունքներով տրամադրված՝ համապատասխանության գնահատման մասին փաստաթղթերի վերաբերյալ տեղեկատվության մուտքագրում տրամադրված կամ ընդունված՝ համապատասխանության գնահատման մասին փաստաթղթերի միասնական ռեեստրներ.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Միության շուկայում արտադրանքի շրջանառության միասնական նշանով մակնշում։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Հոդված 6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Միության անդամ չհանդիսացող՝ Անկախ պետությունների համագործակցության մասնակից պետությունների հետ անդամ պետությունների փոխադարձ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տրում տեխնիկական խոչընդոտների վերացումը կարող է իրականացվել՝ հաշվի առնելով Միության շրջանակներում միջազգային պայմանագրերը, որոնցով կարգավորում են Միության անդամ չհանդիսացող՝ Անկախ պետությունների համագործակցության մասնակից պետությունների հետ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տրում տեխնիկական խոչընդոտների վերացման հարցերը,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Անկախ պետությունների համագործակցության միջազգային պայմանագրերը, որոնց մասնակիցներն են բոլոր անդամ պետությունները:</w:t>
      </w:r>
    </w:p>
    <w:p w:rsidR="00FD7899" w:rsidRPr="003C2DE3" w:rsidRDefault="00FD7899" w:rsidP="003348E2">
      <w:pPr>
        <w:pStyle w:val="Bodytext20"/>
        <w:shd w:val="clear" w:color="auto" w:fill="auto"/>
        <w:spacing w:before="0" w:after="160" w:line="360" w:lineRule="auto"/>
        <w:jc w:val="left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7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1.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Համապատասխանության գնահատման արդյունքների փոխադարձ ճանաչումն իրականացվում է անդամ պետությունների կողմից լիազորված (նշանակված)՝ համապատասխանության գնահատման մարմինների կողմից այդ անդամ պետությունների օրենսդրությամբ սահմանված կարգով։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Նշված մարմինների լիազորություններ</w:t>
      </w:r>
      <w:r w:rsidR="00994659" w:rsidRPr="003C2DE3">
        <w:rPr>
          <w:rFonts w:ascii="Sylfaen" w:hAnsi="Sylfaen"/>
          <w:sz w:val="24"/>
          <w:szCs w:val="24"/>
        </w:rPr>
        <w:t>ի</w:t>
      </w:r>
      <w:r w:rsidRPr="003C2DE3">
        <w:rPr>
          <w:rFonts w:ascii="Sylfaen" w:hAnsi="Sylfaen"/>
          <w:sz w:val="24"/>
          <w:szCs w:val="24"/>
        </w:rPr>
        <w:t xml:space="preserve"> դադարեց</w:t>
      </w:r>
      <w:r w:rsidR="00994659" w:rsidRPr="003C2DE3">
        <w:rPr>
          <w:rFonts w:ascii="Sylfaen" w:hAnsi="Sylfaen"/>
          <w:sz w:val="24"/>
          <w:szCs w:val="24"/>
        </w:rPr>
        <w:t>ման</w:t>
      </w:r>
      <w:r w:rsidRPr="003C2DE3">
        <w:rPr>
          <w:rFonts w:ascii="Sylfaen" w:hAnsi="Sylfaen"/>
          <w:sz w:val="24"/>
          <w:szCs w:val="24"/>
        </w:rPr>
        <w:t xml:space="preserve"> դեպքում նրանց կողմից տրամադրված փաստաթղթերի գործողությունը սահմանվում է անդամ պետությունների օրենսդրությանը համապատասխան։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2.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Հանձնաժողովն իրականացնում է 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երկրների</w:t>
      </w:r>
      <w:r w:rsidR="00051D91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համապատասխանության գնահատման լիազորված (նշանակված) մարմինների ռեեստրի վարում</w:t>
      </w:r>
      <w:r w:rsidR="00051D91" w:rsidRPr="003C2DE3">
        <w:rPr>
          <w:rFonts w:ascii="Sylfaen" w:hAnsi="Sylfaen"/>
          <w:sz w:val="24"/>
          <w:szCs w:val="24"/>
        </w:rPr>
        <w:t xml:space="preserve">, որոնք իրականացնում են </w:t>
      </w:r>
      <w:r w:rsidR="00051D91" w:rsidRPr="003C2DE3">
        <w:rPr>
          <w:rFonts w:ascii="Sylfaen" w:hAnsi="Sylfaen"/>
          <w:spacing w:val="-6"/>
          <w:sz w:val="24"/>
          <w:szCs w:val="24"/>
        </w:rPr>
        <w:t>համապատասխանության գնահատման արդյունքների փոխադարձ ճանաչում</w:t>
      </w:r>
      <w:r w:rsidRPr="003C2DE3">
        <w:rPr>
          <w:rFonts w:ascii="Sylfaen" w:hAnsi="Sylfaen"/>
          <w:spacing w:val="-6"/>
          <w:sz w:val="24"/>
          <w:szCs w:val="24"/>
        </w:rPr>
        <w:t>: Նշված ռեեստրի ձ</w:t>
      </w:r>
      <w:r w:rsidR="00495F44">
        <w:rPr>
          <w:rFonts w:ascii="Sylfaen" w:hAnsi="Sylfaen"/>
          <w:spacing w:val="-6"/>
          <w:sz w:val="24"/>
          <w:szCs w:val="24"/>
        </w:rPr>
        <w:t>և</w:t>
      </w:r>
      <w:r w:rsidRPr="003C2DE3">
        <w:rPr>
          <w:rFonts w:ascii="Sylfaen" w:hAnsi="Sylfaen"/>
          <w:spacing w:val="-6"/>
          <w:sz w:val="24"/>
          <w:szCs w:val="24"/>
        </w:rPr>
        <w:t xml:space="preserve">ավորման </w:t>
      </w:r>
      <w:r w:rsidR="00495F44">
        <w:rPr>
          <w:rFonts w:ascii="Sylfaen" w:hAnsi="Sylfaen"/>
          <w:spacing w:val="-6"/>
          <w:sz w:val="24"/>
          <w:szCs w:val="24"/>
        </w:rPr>
        <w:t>և</w:t>
      </w:r>
      <w:r w:rsidRPr="003C2DE3">
        <w:rPr>
          <w:rFonts w:ascii="Sylfaen" w:hAnsi="Sylfaen"/>
          <w:spacing w:val="-6"/>
          <w:sz w:val="24"/>
          <w:szCs w:val="24"/>
        </w:rPr>
        <w:t xml:space="preserve"> վարման կարգը սահմանվում է Հանձնաժողովի կողմից։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3.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Համապատասխանության գնահատման մարմնին թույլատր</w:t>
      </w:r>
      <w:r w:rsidR="004E55C3" w:rsidRPr="003C2DE3">
        <w:rPr>
          <w:rFonts w:ascii="Sylfaen" w:hAnsi="Sylfaen"/>
          <w:sz w:val="24"/>
          <w:szCs w:val="24"/>
        </w:rPr>
        <w:t>վ</w:t>
      </w:r>
      <w:r w:rsidRPr="003C2DE3">
        <w:rPr>
          <w:rFonts w:ascii="Sylfaen" w:hAnsi="Sylfaen"/>
          <w:sz w:val="24"/>
          <w:szCs w:val="24"/>
        </w:rPr>
        <w:t>ում է անցկացնել համապատասխանության գնահատման արդյունքների ճանաչման աշխատանքներ՝ հետ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յալ պայմանների պահպանման դեպքում՝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ա)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անդամ պետության օրենսդրությանը համապատասխան՝ այդ անդամ պետության համապատասխանության գնահատման մարմնի՝ որպես իրավաբանական անձի գրանցում.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բ)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2 տարուց ոչ պակաս գործող՝ անդամ պետության հավատարմագրման մարմնի կողմից տրված հավատարմագրման վկայագրի</w:t>
      </w:r>
      <w:r w:rsidR="00585747" w:rsidRPr="003C2DE3">
        <w:rPr>
          <w:rFonts w:ascii="Sylfaen" w:hAnsi="Sylfaen"/>
          <w:sz w:val="24"/>
          <w:szCs w:val="24"/>
        </w:rPr>
        <w:t>,</w:t>
      </w:r>
      <w:r w:rsidRPr="003C2DE3">
        <w:rPr>
          <w:rFonts w:ascii="Sylfaen" w:hAnsi="Sylfaen"/>
          <w:sz w:val="24"/>
          <w:szCs w:val="24"/>
        </w:rPr>
        <w:t xml:space="preserve"> կամ եթե դա նախատեսված է անդամ պետության օրենսդրությամբ</w:t>
      </w:r>
      <w:r w:rsidR="00585747" w:rsidRPr="003C2DE3">
        <w:rPr>
          <w:rFonts w:ascii="Sylfaen" w:hAnsi="Sylfaen"/>
          <w:sz w:val="24"/>
          <w:szCs w:val="24"/>
        </w:rPr>
        <w:t>,</w:t>
      </w:r>
      <w:r w:rsidRPr="003C2DE3">
        <w:rPr>
          <w:rFonts w:ascii="Sylfaen" w:hAnsi="Sylfaen"/>
          <w:sz w:val="24"/>
          <w:szCs w:val="24"/>
        </w:rPr>
        <w:t xml:space="preserve"> անդամ պետության հավատարմագրման մարմնի կողմից տրամադրված հավատարմագրման կարգավիճակի առկայությունը.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գ)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համապատասխանության գնահատման մարմնի հավատարմագրման ոլորտում այն արտադրանքի առկայությունը, որի նկատմամբ վերացվում են տեխնիկական խոչընդոտները.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դ)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անդամ պետության հավատարմագրման մարմնի կողմից տրված (տրամադրված) հավատարմագրման վկայագրի (կարգավիճակի) գործողության ժամկետի ընթացքում այն</w:t>
      </w:r>
      <w:r w:rsidR="004E55C3" w:rsidRPr="003C2DE3">
        <w:rPr>
          <w:rFonts w:ascii="Sylfaen" w:hAnsi="Sylfaen"/>
          <w:sz w:val="24"/>
          <w:szCs w:val="24"/>
        </w:rPr>
        <w:t>պիսի</w:t>
      </w:r>
      <w:r w:rsidRPr="003C2DE3">
        <w:rPr>
          <w:rFonts w:ascii="Sylfaen" w:hAnsi="Sylfaen"/>
          <w:sz w:val="24"/>
          <w:szCs w:val="24"/>
        </w:rPr>
        <w:t xml:space="preserve"> խախտումների բացակայությունը, որոնց հետ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անքով Միության տարածքում </w:t>
      </w:r>
      <w:r w:rsidR="00645A1C" w:rsidRPr="003C2DE3">
        <w:rPr>
          <w:rFonts w:ascii="Sylfaen" w:hAnsi="Sylfaen"/>
          <w:sz w:val="24"/>
          <w:szCs w:val="24"/>
        </w:rPr>
        <w:t xml:space="preserve">շրջանառության մեջ է դրվել </w:t>
      </w:r>
      <w:r w:rsidRPr="003C2DE3">
        <w:rPr>
          <w:rFonts w:ascii="Sylfaen" w:hAnsi="Sylfaen"/>
          <w:sz w:val="24"/>
          <w:szCs w:val="24"/>
        </w:rPr>
        <w:t>Միության տեխնիկական կանոնակարգերի պահանջներին չհամապատասխանող արտադրանք, որի նկատմամբ վերացվում են տեխնիկական խոչընդոտները.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ե)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համապատասխանության գնահատման մարմնում այն արտադրանքի հետազոտությունների (փորձարկումների)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չափումների անցկացումն ապահովող փորձարկման բազայի առկայություն</w:t>
      </w:r>
      <w:r w:rsidR="00645A1C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>, որի նկատմամբ վերացվում են տեխնիկական խոչընդոտները, կամ իրավաբանական անձի կազմում</w:t>
      </w:r>
      <w:r w:rsidR="00B34055" w:rsidRPr="003C2DE3">
        <w:rPr>
          <w:rFonts w:ascii="Sylfaen" w:hAnsi="Sylfaen"/>
          <w:sz w:val="24"/>
          <w:szCs w:val="24"/>
        </w:rPr>
        <w:t xml:space="preserve"> գործող</w:t>
      </w:r>
      <w:r w:rsidRPr="003C2DE3">
        <w:rPr>
          <w:rFonts w:ascii="Sylfaen" w:hAnsi="Sylfaen"/>
          <w:sz w:val="24"/>
          <w:szCs w:val="24"/>
        </w:rPr>
        <w:t xml:space="preserve"> փորձարկման լաբորատորիայում, որի կազմի մեջ է մտնում համապատասխանության գնահատման մարմինը, այն արտադրանքի հետազոտությունների (փորձարկումների)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չափումների անցկացումն ապահովող փորձարկման բազայի առկայություն</w:t>
      </w:r>
      <w:r w:rsidR="00645A1C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>, որի նկատմամբ վերացվում են տեխնիկական խոչընդոտները։</w:t>
      </w:r>
    </w:p>
    <w:p w:rsidR="00FD7899" w:rsidRPr="003C2DE3" w:rsidRDefault="00FD7899" w:rsidP="003C2DE3">
      <w:pPr>
        <w:pStyle w:val="Bodytext20"/>
        <w:shd w:val="clear" w:color="auto" w:fill="auto"/>
        <w:spacing w:before="0" w:after="160" w:line="360" w:lineRule="auto"/>
        <w:ind w:left="4980"/>
        <w:jc w:val="left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Հոդված 8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1.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Անդամ պետությունները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ամաձայնագիրն ուժի մեջ մտնելուց հետո</w:t>
      </w:r>
      <w:r w:rsidR="000265BD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90 օրացուցային օրվա ընթացքում</w:t>
      </w:r>
      <w:r w:rsidR="000265BD" w:rsidRPr="003C2DE3">
        <w:rPr>
          <w:rFonts w:ascii="Sylfaen" w:hAnsi="Sylfaen"/>
          <w:sz w:val="24"/>
          <w:szCs w:val="24"/>
        </w:rPr>
        <w:t>,</w:t>
      </w:r>
      <w:r w:rsidRPr="003C2DE3">
        <w:rPr>
          <w:rFonts w:ascii="Sylfaen" w:hAnsi="Sylfaen"/>
          <w:sz w:val="24"/>
          <w:szCs w:val="24"/>
        </w:rPr>
        <w:t xml:space="preserve"> Հանձնաժողով են ներկայացնում </w:t>
      </w:r>
      <w:r w:rsidR="00645A1C" w:rsidRPr="003C2DE3">
        <w:rPr>
          <w:rFonts w:ascii="Sylfaen" w:hAnsi="Sylfaen"/>
          <w:sz w:val="24"/>
          <w:szCs w:val="24"/>
        </w:rPr>
        <w:t xml:space="preserve">Միության տեխնիկական կանոնակարգերի տեխնիկական կանոնակարգման օբյեկտ հանդիսացող այն արտադրանքի վերաբերյալ </w:t>
      </w:r>
      <w:r w:rsidRPr="003C2DE3">
        <w:rPr>
          <w:rFonts w:ascii="Sylfaen" w:hAnsi="Sylfaen"/>
          <w:sz w:val="24"/>
          <w:szCs w:val="24"/>
        </w:rPr>
        <w:t>երկկողմ համաձայնագրերի մասին տեղեկատվություն</w:t>
      </w:r>
      <w:r w:rsidR="00645A1C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 xml:space="preserve">, </w:t>
      </w:r>
      <w:r w:rsidR="00645A1C" w:rsidRPr="003C2DE3">
        <w:rPr>
          <w:rFonts w:ascii="Sylfaen" w:hAnsi="Sylfaen"/>
          <w:sz w:val="24"/>
          <w:szCs w:val="24"/>
        </w:rPr>
        <w:t xml:space="preserve">որոնք </w:t>
      </w:r>
      <w:r w:rsidRPr="003C2DE3">
        <w:rPr>
          <w:rFonts w:ascii="Sylfaen" w:hAnsi="Sylfaen"/>
          <w:sz w:val="24"/>
          <w:szCs w:val="24"/>
        </w:rPr>
        <w:t xml:space="preserve">երրորդ երկրների հետ անդամ պետությունների կողմից </w:t>
      </w:r>
      <w:r w:rsidR="00645A1C" w:rsidRPr="003C2DE3">
        <w:rPr>
          <w:rFonts w:ascii="Sylfaen" w:hAnsi="Sylfaen"/>
          <w:sz w:val="24"/>
          <w:szCs w:val="24"/>
        </w:rPr>
        <w:t xml:space="preserve">կնքվել են </w:t>
      </w:r>
      <w:r w:rsidRPr="003C2DE3">
        <w:rPr>
          <w:rFonts w:ascii="Sylfaen" w:hAnsi="Sylfaen"/>
          <w:sz w:val="24"/>
          <w:szCs w:val="24"/>
        </w:rPr>
        <w:t>մինչ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ամաձայնագիրն ուժի մեջ մտնելը, ինչպես նա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այն արտադրանքի ցանկեր</w:t>
      </w:r>
      <w:r w:rsidR="00645A1C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 xml:space="preserve">, որի նկատմամբ վերացվում են տեխնիկական խոչընդոտները,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անդամ պետությունների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երրորդ երկրների՝ համապատասխանության գնահատման արդյունքների փոխադարձ ճանաչման աշխատանքներ իրականացնող համապատասխանության գնահատման մարմինների ցանկեր</w:t>
      </w:r>
      <w:r w:rsidR="00645A1C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>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2.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>Հանձնաժողով</w:t>
      </w:r>
      <w:r w:rsidR="005A3A5D" w:rsidRPr="003C2DE3">
        <w:rPr>
          <w:rFonts w:ascii="Sylfaen" w:hAnsi="Sylfaen"/>
          <w:sz w:val="24"/>
          <w:szCs w:val="24"/>
        </w:rPr>
        <w:t>ն</w:t>
      </w:r>
      <w:r w:rsidRPr="003C2DE3">
        <w:rPr>
          <w:rFonts w:ascii="Sylfaen" w:hAnsi="Sylfaen"/>
          <w:sz w:val="24"/>
          <w:szCs w:val="24"/>
        </w:rPr>
        <w:t xml:space="preserve"> ապահովում է «Ինտերնետ» տեղեկատվական-հեռահաղորդակցական ցանցում</w:t>
      </w:r>
      <w:r w:rsidR="005A3A5D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Միության պաշտոնական կայքում</w:t>
      </w:r>
      <w:r w:rsidR="005A3A5D" w:rsidRPr="003C2DE3">
        <w:rPr>
          <w:rFonts w:ascii="Sylfaen" w:hAnsi="Sylfaen"/>
          <w:sz w:val="24"/>
          <w:szCs w:val="24"/>
        </w:rPr>
        <w:t>,</w:t>
      </w:r>
      <w:r w:rsidRPr="003C2DE3">
        <w:rPr>
          <w:rFonts w:ascii="Sylfaen" w:hAnsi="Sylfaen"/>
          <w:sz w:val="24"/>
          <w:szCs w:val="24"/>
        </w:rPr>
        <w:t xml:space="preserve"> սույն հոդվածի 1-ին կետում նշված՝ կնքված միջազգային պայմանագրերի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երկկողմ համաձայնագրերի վերաբերյալ տեղեկատվության </w:t>
      </w:r>
      <w:r w:rsidR="00125F16" w:rsidRPr="003C2DE3">
        <w:rPr>
          <w:rFonts w:ascii="Sylfaen" w:hAnsi="Sylfaen"/>
          <w:sz w:val="24"/>
          <w:szCs w:val="24"/>
        </w:rPr>
        <w:t xml:space="preserve">տեղադրումը </w:t>
      </w:r>
      <w:r w:rsidRPr="003C2DE3">
        <w:rPr>
          <w:rFonts w:ascii="Sylfaen" w:hAnsi="Sylfaen"/>
          <w:sz w:val="24"/>
          <w:szCs w:val="24"/>
        </w:rPr>
        <w:t>(</w:t>
      </w:r>
      <w:r w:rsidR="00125F16" w:rsidRPr="003C2DE3">
        <w:rPr>
          <w:rFonts w:ascii="Sylfaen" w:hAnsi="Sylfaen"/>
          <w:sz w:val="24"/>
          <w:szCs w:val="24"/>
        </w:rPr>
        <w:t>ներ</w:t>
      </w:r>
      <w:r w:rsidR="00A700B2" w:rsidRPr="003C2DE3">
        <w:rPr>
          <w:rFonts w:ascii="Sylfaen" w:hAnsi="Sylfaen"/>
          <w:sz w:val="24"/>
          <w:szCs w:val="24"/>
        </w:rPr>
        <w:t>ա</w:t>
      </w:r>
      <w:r w:rsidR="00125F16" w:rsidRPr="003C2DE3">
        <w:rPr>
          <w:rFonts w:ascii="Sylfaen" w:hAnsi="Sylfaen"/>
          <w:sz w:val="24"/>
          <w:szCs w:val="24"/>
        </w:rPr>
        <w:t>ռյալ</w:t>
      </w:r>
      <w:r w:rsidRPr="003C2DE3">
        <w:rPr>
          <w:rFonts w:ascii="Sylfaen" w:hAnsi="Sylfaen"/>
          <w:sz w:val="24"/>
          <w:szCs w:val="24"/>
        </w:rPr>
        <w:t xml:space="preserve"> այն արտադրանքի մասին </w:t>
      </w:r>
      <w:r w:rsidR="00125F16" w:rsidRPr="003C2DE3">
        <w:rPr>
          <w:rFonts w:ascii="Sylfaen" w:hAnsi="Sylfaen"/>
          <w:sz w:val="24"/>
          <w:szCs w:val="24"/>
        </w:rPr>
        <w:t>տեղեկությունները</w:t>
      </w:r>
      <w:r w:rsidRPr="003C2DE3">
        <w:rPr>
          <w:rFonts w:ascii="Sylfaen" w:hAnsi="Sylfaen"/>
          <w:sz w:val="24"/>
          <w:szCs w:val="24"/>
        </w:rPr>
        <w:t xml:space="preserve">, որի նկատմամբ վերացվում են տեխնիկական խոչընդոտները,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անդամ պետությունների</w:t>
      </w:r>
      <w:r w:rsidR="0020578A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համապատասխանության գնահատման լիազորված (նշանակված) մարմինների ցանկեր</w:t>
      </w:r>
      <w:r w:rsidR="00125F16" w:rsidRPr="003C2DE3">
        <w:rPr>
          <w:rFonts w:ascii="Sylfaen" w:hAnsi="Sylfaen"/>
          <w:sz w:val="24"/>
          <w:szCs w:val="24"/>
        </w:rPr>
        <w:t>ը</w:t>
      </w:r>
      <w:r w:rsidRPr="003C2DE3">
        <w:rPr>
          <w:rFonts w:ascii="Sylfaen" w:hAnsi="Sylfaen"/>
          <w:sz w:val="24"/>
          <w:szCs w:val="24"/>
        </w:rPr>
        <w:t>):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3.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Անդամ պետությունները սույն </w:t>
      </w:r>
      <w:r w:rsidR="0042224D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ամաձայնագիրն ուժի մեջ մտնելուց հետո</w:t>
      </w:r>
      <w:r w:rsidR="0020578A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360 օրացուցային օրվա ընթացքում</w:t>
      </w:r>
      <w:r w:rsidR="0020578A" w:rsidRPr="003C2DE3">
        <w:rPr>
          <w:rFonts w:ascii="Sylfaen" w:hAnsi="Sylfaen"/>
          <w:sz w:val="24"/>
          <w:szCs w:val="24"/>
        </w:rPr>
        <w:t>,</w:t>
      </w:r>
      <w:r w:rsidRPr="003C2DE3">
        <w:rPr>
          <w:rFonts w:ascii="Sylfaen" w:hAnsi="Sylfaen"/>
          <w:sz w:val="24"/>
          <w:szCs w:val="24"/>
        </w:rPr>
        <w:t xml:space="preserve"> ապահովում են սույն հոդվածի 1-ին կետում նշված երկկողմ </w:t>
      </w:r>
      <w:r w:rsidR="00BA250D" w:rsidRPr="003C2DE3">
        <w:rPr>
          <w:rFonts w:ascii="Sylfaen" w:hAnsi="Sylfaen"/>
          <w:sz w:val="24"/>
          <w:szCs w:val="24"/>
        </w:rPr>
        <w:t xml:space="preserve">համաձայնագրերի համապատասխանեցումը </w:t>
      </w:r>
      <w:r w:rsidRPr="003C2DE3">
        <w:rPr>
          <w:rFonts w:ascii="Sylfaen" w:hAnsi="Sylfaen"/>
          <w:sz w:val="24"/>
          <w:szCs w:val="24"/>
        </w:rPr>
        <w:t>Պայմանագրի</w:t>
      </w:r>
      <w:r w:rsidR="00BA250D" w:rsidRPr="003C2DE3">
        <w:rPr>
          <w:rFonts w:ascii="Sylfaen" w:hAnsi="Sylfaen"/>
          <w:sz w:val="24"/>
          <w:szCs w:val="24"/>
        </w:rPr>
        <w:t>ն</w:t>
      </w:r>
      <w:r w:rsidRPr="003C2DE3">
        <w:rPr>
          <w:rFonts w:ascii="Sylfaen" w:hAnsi="Sylfaen"/>
          <w:sz w:val="24"/>
          <w:szCs w:val="24"/>
        </w:rPr>
        <w:t xml:space="preserve">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ամաձայնագրի</w:t>
      </w:r>
      <w:r w:rsidR="00BA250D" w:rsidRPr="003C2DE3">
        <w:rPr>
          <w:rFonts w:ascii="Sylfaen" w:hAnsi="Sylfaen"/>
          <w:sz w:val="24"/>
          <w:szCs w:val="24"/>
        </w:rPr>
        <w:t>ն</w:t>
      </w:r>
      <w:r w:rsidRPr="003C2DE3">
        <w:rPr>
          <w:rFonts w:ascii="Sylfaen" w:hAnsi="Sylfaen"/>
          <w:sz w:val="24"/>
          <w:szCs w:val="24"/>
        </w:rPr>
        <w:t>։</w:t>
      </w:r>
    </w:p>
    <w:p w:rsidR="00FD7899" w:rsidRPr="00BC6B90" w:rsidRDefault="00FD7899" w:rsidP="003C2DE3">
      <w:pPr>
        <w:pStyle w:val="Bodytext20"/>
        <w:shd w:val="clear" w:color="auto" w:fill="auto"/>
        <w:spacing w:before="0" w:after="160" w:line="360" w:lineRule="auto"/>
        <w:ind w:left="4980"/>
        <w:jc w:val="left"/>
        <w:rPr>
          <w:rFonts w:ascii="Sylfaen" w:hAnsi="Sylfaen"/>
          <w:sz w:val="24"/>
          <w:szCs w:val="24"/>
        </w:rPr>
      </w:pPr>
    </w:p>
    <w:p w:rsidR="003C2DE3" w:rsidRPr="00BC6B90" w:rsidRDefault="003C2DE3">
      <w:pPr>
        <w:rPr>
          <w:rFonts w:ascii="Sylfaen" w:eastAsia="Times New Roman" w:hAnsi="Sylfaen" w:cs="Times New Roman"/>
        </w:rPr>
      </w:pPr>
      <w:r w:rsidRPr="00BC6B90">
        <w:rPr>
          <w:rFonts w:ascii="Sylfaen" w:hAnsi="Sylfaen"/>
        </w:rPr>
        <w:br w:type="page"/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lastRenderedPageBreak/>
        <w:t>Հոդված 9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1.</w:t>
      </w:r>
      <w:r w:rsidR="003C2DE3" w:rsidRPr="00BC6B90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</w:t>
      </w:r>
      <w:r w:rsidR="00DC3D09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>ամաձայնագիրը չի ազդում անդամ պետությունների</w:t>
      </w:r>
      <w:r w:rsidR="00314581" w:rsidRPr="003C2DE3">
        <w:rPr>
          <w:rFonts w:ascii="Sylfaen" w:hAnsi="Sylfaen"/>
          <w:sz w:val="24"/>
          <w:szCs w:val="24"/>
        </w:rPr>
        <w:t xml:space="preserve"> իրավունքների </w:t>
      </w:r>
      <w:r w:rsidR="00495F44">
        <w:rPr>
          <w:rFonts w:ascii="Sylfaen" w:hAnsi="Sylfaen"/>
          <w:sz w:val="24"/>
          <w:szCs w:val="24"/>
        </w:rPr>
        <w:t>և</w:t>
      </w:r>
      <w:r w:rsidR="00314581" w:rsidRPr="003C2DE3">
        <w:rPr>
          <w:rFonts w:ascii="Sylfaen" w:hAnsi="Sylfaen"/>
          <w:sz w:val="24"/>
          <w:szCs w:val="24"/>
        </w:rPr>
        <w:t xml:space="preserve"> պարտավորությունների վրա, որոնք բխում են </w:t>
      </w:r>
      <w:r w:rsidRPr="003C2DE3">
        <w:rPr>
          <w:rFonts w:ascii="Sylfaen" w:hAnsi="Sylfaen"/>
          <w:sz w:val="24"/>
          <w:szCs w:val="24"/>
        </w:rPr>
        <w:t>անդամ պետությունների</w:t>
      </w:r>
      <w:r w:rsidR="00314581" w:rsidRPr="003C2DE3">
        <w:rPr>
          <w:rFonts w:ascii="Sylfaen" w:hAnsi="Sylfaen"/>
          <w:sz w:val="24"/>
          <w:szCs w:val="24"/>
        </w:rPr>
        <w:t>՝</w:t>
      </w:r>
      <w:r w:rsidR="003C2DE3">
        <w:rPr>
          <w:rFonts w:ascii="Sylfaen" w:hAnsi="Sylfaen"/>
          <w:sz w:val="24"/>
          <w:szCs w:val="24"/>
        </w:rPr>
        <w:t xml:space="preserve"> </w:t>
      </w:r>
      <w:r w:rsidR="00314581" w:rsidRPr="003C2DE3">
        <w:rPr>
          <w:rFonts w:ascii="Sylfaen" w:hAnsi="Sylfaen"/>
          <w:sz w:val="24"/>
          <w:szCs w:val="24"/>
        </w:rPr>
        <w:t>մինչ</w:t>
      </w:r>
      <w:r w:rsidR="00495F44">
        <w:rPr>
          <w:rFonts w:ascii="Sylfaen" w:hAnsi="Sylfaen"/>
          <w:sz w:val="24"/>
          <w:szCs w:val="24"/>
        </w:rPr>
        <w:t>և</w:t>
      </w:r>
      <w:r w:rsidR="00314581" w:rsidRPr="003C2DE3">
        <w:rPr>
          <w:rFonts w:ascii="Sylfaen" w:hAnsi="Sylfaen"/>
          <w:sz w:val="24"/>
          <w:szCs w:val="24"/>
        </w:rPr>
        <w:t xml:space="preserve">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="00314581" w:rsidRPr="003C2DE3">
        <w:rPr>
          <w:rFonts w:ascii="Sylfaen" w:hAnsi="Sylfaen"/>
          <w:sz w:val="24"/>
          <w:szCs w:val="24"/>
        </w:rPr>
        <w:t xml:space="preserve">ամաձայնագիրն ուժի մեջ մտնելը կնքված </w:t>
      </w:r>
      <w:r w:rsidRPr="003C2DE3">
        <w:rPr>
          <w:rFonts w:ascii="Sylfaen" w:hAnsi="Sylfaen"/>
          <w:sz w:val="24"/>
          <w:szCs w:val="24"/>
        </w:rPr>
        <w:t>միջազգային այլ պայմանագրերից</w:t>
      </w:r>
      <w:r w:rsidR="00314581" w:rsidRPr="003C2DE3">
        <w:rPr>
          <w:rFonts w:ascii="Sylfaen" w:hAnsi="Sylfaen"/>
          <w:sz w:val="24"/>
          <w:szCs w:val="24"/>
        </w:rPr>
        <w:t xml:space="preserve"> </w:t>
      </w:r>
      <w:r w:rsidRPr="003C2DE3">
        <w:rPr>
          <w:rFonts w:ascii="Sylfaen" w:hAnsi="Sylfaen"/>
          <w:sz w:val="24"/>
          <w:szCs w:val="24"/>
        </w:rPr>
        <w:t>(բացառությամբ այն արտադրանքի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տրում տեխնիկական խոչընդոտների վերացման հարցերով միջազգային պայմանագրերի, որի նկատմամբ ուժի մեջ են մտել Միության տեխնիկական կանոնակարգերը), ինչպես նա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</w:t>
      </w:r>
      <w:r w:rsidR="00314581" w:rsidRPr="003C2DE3">
        <w:rPr>
          <w:rFonts w:ascii="Sylfaen" w:hAnsi="Sylfaen"/>
          <w:sz w:val="24"/>
          <w:szCs w:val="24"/>
        </w:rPr>
        <w:t xml:space="preserve">բխում են </w:t>
      </w:r>
      <w:r w:rsidRPr="003C2DE3">
        <w:rPr>
          <w:rFonts w:ascii="Sylfaen" w:hAnsi="Sylfaen"/>
          <w:sz w:val="24"/>
          <w:szCs w:val="24"/>
        </w:rPr>
        <w:t>միջազգային կազմակերպություններում անդամ պետությունների անդամակցությունից։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2.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</w:t>
      </w:r>
      <w:r w:rsidR="00DC3D09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 xml:space="preserve">ամաձայնագիրը չի խոչընդոտում սույն </w:t>
      </w:r>
      <w:r w:rsidR="00DC3D09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 xml:space="preserve">ամաձայնագրի նպատակներին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սկզբունքներին չհակասող՝ </w:t>
      </w:r>
      <w:r w:rsidR="00F03124" w:rsidRPr="003C2DE3">
        <w:rPr>
          <w:rFonts w:ascii="Sylfaen" w:hAnsi="Sylfaen"/>
          <w:sz w:val="24"/>
          <w:szCs w:val="24"/>
        </w:rPr>
        <w:t xml:space="preserve">այն </w:t>
      </w:r>
      <w:r w:rsidRPr="003C2DE3">
        <w:rPr>
          <w:rFonts w:ascii="Sylfaen" w:hAnsi="Sylfaen"/>
          <w:sz w:val="24"/>
          <w:szCs w:val="24"/>
        </w:rPr>
        <w:t>արտադրանքի առ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>տրում տեխնիկական խոչընդոտների վերացման հարցերով միջազգային պայմանագրեր</w:t>
      </w:r>
      <w:r w:rsidR="00F03124" w:rsidRPr="003C2DE3">
        <w:rPr>
          <w:rFonts w:ascii="Sylfaen" w:hAnsi="Sylfaen"/>
          <w:sz w:val="24"/>
          <w:szCs w:val="24"/>
        </w:rPr>
        <w:t>ի</w:t>
      </w:r>
      <w:r w:rsidRPr="003C2DE3">
        <w:rPr>
          <w:rFonts w:ascii="Sylfaen" w:hAnsi="Sylfaen"/>
          <w:sz w:val="24"/>
          <w:szCs w:val="24"/>
        </w:rPr>
        <w:t xml:space="preserve"> </w:t>
      </w:r>
      <w:r w:rsidR="00F03124" w:rsidRPr="003C2DE3">
        <w:rPr>
          <w:rFonts w:ascii="Sylfaen" w:hAnsi="Sylfaen"/>
          <w:sz w:val="24"/>
          <w:szCs w:val="24"/>
        </w:rPr>
        <w:t>կնք</w:t>
      </w:r>
      <w:r w:rsidR="00CF28FB" w:rsidRPr="003C2DE3">
        <w:rPr>
          <w:rFonts w:ascii="Sylfaen" w:hAnsi="Sylfaen"/>
          <w:sz w:val="24"/>
          <w:szCs w:val="24"/>
        </w:rPr>
        <w:t>ում</w:t>
      </w:r>
      <w:r w:rsidR="00F03124" w:rsidRPr="003C2DE3">
        <w:rPr>
          <w:rFonts w:ascii="Sylfaen" w:hAnsi="Sylfaen"/>
          <w:sz w:val="24"/>
          <w:szCs w:val="24"/>
        </w:rPr>
        <w:t xml:space="preserve">ն </w:t>
      </w:r>
      <w:r w:rsidRPr="003C2DE3">
        <w:rPr>
          <w:rFonts w:ascii="Sylfaen" w:hAnsi="Sylfaen"/>
          <w:sz w:val="24"/>
          <w:szCs w:val="24"/>
        </w:rPr>
        <w:t>անդամ պետությունների կողմից, որի նկատմամբ չեն ընդունվել կամ ուժի մեջ չեն մտել Միության տեխնիկական կանոնակարգերը։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3.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Անդամ պետությունների փոխադարձ համաձայնությամբ սույն </w:t>
      </w:r>
      <w:r w:rsidRPr="003C2DE3">
        <w:rPr>
          <w:rFonts w:ascii="Sylfaen" w:hAnsi="Sylfaen"/>
          <w:spacing w:val="-6"/>
          <w:sz w:val="24"/>
          <w:szCs w:val="24"/>
        </w:rPr>
        <w:t>համաձայնագրում կարող են կատարվել փոփոխություններ, որոնք ձ</w:t>
      </w:r>
      <w:r w:rsidR="00495F44">
        <w:rPr>
          <w:rFonts w:ascii="Sylfaen" w:hAnsi="Sylfaen"/>
          <w:spacing w:val="-6"/>
          <w:sz w:val="24"/>
          <w:szCs w:val="24"/>
        </w:rPr>
        <w:t>և</w:t>
      </w:r>
      <w:r w:rsidRPr="003C2DE3">
        <w:rPr>
          <w:rFonts w:ascii="Sylfaen" w:hAnsi="Sylfaen"/>
          <w:spacing w:val="-6"/>
          <w:sz w:val="24"/>
          <w:szCs w:val="24"/>
        </w:rPr>
        <w:t xml:space="preserve">ակերպվում են առանձին արձանագրություններով </w:t>
      </w:r>
      <w:r w:rsidR="00495F44">
        <w:rPr>
          <w:rFonts w:ascii="Sylfaen" w:hAnsi="Sylfaen"/>
          <w:spacing w:val="-6"/>
          <w:sz w:val="24"/>
          <w:szCs w:val="24"/>
        </w:rPr>
        <w:t>և</w:t>
      </w:r>
      <w:r w:rsidRPr="003C2DE3">
        <w:rPr>
          <w:rFonts w:ascii="Sylfaen" w:hAnsi="Sylfaen"/>
          <w:spacing w:val="-6"/>
          <w:sz w:val="24"/>
          <w:szCs w:val="24"/>
        </w:rPr>
        <w:t xml:space="preserve"> սույն համաձայնագրի անբաժանելի մասն են կազմում</w:t>
      </w:r>
      <w:r w:rsidRPr="003C2DE3">
        <w:rPr>
          <w:rFonts w:ascii="Sylfaen" w:hAnsi="Sylfaen"/>
          <w:sz w:val="24"/>
          <w:szCs w:val="24"/>
        </w:rPr>
        <w:t>։</w:t>
      </w:r>
    </w:p>
    <w:p w:rsidR="0041765E" w:rsidRPr="003C2DE3" w:rsidRDefault="009A30DF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4.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</w:t>
      </w:r>
      <w:r w:rsidR="00DC3D09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 xml:space="preserve">ամաձայնագրի կիրառման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(կամ) մեկնաբանման հետ կապված վեճերը կարգավորվում են Պայմանագրով սահմանված կարգով։</w:t>
      </w:r>
    </w:p>
    <w:p w:rsidR="00FD7899" w:rsidRPr="003C2DE3" w:rsidRDefault="00FD7899" w:rsidP="003C2DE3">
      <w:pPr>
        <w:pStyle w:val="Bodytext20"/>
        <w:shd w:val="clear" w:color="auto" w:fill="auto"/>
        <w:spacing w:before="0" w:after="160" w:line="360" w:lineRule="auto"/>
        <w:ind w:left="4980"/>
        <w:jc w:val="left"/>
        <w:rPr>
          <w:rFonts w:ascii="Sylfaen" w:hAnsi="Sylfaen"/>
          <w:sz w:val="24"/>
          <w:szCs w:val="24"/>
        </w:rPr>
      </w:pP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Հոդված 10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1.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համաձայնագիրը Միության շրջանակներում կնքված միջազգային պայմանագիր է </w:t>
      </w:r>
      <w:r w:rsidR="00495F44">
        <w:rPr>
          <w:rFonts w:ascii="Sylfaen" w:hAnsi="Sylfaen"/>
          <w:sz w:val="24"/>
          <w:szCs w:val="24"/>
        </w:rPr>
        <w:t>և</w:t>
      </w:r>
      <w:r w:rsidRPr="003C2DE3">
        <w:rPr>
          <w:rFonts w:ascii="Sylfaen" w:hAnsi="Sylfaen"/>
          <w:sz w:val="24"/>
          <w:szCs w:val="24"/>
        </w:rPr>
        <w:t xml:space="preserve"> Միության իրավունքի մասն է կազմում։</w:t>
      </w:r>
    </w:p>
    <w:p w:rsidR="0041765E" w:rsidRPr="003C2DE3" w:rsidRDefault="0091398B" w:rsidP="003C2DE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2.</w:t>
      </w:r>
      <w:r w:rsidR="003C2DE3" w:rsidRPr="003C2DE3">
        <w:rPr>
          <w:rFonts w:ascii="Sylfaen" w:hAnsi="Sylfaen"/>
          <w:sz w:val="24"/>
          <w:szCs w:val="24"/>
        </w:rPr>
        <w:tab/>
      </w:r>
      <w:r w:rsidRPr="003C2DE3">
        <w:rPr>
          <w:rFonts w:ascii="Sylfaen" w:hAnsi="Sylfaen"/>
          <w:sz w:val="24"/>
          <w:szCs w:val="24"/>
        </w:rPr>
        <w:t xml:space="preserve">Սույն համաձայնագիրն ուժի մեջ է մտնում սույն </w:t>
      </w:r>
      <w:r w:rsidR="000209B8" w:rsidRPr="003C2DE3">
        <w:rPr>
          <w:rFonts w:ascii="Sylfaen" w:hAnsi="Sylfaen"/>
          <w:sz w:val="24"/>
          <w:szCs w:val="24"/>
        </w:rPr>
        <w:t>հ</w:t>
      </w:r>
      <w:r w:rsidRPr="003C2DE3">
        <w:rPr>
          <w:rFonts w:ascii="Sylfaen" w:hAnsi="Sylfaen"/>
          <w:sz w:val="24"/>
          <w:szCs w:val="24"/>
        </w:rPr>
        <w:t xml:space="preserve">ամաձայնագիրն ուժի մեջ մտնելու համար անհրաժեշտ ներպետական ընթացակարգերն անդամ պետությունների կողմից կատարելու մասին վերջին գրավոր ծանուցումն </w:t>
      </w:r>
      <w:r w:rsidRPr="003C2DE3">
        <w:rPr>
          <w:rFonts w:ascii="Sylfaen" w:hAnsi="Sylfaen"/>
          <w:sz w:val="24"/>
          <w:szCs w:val="24"/>
        </w:rPr>
        <w:lastRenderedPageBreak/>
        <w:t>ավանդապահի կողմից դիվանագիտական ուղիներով ստանալու օրվանից 30</w:t>
      </w:r>
      <w:r w:rsidR="00AA589A" w:rsidRPr="00AA589A">
        <w:rPr>
          <w:rFonts w:ascii="Sylfaen" w:hAnsi="Sylfaen"/>
          <w:sz w:val="24"/>
          <w:szCs w:val="24"/>
        </w:rPr>
        <w:t> </w:t>
      </w:r>
      <w:r w:rsidRPr="003C2DE3">
        <w:rPr>
          <w:rFonts w:ascii="Sylfaen" w:hAnsi="Sylfaen"/>
          <w:sz w:val="24"/>
          <w:szCs w:val="24"/>
        </w:rPr>
        <w:t>օրացուցային օրը լրանալուց հետո։</w:t>
      </w:r>
    </w:p>
    <w:p w:rsidR="0041765E" w:rsidRPr="003C2DE3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Կատարված է _____ քաղաքում 2017 թվականի __________</w:t>
      </w:r>
      <w:r w:rsidR="00031FA8" w:rsidRPr="003C2DE3">
        <w:rPr>
          <w:rFonts w:ascii="Sylfaen" w:hAnsi="Sylfaen"/>
          <w:sz w:val="24"/>
          <w:szCs w:val="24"/>
        </w:rPr>
        <w:t xml:space="preserve"> ___</w:t>
      </w:r>
      <w:r w:rsidRPr="003C2DE3">
        <w:rPr>
          <w:rFonts w:ascii="Sylfaen" w:hAnsi="Sylfaen"/>
          <w:sz w:val="24"/>
          <w:szCs w:val="24"/>
        </w:rPr>
        <w:t>-ին, մեկ</w:t>
      </w:r>
      <w:r w:rsidR="00AA589A" w:rsidRPr="00AA589A">
        <w:rPr>
          <w:rFonts w:ascii="Sylfaen" w:hAnsi="Sylfaen"/>
          <w:sz w:val="24"/>
          <w:szCs w:val="24"/>
        </w:rPr>
        <w:t> </w:t>
      </w:r>
      <w:r w:rsidRPr="003C2DE3">
        <w:rPr>
          <w:rFonts w:ascii="Sylfaen" w:hAnsi="Sylfaen"/>
          <w:sz w:val="24"/>
          <w:szCs w:val="24"/>
        </w:rPr>
        <w:t>բնօրինակից՝ ռուսերեն։</w:t>
      </w:r>
    </w:p>
    <w:p w:rsidR="0041765E" w:rsidRPr="00BC6B90" w:rsidRDefault="0091398B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C2DE3">
        <w:rPr>
          <w:rFonts w:ascii="Sylfaen" w:hAnsi="Sylfaen"/>
          <w:sz w:val="24"/>
          <w:szCs w:val="24"/>
        </w:rPr>
        <w:t>Սույն համաձայնագրի բնօրինակը պահվում է Եվրասիական տնտեսական հանձնաժողովում, որը</w:t>
      </w:r>
      <w:r w:rsidR="009909AE" w:rsidRPr="003C2DE3">
        <w:rPr>
          <w:rFonts w:ascii="Sylfaen" w:hAnsi="Sylfaen"/>
          <w:sz w:val="24"/>
          <w:szCs w:val="24"/>
        </w:rPr>
        <w:t>՝</w:t>
      </w:r>
      <w:r w:rsidRPr="003C2DE3">
        <w:rPr>
          <w:rFonts w:ascii="Sylfaen" w:hAnsi="Sylfaen"/>
          <w:sz w:val="24"/>
          <w:szCs w:val="24"/>
        </w:rPr>
        <w:t xml:space="preserve"> որպես սույն համաձայնագրի ավանդապահ, յուրաքանչյուր անդամ պետություն կուղարկի դրա հաստատված պատճենը։</w:t>
      </w:r>
    </w:p>
    <w:p w:rsidR="00AA589A" w:rsidRPr="00BC6B90" w:rsidRDefault="00AA589A" w:rsidP="003C2DE3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13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2492"/>
        <w:gridCol w:w="2407"/>
        <w:gridCol w:w="2254"/>
        <w:gridCol w:w="1834"/>
      </w:tblGrid>
      <w:tr w:rsidR="003348E2" w:rsidRPr="00AA589A" w:rsidTr="003348E2">
        <w:trPr>
          <w:jc w:val="center"/>
        </w:trPr>
        <w:tc>
          <w:tcPr>
            <w:tcW w:w="2361" w:type="dxa"/>
            <w:shd w:val="clear" w:color="auto" w:fill="FFFFFF"/>
          </w:tcPr>
          <w:p w:rsidR="0041765E" w:rsidRPr="00AA589A" w:rsidRDefault="0091398B" w:rsidP="00AA589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AA589A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Հայաստանի Հանրապետության կողմից՝</w:t>
            </w:r>
          </w:p>
        </w:tc>
        <w:tc>
          <w:tcPr>
            <w:tcW w:w="2492" w:type="dxa"/>
            <w:shd w:val="clear" w:color="auto" w:fill="FFFFFF"/>
          </w:tcPr>
          <w:p w:rsidR="0041765E" w:rsidRPr="00AA589A" w:rsidRDefault="0091398B" w:rsidP="00AA589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AA589A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Բելառուսի Հանրապետության կողմից՝</w:t>
            </w:r>
          </w:p>
        </w:tc>
        <w:tc>
          <w:tcPr>
            <w:tcW w:w="2407" w:type="dxa"/>
            <w:shd w:val="clear" w:color="auto" w:fill="FFFFFF"/>
          </w:tcPr>
          <w:p w:rsidR="0041765E" w:rsidRPr="00AA589A" w:rsidRDefault="0091398B" w:rsidP="00AA589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AA589A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Ղազախստանի Հանրապետության կողմից՝</w:t>
            </w:r>
          </w:p>
        </w:tc>
        <w:tc>
          <w:tcPr>
            <w:tcW w:w="2254" w:type="dxa"/>
            <w:shd w:val="clear" w:color="auto" w:fill="FFFFFF"/>
          </w:tcPr>
          <w:p w:rsidR="0041765E" w:rsidRPr="00AA589A" w:rsidRDefault="0091398B" w:rsidP="00AA589A">
            <w:pPr>
              <w:pStyle w:val="Bodytext20"/>
              <w:shd w:val="clear" w:color="auto" w:fill="auto"/>
              <w:spacing w:before="0" w:after="160" w:line="360" w:lineRule="auto"/>
              <w:ind w:right="75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AA589A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Ղրղզստանի Հանրապետության կողմից՝</w:t>
            </w:r>
          </w:p>
        </w:tc>
        <w:tc>
          <w:tcPr>
            <w:tcW w:w="1834" w:type="dxa"/>
            <w:shd w:val="clear" w:color="auto" w:fill="FFFFFF"/>
          </w:tcPr>
          <w:p w:rsidR="0041765E" w:rsidRPr="00AA589A" w:rsidRDefault="0091398B" w:rsidP="00AA589A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AA589A">
              <w:rPr>
                <w:rStyle w:val="Bodytext2Bold"/>
                <w:rFonts w:ascii="Sylfaen" w:hAnsi="Sylfaen"/>
                <w:spacing w:val="-6"/>
                <w:sz w:val="22"/>
                <w:szCs w:val="22"/>
              </w:rPr>
              <w:t>Ռուսաստանի Դաշնության կողմից՝</w:t>
            </w:r>
          </w:p>
        </w:tc>
      </w:tr>
    </w:tbl>
    <w:p w:rsidR="0041765E" w:rsidRPr="003C2DE3" w:rsidRDefault="0041765E" w:rsidP="003C2DE3">
      <w:pPr>
        <w:spacing w:after="160" w:line="360" w:lineRule="auto"/>
        <w:rPr>
          <w:rFonts w:ascii="Sylfaen" w:hAnsi="Sylfaen"/>
        </w:rPr>
      </w:pPr>
    </w:p>
    <w:sectPr w:rsidR="0041765E" w:rsidRPr="003C2DE3" w:rsidSect="00AA589A">
      <w:footerReference w:type="default" r:id="rId7"/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6B" w:rsidRDefault="0014766B" w:rsidP="0041765E">
      <w:r>
        <w:separator/>
      </w:r>
    </w:p>
  </w:endnote>
  <w:endnote w:type="continuationSeparator" w:id="0">
    <w:p w:rsidR="0014766B" w:rsidRDefault="0014766B" w:rsidP="0041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7050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AA589A" w:rsidRPr="00AA589A" w:rsidRDefault="009D68FB">
        <w:pPr>
          <w:pStyle w:val="Footer"/>
          <w:jc w:val="center"/>
          <w:rPr>
            <w:rFonts w:ascii="Sylfaen" w:hAnsi="Sylfaen"/>
          </w:rPr>
        </w:pPr>
        <w:r w:rsidRPr="00AA589A">
          <w:rPr>
            <w:rFonts w:ascii="Sylfaen" w:hAnsi="Sylfaen"/>
          </w:rPr>
          <w:fldChar w:fldCharType="begin"/>
        </w:r>
        <w:r w:rsidR="00AA589A" w:rsidRPr="00AA589A">
          <w:rPr>
            <w:rFonts w:ascii="Sylfaen" w:hAnsi="Sylfaen"/>
          </w:rPr>
          <w:instrText xml:space="preserve"> PAGE   \* MERGEFORMAT </w:instrText>
        </w:r>
        <w:r w:rsidRPr="00AA589A">
          <w:rPr>
            <w:rFonts w:ascii="Sylfaen" w:hAnsi="Sylfaen"/>
          </w:rPr>
          <w:fldChar w:fldCharType="separate"/>
        </w:r>
        <w:r w:rsidR="00EC47F9">
          <w:rPr>
            <w:rFonts w:ascii="Sylfaen" w:hAnsi="Sylfaen"/>
            <w:noProof/>
          </w:rPr>
          <w:t>11</w:t>
        </w:r>
        <w:r w:rsidRPr="00AA589A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6B" w:rsidRDefault="0014766B"/>
  </w:footnote>
  <w:footnote w:type="continuationSeparator" w:id="0">
    <w:p w:rsidR="0014766B" w:rsidRDefault="00147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51A"/>
    <w:multiLevelType w:val="multilevel"/>
    <w:tmpl w:val="284A0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D174D0"/>
    <w:multiLevelType w:val="multilevel"/>
    <w:tmpl w:val="62E8F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855C1D"/>
    <w:multiLevelType w:val="multilevel"/>
    <w:tmpl w:val="0900A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2741A"/>
    <w:multiLevelType w:val="multilevel"/>
    <w:tmpl w:val="B8181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1217AD"/>
    <w:multiLevelType w:val="multilevel"/>
    <w:tmpl w:val="D6CE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36C65"/>
    <w:multiLevelType w:val="multilevel"/>
    <w:tmpl w:val="4D121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5E"/>
    <w:rsid w:val="000209B8"/>
    <w:rsid w:val="00024A33"/>
    <w:rsid w:val="000265BD"/>
    <w:rsid w:val="00031FA8"/>
    <w:rsid w:val="00045399"/>
    <w:rsid w:val="00051D91"/>
    <w:rsid w:val="00061229"/>
    <w:rsid w:val="000655C8"/>
    <w:rsid w:val="00084415"/>
    <w:rsid w:val="00096C73"/>
    <w:rsid w:val="000A7F1D"/>
    <w:rsid w:val="000B0D21"/>
    <w:rsid w:val="000D3CDC"/>
    <w:rsid w:val="00116F83"/>
    <w:rsid w:val="00125F16"/>
    <w:rsid w:val="0014766B"/>
    <w:rsid w:val="001B2BF8"/>
    <w:rsid w:val="001F4E4F"/>
    <w:rsid w:val="0020578A"/>
    <w:rsid w:val="0022224E"/>
    <w:rsid w:val="002351B1"/>
    <w:rsid w:val="00245974"/>
    <w:rsid w:val="002703FC"/>
    <w:rsid w:val="0028720D"/>
    <w:rsid w:val="002872E5"/>
    <w:rsid w:val="002B62E4"/>
    <w:rsid w:val="002B6DFB"/>
    <w:rsid w:val="002D49A1"/>
    <w:rsid w:val="002D7098"/>
    <w:rsid w:val="002F378A"/>
    <w:rsid w:val="002F4830"/>
    <w:rsid w:val="0031068F"/>
    <w:rsid w:val="00314581"/>
    <w:rsid w:val="003348E2"/>
    <w:rsid w:val="003849E5"/>
    <w:rsid w:val="00390413"/>
    <w:rsid w:val="003C2DE3"/>
    <w:rsid w:val="003C5B75"/>
    <w:rsid w:val="0041765E"/>
    <w:rsid w:val="0042224D"/>
    <w:rsid w:val="004412B0"/>
    <w:rsid w:val="00442979"/>
    <w:rsid w:val="00495F44"/>
    <w:rsid w:val="004B12C8"/>
    <w:rsid w:val="004C5D42"/>
    <w:rsid w:val="004D47D5"/>
    <w:rsid w:val="004E21FD"/>
    <w:rsid w:val="004E55C3"/>
    <w:rsid w:val="004F2A4A"/>
    <w:rsid w:val="00501144"/>
    <w:rsid w:val="0051207B"/>
    <w:rsid w:val="00567EE7"/>
    <w:rsid w:val="005737E9"/>
    <w:rsid w:val="00585747"/>
    <w:rsid w:val="005A3A5D"/>
    <w:rsid w:val="005D640F"/>
    <w:rsid w:val="005F3852"/>
    <w:rsid w:val="00606066"/>
    <w:rsid w:val="006322EB"/>
    <w:rsid w:val="00645A1C"/>
    <w:rsid w:val="00655094"/>
    <w:rsid w:val="006714A3"/>
    <w:rsid w:val="00695894"/>
    <w:rsid w:val="006E614D"/>
    <w:rsid w:val="007455A3"/>
    <w:rsid w:val="00760961"/>
    <w:rsid w:val="00785E4F"/>
    <w:rsid w:val="007D5A6C"/>
    <w:rsid w:val="00837C4B"/>
    <w:rsid w:val="00887DA7"/>
    <w:rsid w:val="008A73FA"/>
    <w:rsid w:val="008F1B62"/>
    <w:rsid w:val="0091398B"/>
    <w:rsid w:val="009507F2"/>
    <w:rsid w:val="00977390"/>
    <w:rsid w:val="009840D7"/>
    <w:rsid w:val="009909AE"/>
    <w:rsid w:val="00994659"/>
    <w:rsid w:val="009A30DF"/>
    <w:rsid w:val="009A7AE5"/>
    <w:rsid w:val="009C1640"/>
    <w:rsid w:val="009D18EE"/>
    <w:rsid w:val="009D3D13"/>
    <w:rsid w:val="009D68FB"/>
    <w:rsid w:val="00A250F3"/>
    <w:rsid w:val="00A27055"/>
    <w:rsid w:val="00A37C7E"/>
    <w:rsid w:val="00A700B2"/>
    <w:rsid w:val="00A721C4"/>
    <w:rsid w:val="00A747F1"/>
    <w:rsid w:val="00A95380"/>
    <w:rsid w:val="00AA589A"/>
    <w:rsid w:val="00AB28E7"/>
    <w:rsid w:val="00AF2FF8"/>
    <w:rsid w:val="00B06794"/>
    <w:rsid w:val="00B34055"/>
    <w:rsid w:val="00B75125"/>
    <w:rsid w:val="00BA250D"/>
    <w:rsid w:val="00BC6B90"/>
    <w:rsid w:val="00BE5502"/>
    <w:rsid w:val="00C01288"/>
    <w:rsid w:val="00C2398F"/>
    <w:rsid w:val="00C41E0F"/>
    <w:rsid w:val="00C45218"/>
    <w:rsid w:val="00C5664C"/>
    <w:rsid w:val="00CF28FB"/>
    <w:rsid w:val="00D154C9"/>
    <w:rsid w:val="00D547C9"/>
    <w:rsid w:val="00D662F0"/>
    <w:rsid w:val="00DC3D09"/>
    <w:rsid w:val="00DE13B0"/>
    <w:rsid w:val="00E12150"/>
    <w:rsid w:val="00E33D30"/>
    <w:rsid w:val="00EA58B9"/>
    <w:rsid w:val="00EC47F9"/>
    <w:rsid w:val="00EE4433"/>
    <w:rsid w:val="00F0164F"/>
    <w:rsid w:val="00F03124"/>
    <w:rsid w:val="00F23B53"/>
    <w:rsid w:val="00F9573D"/>
    <w:rsid w:val="00FA7D81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51D7"/>
  <w15:docId w15:val="{8EEC4429-49A9-4585-B8CA-20931CE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765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765E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417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417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17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17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417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">
    <w:name w:val="Body text (2) + Bold"/>
    <w:basedOn w:val="Bodytext2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417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1765E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10">
    <w:name w:val="Heading #1"/>
    <w:basedOn w:val="Normal"/>
    <w:link w:val="Heading1"/>
    <w:rsid w:val="0041765E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4176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1765E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41765E"/>
    <w:pPr>
      <w:shd w:val="clear" w:color="auto" w:fill="FFFFFF"/>
      <w:spacing w:before="660" w:after="720" w:line="34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41765E"/>
    <w:pPr>
      <w:shd w:val="clear" w:color="auto" w:fill="FFFFFF"/>
      <w:spacing w:before="120" w:after="72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6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62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A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A7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A589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89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589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8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79</cp:revision>
  <cp:lastPrinted>2020-03-10T11:45:00Z</cp:lastPrinted>
  <dcterms:created xsi:type="dcterms:W3CDTF">2019-01-22T08:53:00Z</dcterms:created>
  <dcterms:modified xsi:type="dcterms:W3CDTF">2020-03-10T11:46:00Z</dcterms:modified>
</cp:coreProperties>
</file>