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0A" w:rsidRPr="00495032" w:rsidRDefault="0030702B" w:rsidP="00087513">
      <w:pPr>
        <w:pStyle w:val="Bodytext30"/>
        <w:shd w:val="clear" w:color="auto" w:fill="auto"/>
        <w:spacing w:after="160" w:line="360" w:lineRule="auto"/>
        <w:ind w:left="5670"/>
        <w:rPr>
          <w:rStyle w:val="Bodytext3Spacing2pt"/>
          <w:rFonts w:ascii="Sylfaen" w:hAnsi="Sylfaen"/>
          <w:bCs/>
          <w:spacing w:val="0"/>
          <w:sz w:val="24"/>
          <w:szCs w:val="24"/>
        </w:rPr>
      </w:pPr>
      <w:bookmarkStart w:id="0" w:name="_GoBack"/>
      <w:bookmarkEnd w:id="0"/>
      <w:r w:rsidRPr="00495032">
        <w:rPr>
          <w:rStyle w:val="Bodytext3Spacing2pt"/>
          <w:rFonts w:ascii="Sylfaen" w:hAnsi="Sylfaen"/>
          <w:spacing w:val="0"/>
          <w:sz w:val="24"/>
          <w:szCs w:val="24"/>
        </w:rPr>
        <w:t xml:space="preserve">ՀԱՍՏԱՏՎԱԾ Է </w:t>
      </w:r>
    </w:p>
    <w:p w:rsidR="0030702B" w:rsidRPr="00495032" w:rsidRDefault="0030702B" w:rsidP="00087513">
      <w:pPr>
        <w:pStyle w:val="Bodytext30"/>
        <w:shd w:val="clear" w:color="auto" w:fill="auto"/>
        <w:spacing w:after="160" w:line="360" w:lineRule="auto"/>
        <w:ind w:left="5670"/>
        <w:rPr>
          <w:rStyle w:val="Bodytext3Spacing2pt"/>
          <w:rFonts w:ascii="Sylfaen" w:hAnsi="Sylfaen"/>
          <w:spacing w:val="0"/>
          <w:sz w:val="24"/>
          <w:szCs w:val="24"/>
        </w:rPr>
      </w:pPr>
      <w:r w:rsidRPr="00495032">
        <w:rPr>
          <w:rStyle w:val="Bodytext3Spacing2pt"/>
          <w:rFonts w:ascii="Sylfaen" w:hAnsi="Sylfaen"/>
          <w:spacing w:val="0"/>
          <w:sz w:val="24"/>
          <w:szCs w:val="24"/>
        </w:rPr>
        <w:t xml:space="preserve">Եվրասիական տնտեսական հանձնաժողովի կոլեգիայի </w:t>
      </w:r>
      <w:r w:rsidR="00CE0DD0" w:rsidRPr="00495032">
        <w:rPr>
          <w:rStyle w:val="Bodytext3Spacing2pt"/>
          <w:rFonts w:ascii="Sylfaen" w:hAnsi="Sylfaen"/>
          <w:spacing w:val="0"/>
          <w:sz w:val="24"/>
          <w:szCs w:val="24"/>
        </w:rPr>
        <w:t>2018 թվականի ապրիլի 10-ի թիվ 50 որոշմամբ</w:t>
      </w:r>
    </w:p>
    <w:p w:rsidR="00087513" w:rsidRPr="00495032" w:rsidRDefault="00087513" w:rsidP="00087513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spacing w:val="0"/>
          <w:sz w:val="24"/>
          <w:szCs w:val="24"/>
        </w:rPr>
      </w:pPr>
    </w:p>
    <w:p w:rsidR="000C68E9" w:rsidRPr="00495032" w:rsidRDefault="00566CE4" w:rsidP="00087513">
      <w:pPr>
        <w:pStyle w:val="Bodytext30"/>
        <w:shd w:val="clear" w:color="auto" w:fill="auto"/>
        <w:spacing w:after="160" w:line="360" w:lineRule="auto"/>
        <w:ind w:left="567" w:right="566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495032">
        <w:rPr>
          <w:rStyle w:val="Bodytext3Spacing2pt"/>
          <w:rFonts w:ascii="Sylfaen" w:hAnsi="Sylfaen"/>
          <w:b/>
          <w:spacing w:val="0"/>
          <w:sz w:val="24"/>
          <w:szCs w:val="24"/>
        </w:rPr>
        <w:t>ԱՆՁՆԱԳԻՐ</w:t>
      </w:r>
    </w:p>
    <w:p w:rsidR="000C68E9" w:rsidRPr="00495032" w:rsidRDefault="00566CE4" w:rsidP="00087513">
      <w:pPr>
        <w:pStyle w:val="Bodytext30"/>
        <w:shd w:val="clear" w:color="auto" w:fill="auto"/>
        <w:spacing w:after="160" w:line="360" w:lineRule="auto"/>
        <w:ind w:left="567" w:right="566" w:hanging="284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դեղամիջոցների անատոմիական-բուժական-քիմիական դասակարգչի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3827"/>
        <w:gridCol w:w="4554"/>
      </w:tblGrid>
      <w:tr w:rsidR="000C68E9" w:rsidRPr="00495032" w:rsidTr="00087513">
        <w:trPr>
          <w:tblHeader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039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6B601B" w:rsidRPr="00495032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դասակարգիչ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անատոմիական-բուժական-քիմիական դասակարգիչ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ԱԲՔԴ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ՄԴ 039 - 2018 (խմբ. 1)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ընդունման (հաստատման) մասին ակտի վավերապայմանները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 2018 թվականի ապրիլի 10-ի թիվ 50 որոշում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Տեղեկատուն (դասակարգիչը) գործողության մեջ դնելու (կիրառումն սկսելու) ամսաթիվը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204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  </w:t>
            </w:r>
            <w:r w:rsidR="00CA46D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թ.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կիրառման ավարտի ամսաթիվը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  <w:r w:rsidR="00CA46D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Դաշնության առողջապահության նախարարություն: Լիազորված կազմակերպություն՝ Ռուսաստանի առողջապահության նախարարության «Բժշկական կիրառման համար նախատեսված միջոցների փորձաքննության գիտական կենտրոն» </w:t>
            </w:r>
            <w:r w:rsidR="00CA46D3" w:rsidRPr="00495032">
              <w:rPr>
                <w:rStyle w:val="Bodytext211pt"/>
                <w:rFonts w:ascii="Sylfaen" w:hAnsi="Sylfaen"/>
                <w:sz w:val="20"/>
                <w:szCs w:val="20"/>
              </w:rPr>
              <w:t>ԴՊԲՀ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դասակարգիչը նախատեսված է դեղամիջոցների դասակարգման մասին տեղեկություններ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ներկայացնելու համար</w:t>
            </w:r>
            <w:r w:rsidR="005E08A2" w:rsidRPr="00495032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կախված </w:t>
            </w:r>
            <w:r w:rsidR="004A1080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օրգանից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կամ համակարգից, որոնց վրա դրանք </w:t>
            </w:r>
            <w:r w:rsidR="004A1080" w:rsidRPr="00495032">
              <w:rPr>
                <w:rStyle w:val="Bodytext211pt"/>
                <w:rFonts w:ascii="Sylfaen" w:hAnsi="Sylfaen"/>
                <w:sz w:val="20"/>
                <w:szCs w:val="20"/>
              </w:rPr>
              <w:t>ներազդում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են, ինչպես նա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քիմիական, դեղաբանական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բուժիչ հատկությունների հիման վրա: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Օգտագործվում </w:t>
            </w:r>
            <w:r w:rsidR="004A1080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է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սպառման կառուցվածքի վիճակագրական հետազոտության նպատակով, ինչպես նա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դեղամիջոցների կիրառման անվտանգության հետազոտությունների համար 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Անոտացիա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(կիրառության ոլորտը)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կիրառվում է դեղամիջոցների շրջանառության սուբյեկտների կողմից Եվրասիական տնտեսական միության անդամ պետությունների պետական մարմիններ</w:t>
            </w:r>
            <w:r w:rsidR="005E08A2" w:rsidRPr="0049503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="00D40B61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 թվում էլեկտրոնային տարբերակով</w:t>
            </w:r>
            <w:r w:rsidR="00D24936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ներկայացվող փաստաթղթերի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ժամանակ, ինչպես նա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շրջանակներում ընդհանուր գործընթացներ իրականացնելիս տեղեկատվական փոխգործակցության ապահովման համար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Առանցքային բառերը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ԱԲՔ, անատոմիական-բուժական-քիմիական դասակարգում, դեղաբանական խումբ, դեղամիջոց, դասակարգիչ, </w:t>
            </w:r>
            <w:r w:rsidR="00D24936" w:rsidRPr="00495032">
              <w:rPr>
                <w:rStyle w:val="Bodytext211pt"/>
                <w:rFonts w:ascii="Sylfaen" w:hAnsi="Sylfaen"/>
                <w:sz w:val="20"/>
                <w:szCs w:val="20"/>
              </w:rPr>
              <w:t>օրգան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, համակարգ, քիմիական կառուցվածք 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Այն 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տեխնիկական կանոնակարգում</w:t>
            </w:r>
          </w:p>
        </w:tc>
      </w:tr>
      <w:tr w:rsidR="000C68E9" w:rsidRPr="00495032" w:rsidTr="00087513">
        <w:trPr>
          <w:trHeight w:val="63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B96A47" w:rsidP="0008751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B96A47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Միջազգային (միջպետական, տարածաշրջանային) դասակարգման կիրառում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B96A47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1</w:t>
            </w:r>
            <w:r w:rsidR="00D24936" w:rsidRPr="00495032">
              <w:rPr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 դասակարգիչը ներդաշնակեցված է</w:t>
            </w:r>
            <w:r w:rsidR="00D24936" w:rsidRPr="00495032">
              <w:rPr>
                <w:rFonts w:ascii="Sylfaen" w:hAnsi="Sylfaen"/>
                <w:sz w:val="20"/>
                <w:szCs w:val="20"/>
              </w:rPr>
              <w:t xml:space="preserve"> միջազգային </w:t>
            </w:r>
            <w:r w:rsidR="00CE0DD0" w:rsidRPr="00495032">
              <w:rPr>
                <w:rFonts w:ascii="Sylfaen" w:hAnsi="Sylfaen"/>
                <w:sz w:val="20"/>
                <w:szCs w:val="20"/>
              </w:rPr>
              <w:t>(</w:t>
            </w:r>
            <w:r w:rsidRPr="00495032">
              <w:rPr>
                <w:rFonts w:ascii="Sylfaen" w:hAnsi="Sylfaen"/>
                <w:sz w:val="20"/>
                <w:szCs w:val="20"/>
              </w:rPr>
              <w:t>միջպետական</w:t>
            </w:r>
            <w:r w:rsidR="00D24936" w:rsidRPr="0049503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տարածաշրջանային) դասակարգիչների </w:t>
            </w:r>
            <w:r w:rsidR="009C7AFC">
              <w:rPr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 (կամ) ստանդարտների հետ</w:t>
            </w:r>
            <w:r w:rsidR="00D24936" w:rsidRPr="00495032">
              <w:rPr>
                <w:rFonts w:ascii="Sylfaen" w:hAnsi="Sylfaen"/>
                <w:sz w:val="20"/>
                <w:szCs w:val="20"/>
              </w:rPr>
              <w:t>՝</w:t>
            </w:r>
          </w:p>
          <w:p w:rsidR="00B96A47" w:rsidRPr="00495032" w:rsidRDefault="00B96A47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 xml:space="preserve">Դեղամիջոցների </w:t>
            </w:r>
            <w:r w:rsidR="00D24936" w:rsidRPr="00495032">
              <w:rPr>
                <w:rFonts w:ascii="Sylfaen" w:hAnsi="Sylfaen"/>
                <w:sz w:val="20"/>
                <w:szCs w:val="20"/>
              </w:rPr>
              <w:t xml:space="preserve">դասակարգման 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անատոմիական-բուժական-քիմիական միջազգային համակարգ (Anatomical </w:t>
            </w:r>
            <w:r w:rsidR="00CE0DD0" w:rsidRPr="00495032">
              <w:rPr>
                <w:rFonts w:ascii="Sylfaen" w:hAnsi="Sylfaen"/>
                <w:sz w:val="20"/>
                <w:szCs w:val="20"/>
              </w:rPr>
              <w:t>Т</w:t>
            </w:r>
            <w:r w:rsidR="00E73B7A" w:rsidRPr="00495032">
              <w:rPr>
                <w:rFonts w:ascii="Sylfaen" w:hAnsi="Sylfaen"/>
                <w:sz w:val="20"/>
                <w:szCs w:val="20"/>
              </w:rPr>
              <w:t xml:space="preserve">herapeutic 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Chemical Classification System), որի վարումն իրականացվում է Առողջապահության համաշխարհային կազմակերպության (ԱՀԿ)՝ դեղամիջոցների վիճակագրական հետազոտությունների </w:t>
            </w:r>
            <w:r w:rsidR="0088263C" w:rsidRPr="00495032">
              <w:rPr>
                <w:rFonts w:ascii="Sylfaen" w:hAnsi="Sylfaen"/>
                <w:sz w:val="20"/>
                <w:szCs w:val="20"/>
              </w:rPr>
              <w:t xml:space="preserve">մեթոդաբանության ոլորտում </w:t>
            </w:r>
            <w:r w:rsidRPr="00495032">
              <w:rPr>
                <w:rFonts w:ascii="Sylfaen" w:hAnsi="Sylfaen"/>
                <w:sz w:val="20"/>
                <w:szCs w:val="20"/>
              </w:rPr>
              <w:t>համագործակցության կենտրոնի կողմից</w:t>
            </w:r>
            <w:r w:rsidR="00087513" w:rsidRPr="00495032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96A47" w:rsidRPr="00495032" w:rsidRDefault="00B96A47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Ներդաշնակեցման մեթոդ՝</w:t>
            </w:r>
          </w:p>
          <w:p w:rsidR="00B96A47" w:rsidRPr="00495032" w:rsidRDefault="00B96A47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1</w:t>
            </w:r>
            <w:r w:rsidR="00CE0DD0" w:rsidRPr="00495032">
              <w:rPr>
                <w:rFonts w:ascii="Sylfaen" w:hAnsi="Sylfaen"/>
                <w:sz w:val="20"/>
                <w:szCs w:val="20"/>
              </w:rPr>
              <w:t>`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E0DD0" w:rsidRPr="00495032">
              <w:rPr>
                <w:rFonts w:ascii="Sylfaen" w:hAnsi="Sylfaen"/>
                <w:sz w:val="20"/>
                <w:szCs w:val="20"/>
              </w:rPr>
              <w:t>վստահելի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 աղբյուրի անմիջական օգտագործման մեթոդ</w:t>
            </w:r>
          </w:p>
        </w:tc>
      </w:tr>
      <w:tr w:rsidR="000C68E9" w:rsidRPr="00495032" w:rsidTr="00087513">
        <w:trPr>
          <w:trHeight w:val="634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8E9" w:rsidRPr="00495032" w:rsidTr="00087513">
        <w:trPr>
          <w:trHeight w:val="634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B96A47" w:rsidP="0008751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3B2282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3B2282" w:rsidP="0008751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Fonts w:ascii="Sylfaen" w:hAnsi="Sylfaen"/>
                <w:sz w:val="20"/>
                <w:szCs w:val="20"/>
              </w:rPr>
              <w:t>2</w:t>
            </w:r>
            <w:r w:rsidR="005840BD" w:rsidRPr="00495032">
              <w:rPr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Fonts w:ascii="Sylfaen" w:hAnsi="Sylfaen"/>
                <w:sz w:val="20"/>
                <w:szCs w:val="20"/>
              </w:rPr>
              <w:t xml:space="preserve"> Եվրասիական տնտեսական միության անդամ պետություններում դասակարգիչը չունի անալոգներ</w:t>
            </w:r>
          </w:p>
        </w:tc>
      </w:tr>
      <w:tr w:rsidR="000C68E9" w:rsidRPr="00495032" w:rsidTr="00087513">
        <w:trPr>
          <w:trHeight w:val="634"/>
          <w:jc w:val="center"/>
        </w:trPr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0C68E9" w:rsidP="0008751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5840BD" w:rsidRPr="00495032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ստորակարգային, աստիճանների (մակարդակների) թիվը՝ 5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Վարման մեթոդիկա</w:t>
            </w:r>
            <w:r w:rsidR="005840BD" w:rsidRPr="00495032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դասակարգիչը վարվում է էլեկտրոնային տարբերակով</w:t>
            </w:r>
            <w:r w:rsidR="005E08A2" w:rsidRPr="00495032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թիվ 1 հավելվածի համաձայն սահմանված կարգով</w:t>
            </w:r>
          </w:p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Արժեքների ավելացումը, փոփոխումը կամ </w:t>
            </w:r>
            <w:r w:rsidR="005840BD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հանումը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կատարվում է օպերատորի կողմից Դեղամիջոցների</w:t>
            </w:r>
            <w:r w:rsidR="005840BD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դասակարգման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անատոմիական-բուժական-քիմիական միջազգային համակարգի (Anatomical Therapeutic Chemical Classification System) մեջ փոփոխություններ կատարելուն զուգընթաց, որի վարումն իրականացվում է Առողջապահության համաշխարհային կազմակերպության (ԱՀԿ)՝ դեղամիջոցների վիճակագրական հետազոտությունների </w:t>
            </w:r>
            <w:r w:rsidR="005840BD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մեթոդաբանության ոլորտում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համագործակցության կենտրոնի կողմից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դասակարգչի կառուցվածքը </w:t>
            </w:r>
            <w:r w:rsidR="009C7AFC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 վավերապայմանների կազմը (դասակարգչի 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տողերի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կազմը, դրանց արժեքների տիրույթները </w:t>
            </w:r>
            <w:r w:rsidR="009C7AFC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 ձ</w:t>
            </w:r>
            <w:r w:rsidR="009C7AFC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կանոնները) պետք է համապատասխանեն թիվ 2 հավելվածի համաձայն նկարագրությանը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դասակարգչի տեղեկությունները վերաբերում են բաց 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հասանելիության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տեղեկատվությանը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Դեղամիջոցների 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դասակարգման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անատոմիական-բուժական-քիմիական միջազգային 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համակարգի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(Anatomical </w:t>
            </w:r>
            <w:r w:rsidR="00CE0DD0" w:rsidRPr="00495032">
              <w:rPr>
                <w:rStyle w:val="Bodytext211pt0"/>
                <w:rFonts w:ascii="Sylfaen" w:hAnsi="Sylfaen"/>
                <w:sz w:val="20"/>
                <w:szCs w:val="20"/>
              </w:rPr>
              <w:t>Т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herapeutic Chemical Classification System)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մեջ </w:t>
            </w:r>
            <w:r w:rsidR="00E73B7A" w:rsidRPr="00495032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 կատարելուն զուգընթաց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, որի վարումն իրականացվում է Առողջապահության համաշխարհային կազմակերպության (ԱՀԿ)՝ դեղամիջոցների վիճակագրական հետազոտությունների </w:t>
            </w:r>
            <w:r w:rsidR="00E73B7A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մեթոդաբանության ոլորտում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համագործակցության կենտրոնի կողմից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087513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Tahoma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Հղում՝ տեղեկատուից (դասակարգչից) </w:t>
            </w:r>
            <w:r w:rsidR="00CE0DD0" w:rsidRPr="00495032">
              <w:rPr>
                <w:rStyle w:val="Bodytext211pt0"/>
                <w:rFonts w:ascii="Sylfaen" w:hAnsi="Sylfaen"/>
                <w:sz w:val="20"/>
                <w:szCs w:val="20"/>
              </w:rPr>
              <w:t>մանրամասն</w:t>
            </w:r>
            <w:r w:rsidR="007C6E65" w:rsidRPr="00495032">
              <w:rPr>
                <w:rStyle w:val="Bodytext211pt0"/>
                <w:rFonts w:ascii="Sylfaen" w:hAnsi="Sylfaen"/>
                <w:sz w:val="20"/>
                <w:szCs w:val="20"/>
              </w:rPr>
              <w:t>ած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տեղեկություններին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դասակարգչից </w:t>
            </w:r>
            <w:r w:rsidR="00CE0DD0"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մանրամասնած 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տեղեկությունները բերված են Եվրասիական տնտեսական միության տեղեկատվական պորտալում </w:t>
            </w:r>
          </w:p>
        </w:tc>
      </w:tr>
      <w:tr w:rsidR="000C68E9" w:rsidRPr="00495032" w:rsidTr="0008751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Տեղեկատուից (դասակարգչից) տեղեկություններ ներկայացնելու եղանակը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087513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>հրապարակում</w:t>
            </w:r>
            <w:r w:rsidR="005E08A2" w:rsidRPr="00495032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495032">
              <w:rPr>
                <w:rStyle w:val="Bodytext211pt0"/>
                <w:rFonts w:ascii="Sylfaen" w:hAnsi="Sylfaen"/>
                <w:sz w:val="20"/>
                <w:szCs w:val="20"/>
              </w:rPr>
              <w:t xml:space="preserve"> Եվրասիական տնտեսական միության տեղեկատվական պորտալում</w:t>
            </w:r>
          </w:p>
        </w:tc>
      </w:tr>
    </w:tbl>
    <w:p w:rsidR="00087513" w:rsidRPr="009C7AFC" w:rsidRDefault="00087513" w:rsidP="0008751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  <w:sectPr w:rsidR="00087513" w:rsidRPr="009C7AFC" w:rsidSect="003732D3">
          <w:footerReference w:type="default" r:id="rId8"/>
          <w:pgSz w:w="11907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  <w:r w:rsidRPr="009C7AFC">
        <w:rPr>
          <w:rFonts w:ascii="Sylfaen" w:hAnsi="Sylfaen"/>
          <w:sz w:val="24"/>
          <w:szCs w:val="24"/>
        </w:rPr>
        <w:t>_____________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>ՀԱՎԵԼՎԱԾ ԹԻՎ 1</w:t>
      </w:r>
    </w:p>
    <w:p w:rsidR="00375A5F" w:rsidRPr="009C7AFC" w:rsidRDefault="00375A5F" w:rsidP="00087513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</w:t>
      </w:r>
      <w:r w:rsidR="00087513" w:rsidRPr="009C7AFC">
        <w:rPr>
          <w:rFonts w:ascii="Sylfaen" w:hAnsi="Sylfaen"/>
          <w:sz w:val="24"/>
          <w:szCs w:val="24"/>
        </w:rPr>
        <w:br/>
      </w:r>
      <w:r w:rsidRPr="00495032">
        <w:rPr>
          <w:rFonts w:ascii="Sylfaen" w:hAnsi="Sylfaen"/>
          <w:sz w:val="24"/>
          <w:szCs w:val="24"/>
        </w:rPr>
        <w:t>դասակարգչի անձնագրի</w:t>
      </w:r>
    </w:p>
    <w:p w:rsidR="00087513" w:rsidRPr="009C7AFC" w:rsidRDefault="00087513" w:rsidP="00087513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</w:p>
    <w:p w:rsidR="000C68E9" w:rsidRPr="00495032" w:rsidRDefault="00566CE4" w:rsidP="00087513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95032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0C68E9" w:rsidRPr="009C7AFC" w:rsidRDefault="00566CE4" w:rsidP="00087513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</w:t>
      </w:r>
      <w:r w:rsidR="00087513" w:rsidRPr="00495032">
        <w:rPr>
          <w:rFonts w:ascii="Sylfaen" w:hAnsi="Sylfaen"/>
          <w:sz w:val="24"/>
          <w:szCs w:val="24"/>
        </w:rPr>
        <w:br/>
      </w:r>
      <w:r w:rsidRPr="00495032">
        <w:rPr>
          <w:rFonts w:ascii="Sylfaen" w:hAnsi="Sylfaen"/>
          <w:sz w:val="24"/>
          <w:szCs w:val="24"/>
        </w:rPr>
        <w:t xml:space="preserve">դասակարգչի </w:t>
      </w:r>
      <w:bookmarkStart w:id="1" w:name="bookmark4"/>
      <w:r w:rsidRPr="00495032">
        <w:rPr>
          <w:rFonts w:ascii="Sylfaen" w:hAnsi="Sylfaen"/>
          <w:sz w:val="24"/>
          <w:szCs w:val="24"/>
        </w:rPr>
        <w:t>վարման</w:t>
      </w:r>
      <w:bookmarkEnd w:id="1"/>
    </w:p>
    <w:p w:rsidR="00087513" w:rsidRPr="009C7AFC" w:rsidRDefault="00087513" w:rsidP="00087513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p w:rsidR="000C68E9" w:rsidRPr="00495032" w:rsidRDefault="00074793" w:rsidP="0008751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I. Ընդհանուր դրույթները</w:t>
      </w:r>
    </w:p>
    <w:p w:rsidR="000C68E9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1.</w:t>
      </w:r>
      <w:r w:rsidR="00087513" w:rsidRPr="009C7AFC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>Սույն կարգը մշակվել է Եվրասիական տնտեսական միության (այսուհետ՝ Միություն) իրավունքի մաս կազմող հետ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յալ ակտերին համապատասխան՝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Եվրասիական տնտեսական հանձնաժողովի խորհրդի 2016 թվականի նոյեմբերի 3-ի «Բժշկական կիրառման դեղամիջոցների գրանցման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փորձաքննության կանոնների մասին» թիվ 78 որոշում.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Եվրասիական տնտեսական հանձնաժողովի կոլեգիայի 2015 թվականի նոյեմբերի 17-ի «Եվրասիական տնտեսական միության նորմատիվ-տեղեկատու տեղեկատվության միասնական համակարգի մասին» թիվ 155 որոշում</w:t>
      </w:r>
      <w:r w:rsidR="005E08A2" w:rsidRPr="00495032">
        <w:rPr>
          <w:rFonts w:ascii="Sylfaen" w:hAnsi="Sylfaen"/>
          <w:sz w:val="24"/>
          <w:szCs w:val="24"/>
        </w:rPr>
        <w:t>.</w:t>
      </w:r>
      <w:r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495032" w:rsidRDefault="00C643EC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Եվրասիական տնտեսական հանձնաժողովի կոլեգիայի 2016 թվականի հոկտեմբերի 25-ի ««Եվրասիական տնտեսական միության գրանցված դեղամիջոցների միասնական ռեեստրի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ավորում, վարում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օգտագործում» ընդհանուր գործընթացն արտաքին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փոխադարձ առ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122 որոշում.</w:t>
      </w:r>
    </w:p>
    <w:p w:rsidR="000C68E9" w:rsidRPr="009C7AFC" w:rsidRDefault="00885435" w:rsidP="00087513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2017 թվականի </w:t>
      </w:r>
      <w:r w:rsidRPr="00495032">
        <w:rPr>
          <w:rFonts w:ascii="Sylfaen" w:hAnsi="Sylfaen"/>
          <w:spacing w:val="-6"/>
          <w:sz w:val="24"/>
          <w:szCs w:val="24"/>
        </w:rPr>
        <w:t>հունիսի 30-ի «</w:t>
      </w:r>
      <w:r w:rsidR="00C643EC" w:rsidRPr="00495032">
        <w:rPr>
          <w:rFonts w:ascii="Sylfaen" w:hAnsi="Sylfaen"/>
          <w:spacing w:val="-6"/>
          <w:sz w:val="24"/>
          <w:szCs w:val="24"/>
        </w:rPr>
        <w:t xml:space="preserve">Բժշկական կիրառման համար դեղապատրաստուկների գրանցման </w:t>
      </w:r>
      <w:r w:rsidR="009C7AFC">
        <w:rPr>
          <w:rFonts w:ascii="Sylfaen" w:hAnsi="Sylfaen"/>
          <w:spacing w:val="-6"/>
          <w:sz w:val="24"/>
          <w:szCs w:val="24"/>
        </w:rPr>
        <w:t>և</w:t>
      </w:r>
      <w:r w:rsidR="00C643EC" w:rsidRPr="00495032">
        <w:rPr>
          <w:rFonts w:ascii="Sylfaen" w:hAnsi="Sylfaen"/>
          <w:spacing w:val="-6"/>
          <w:sz w:val="24"/>
          <w:szCs w:val="24"/>
        </w:rPr>
        <w:t xml:space="preserve"> փորձաքննության</w:t>
      </w:r>
      <w:r w:rsidR="00C643EC" w:rsidRPr="00495032">
        <w:rPr>
          <w:rFonts w:ascii="Sylfaen" w:hAnsi="Sylfaen"/>
          <w:sz w:val="24"/>
          <w:szCs w:val="24"/>
        </w:rPr>
        <w:t xml:space="preserve"> իրականացման ժամանակ ներկայացվող՝ էլեկտրոնային տարբերակով հայտերին </w:t>
      </w:r>
      <w:r w:rsidR="009C7AFC">
        <w:rPr>
          <w:rFonts w:ascii="Sylfaen" w:hAnsi="Sylfaen"/>
          <w:sz w:val="24"/>
          <w:szCs w:val="24"/>
        </w:rPr>
        <w:t>և</w:t>
      </w:r>
      <w:r w:rsidR="00C643EC" w:rsidRPr="00495032">
        <w:rPr>
          <w:rFonts w:ascii="Sylfaen" w:hAnsi="Sylfaen"/>
          <w:sz w:val="24"/>
          <w:szCs w:val="24"/>
        </w:rPr>
        <w:t xml:space="preserve"> գրանցման դոսյեի փաստաթղթերին ներկայացվող պահանջների մասին</w:t>
      </w:r>
      <w:r w:rsidRPr="00495032">
        <w:rPr>
          <w:rFonts w:ascii="Sylfaen" w:hAnsi="Sylfaen"/>
          <w:sz w:val="24"/>
          <w:szCs w:val="24"/>
        </w:rPr>
        <w:t>» թիվ 79 որոշում</w:t>
      </w:r>
      <w:r w:rsidR="005E08A2" w:rsidRPr="00495032">
        <w:rPr>
          <w:rFonts w:ascii="Sylfaen" w:hAnsi="Sylfaen"/>
          <w:sz w:val="24"/>
          <w:szCs w:val="24"/>
        </w:rPr>
        <w:t>:</w:t>
      </w:r>
    </w:p>
    <w:p w:rsidR="00087513" w:rsidRPr="009C7AFC" w:rsidRDefault="00087513" w:rsidP="00087513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</w:p>
    <w:p w:rsidR="000C68E9" w:rsidRPr="00495032" w:rsidRDefault="00A16B87" w:rsidP="00763407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II. Կիրառության ոլորտը</w:t>
      </w:r>
    </w:p>
    <w:p w:rsidR="000C68E9" w:rsidRPr="00495032" w:rsidRDefault="00A16B87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2.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Սույն կարգով սահմանվում են դեղամիջոցների անատոմիական-բուժական-քիմիական դասակարգչի (այսուհետ՝ դասակարգիչ) </w:t>
      </w:r>
      <w:r w:rsidR="00622E89" w:rsidRPr="00495032">
        <w:rPr>
          <w:rFonts w:ascii="Sylfaen" w:hAnsi="Sylfaen"/>
          <w:sz w:val="24"/>
          <w:szCs w:val="24"/>
        </w:rPr>
        <w:t xml:space="preserve">վարման </w:t>
      </w:r>
      <w:r w:rsidRPr="00495032">
        <w:rPr>
          <w:rFonts w:ascii="Sylfaen" w:hAnsi="Sylfaen"/>
          <w:sz w:val="24"/>
          <w:szCs w:val="24"/>
        </w:rPr>
        <w:t xml:space="preserve">ընթացակարգերը: </w:t>
      </w:r>
    </w:p>
    <w:p w:rsidR="000C68E9" w:rsidRPr="009C7AFC" w:rsidRDefault="00A16B87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3.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Սույն կարգը կիրառվում է </w:t>
      </w:r>
      <w:r w:rsidR="006D2FE9" w:rsidRPr="00495032">
        <w:rPr>
          <w:rFonts w:ascii="Sylfaen" w:hAnsi="Sylfaen"/>
          <w:sz w:val="24"/>
          <w:szCs w:val="24"/>
        </w:rPr>
        <w:t xml:space="preserve">դասակարգիչը </w:t>
      </w:r>
      <w:r w:rsidRPr="00495032">
        <w:rPr>
          <w:rFonts w:ascii="Sylfaen" w:hAnsi="Sylfaen"/>
          <w:sz w:val="24"/>
          <w:szCs w:val="24"/>
        </w:rPr>
        <w:t>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ավորելիս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դասակարգչի առանձին դիրքերում փոփոխություններ կատարելիս: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87513" w:rsidRPr="009C7AFC" w:rsidRDefault="00087513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</w:p>
    <w:p w:rsidR="000C68E9" w:rsidRPr="00495032" w:rsidRDefault="004817AD" w:rsidP="00087513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III. Հիմնական հասկացությունները</w:t>
      </w:r>
    </w:p>
    <w:p w:rsidR="000C68E9" w:rsidRPr="00495032" w:rsidRDefault="004817AD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4.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>Սույն կարգում օգտագործվող հասկացությունները կիրառվում են դեղամիջոցների շրջանառության ոլորտում Եվրասիական տնտեսական հանձնաժողովի ակտերով, ինչպես նա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Միության ինտեգրված տեղեկատվական համակարգի ստեղծման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զարգացման հարցերով</w:t>
      </w:r>
      <w:r w:rsidR="006D2FE9" w:rsidRPr="00495032">
        <w:rPr>
          <w:rFonts w:ascii="Sylfaen" w:hAnsi="Sylfaen"/>
          <w:sz w:val="24"/>
          <w:szCs w:val="24"/>
        </w:rPr>
        <w:t>՝</w:t>
      </w:r>
      <w:r w:rsidRPr="00495032">
        <w:rPr>
          <w:rFonts w:ascii="Sylfaen" w:hAnsi="Sylfaen"/>
          <w:sz w:val="24"/>
          <w:szCs w:val="24"/>
        </w:rPr>
        <w:t xml:space="preserve"> Եվրասիական տնտեսական հանձնաժողովի ակտերով սահմանված իմաստներով: </w:t>
      </w:r>
    </w:p>
    <w:p w:rsidR="00087513" w:rsidRPr="00495032" w:rsidRDefault="00087513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</w:p>
    <w:p w:rsidR="000C68E9" w:rsidRPr="00495032" w:rsidRDefault="004817AD" w:rsidP="00087513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IV. Դասակարգչի վարման սկզբունքները</w:t>
      </w:r>
    </w:p>
    <w:p w:rsidR="000C68E9" w:rsidRPr="00495032" w:rsidRDefault="004817AD" w:rsidP="0008751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5.</w:t>
      </w:r>
      <w:r w:rsidR="00087513" w:rsidRPr="009C7AFC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>Դասակարգիչը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ավորվում է </w:t>
      </w:r>
      <w:r w:rsidR="006D2FE9" w:rsidRPr="00495032">
        <w:rPr>
          <w:rFonts w:ascii="Sylfaen" w:hAnsi="Sylfaen"/>
          <w:sz w:val="24"/>
          <w:szCs w:val="24"/>
        </w:rPr>
        <w:t xml:space="preserve">Առողջապահության համաշխարհային կազմակերպության </w:t>
      </w:r>
      <w:r w:rsidR="00CE0DD0" w:rsidRPr="00495032">
        <w:rPr>
          <w:rFonts w:ascii="Sylfaen" w:hAnsi="Sylfaen"/>
          <w:sz w:val="24"/>
          <w:szCs w:val="24"/>
        </w:rPr>
        <w:t>(</w:t>
      </w:r>
      <w:r w:rsidR="006D2FE9" w:rsidRPr="00495032">
        <w:rPr>
          <w:rFonts w:ascii="Sylfaen" w:hAnsi="Sylfaen"/>
          <w:sz w:val="24"/>
          <w:szCs w:val="24"/>
        </w:rPr>
        <w:t>ԱՀԿ</w:t>
      </w:r>
      <w:r w:rsidR="00CE0DD0" w:rsidRPr="00495032">
        <w:rPr>
          <w:rFonts w:ascii="Sylfaen" w:hAnsi="Sylfaen"/>
          <w:sz w:val="24"/>
          <w:szCs w:val="24"/>
        </w:rPr>
        <w:t>)</w:t>
      </w:r>
      <w:r w:rsidR="006D2FE9" w:rsidRPr="00495032">
        <w:rPr>
          <w:rFonts w:ascii="Sylfaen" w:hAnsi="Sylfaen"/>
          <w:sz w:val="24"/>
          <w:szCs w:val="24"/>
        </w:rPr>
        <w:t xml:space="preserve">՝ դեղամիջոցների վիճակագրական հետազոտությունների մեթոդաբանության ոլորտում համագործակցության կենտրոնի կողմից առաջարկվող՝ </w:t>
      </w:r>
      <w:r w:rsidRPr="00495032">
        <w:rPr>
          <w:rFonts w:ascii="Sylfaen" w:hAnsi="Sylfaen"/>
          <w:sz w:val="24"/>
          <w:szCs w:val="24"/>
        </w:rPr>
        <w:t>անատոմիական-բուժական-քիմիական դասակարգման ծածկագրերի (այսուհետ՝ ծածկագրեր) ցանկ</w:t>
      </w:r>
      <w:r w:rsidR="006D2FE9" w:rsidRPr="00495032">
        <w:rPr>
          <w:rFonts w:ascii="Sylfaen" w:hAnsi="Sylfaen"/>
          <w:sz w:val="24"/>
          <w:szCs w:val="24"/>
        </w:rPr>
        <w:t>եր</w:t>
      </w:r>
      <w:r w:rsidRPr="00495032">
        <w:rPr>
          <w:rFonts w:ascii="Sylfaen" w:hAnsi="Sylfaen"/>
          <w:sz w:val="24"/>
          <w:szCs w:val="24"/>
        </w:rPr>
        <w:t>ում</w:t>
      </w:r>
      <w:r w:rsidR="006D2FE9" w:rsidRPr="00495032">
        <w:rPr>
          <w:rFonts w:ascii="Sylfaen" w:hAnsi="Sylfaen"/>
          <w:sz w:val="24"/>
          <w:szCs w:val="24"/>
        </w:rPr>
        <w:t xml:space="preserve"> </w:t>
      </w:r>
      <w:r w:rsidRPr="00495032">
        <w:rPr>
          <w:rFonts w:ascii="Sylfaen" w:hAnsi="Sylfaen"/>
          <w:sz w:val="24"/>
          <w:szCs w:val="24"/>
        </w:rPr>
        <w:t>ներառված տեղեկությունների հիման վրա: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495032" w:rsidRDefault="004817AD" w:rsidP="00087513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>6.</w:t>
      </w:r>
      <w:r w:rsidR="00087513" w:rsidRPr="00495032">
        <w:rPr>
          <w:rFonts w:ascii="Sylfaen" w:hAnsi="Sylfaen"/>
          <w:sz w:val="24"/>
          <w:szCs w:val="24"/>
        </w:rPr>
        <w:tab/>
      </w:r>
      <w:r w:rsidR="00CE0DD0" w:rsidRPr="00495032">
        <w:rPr>
          <w:rFonts w:ascii="Sylfaen" w:hAnsi="Sylfaen"/>
          <w:sz w:val="24"/>
          <w:szCs w:val="24"/>
        </w:rPr>
        <w:t xml:space="preserve">Միության տեղեկատվական պորտալում հրապարակելու համար </w:t>
      </w:r>
      <w:r w:rsidR="007E32EE" w:rsidRPr="00495032">
        <w:rPr>
          <w:rFonts w:ascii="Sylfaen" w:hAnsi="Sylfaen"/>
          <w:sz w:val="24"/>
          <w:szCs w:val="24"/>
        </w:rPr>
        <w:t xml:space="preserve">դասակարգչից </w:t>
      </w:r>
      <w:r w:rsidR="00CE0DD0" w:rsidRPr="00495032">
        <w:rPr>
          <w:rFonts w:ascii="Sylfaen" w:hAnsi="Sylfaen"/>
          <w:sz w:val="24"/>
          <w:szCs w:val="24"/>
        </w:rPr>
        <w:t xml:space="preserve">տեղեկությունները դասակարգչի օպերատորի կողմից </w:t>
      </w:r>
      <w:r w:rsidR="007E32EE" w:rsidRPr="00495032">
        <w:rPr>
          <w:rFonts w:ascii="Sylfaen" w:hAnsi="Sylfaen"/>
          <w:sz w:val="24"/>
          <w:szCs w:val="24"/>
        </w:rPr>
        <w:t xml:space="preserve">փոխանցվում են ադմինիստրատորին </w:t>
      </w:r>
      <w:r w:rsidR="00CE0DD0" w:rsidRPr="00495032">
        <w:rPr>
          <w:rFonts w:ascii="Sylfaen" w:hAnsi="Sylfaen"/>
          <w:sz w:val="24"/>
          <w:szCs w:val="24"/>
        </w:rPr>
        <w:t>XML</w:t>
      </w:r>
      <w:r w:rsidR="005E08A2" w:rsidRPr="00495032">
        <w:rPr>
          <w:rFonts w:ascii="Sylfaen" w:hAnsi="Sylfaen"/>
          <w:sz w:val="24"/>
          <w:szCs w:val="24"/>
        </w:rPr>
        <w:t xml:space="preserve"> </w:t>
      </w:r>
      <w:r w:rsidR="00CE0DD0" w:rsidRPr="00495032">
        <w:rPr>
          <w:rFonts w:ascii="Sylfaen" w:hAnsi="Sylfaen"/>
          <w:sz w:val="24"/>
          <w:szCs w:val="24"/>
        </w:rPr>
        <w:t>փաստաթղթի տեսքով</w:t>
      </w:r>
      <w:r w:rsidR="007E32EE" w:rsidRPr="00495032">
        <w:rPr>
          <w:rFonts w:ascii="Sylfaen" w:hAnsi="Sylfaen"/>
          <w:sz w:val="24"/>
          <w:szCs w:val="24"/>
        </w:rPr>
        <w:t>՝</w:t>
      </w:r>
      <w:r w:rsidR="00CE0DD0" w:rsidRPr="00495032">
        <w:rPr>
          <w:rFonts w:ascii="Sylfaen" w:hAnsi="Sylfaen"/>
          <w:sz w:val="24"/>
          <w:szCs w:val="24"/>
        </w:rPr>
        <w:t xml:space="preserve"> </w:t>
      </w:r>
      <w:r w:rsidR="007E32EE" w:rsidRPr="00495032">
        <w:rPr>
          <w:rFonts w:ascii="Sylfaen" w:hAnsi="Sylfaen"/>
          <w:sz w:val="24"/>
          <w:szCs w:val="24"/>
        </w:rPr>
        <w:t>«</w:t>
      </w:r>
      <w:r w:rsidR="00CE0DD0"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դասակարգչի կառուցվածքի </w:t>
      </w:r>
      <w:r w:rsidR="009C7AFC">
        <w:rPr>
          <w:rFonts w:ascii="Sylfaen" w:hAnsi="Sylfaen"/>
          <w:sz w:val="24"/>
          <w:szCs w:val="24"/>
        </w:rPr>
        <w:t>և</w:t>
      </w:r>
      <w:r w:rsidR="00CE0DD0" w:rsidRPr="00495032">
        <w:rPr>
          <w:rFonts w:ascii="Sylfaen" w:hAnsi="Sylfaen"/>
          <w:sz w:val="24"/>
          <w:szCs w:val="24"/>
        </w:rPr>
        <w:t xml:space="preserve"> վավերապայման</w:t>
      </w:r>
      <w:r w:rsidR="007E32EE" w:rsidRPr="00495032">
        <w:rPr>
          <w:rFonts w:ascii="Sylfaen" w:hAnsi="Sylfaen"/>
          <w:sz w:val="24"/>
          <w:szCs w:val="24"/>
        </w:rPr>
        <w:t>ների</w:t>
      </w:r>
      <w:r w:rsidR="00CE0DD0" w:rsidRPr="00495032">
        <w:rPr>
          <w:rFonts w:ascii="Sylfaen" w:hAnsi="Sylfaen"/>
          <w:sz w:val="24"/>
          <w:szCs w:val="24"/>
        </w:rPr>
        <w:t xml:space="preserve"> կազմի նկարագրությանը</w:t>
      </w:r>
      <w:r w:rsidR="007E32EE" w:rsidRPr="00495032">
        <w:rPr>
          <w:rFonts w:ascii="Sylfaen" w:hAnsi="Sylfaen"/>
          <w:sz w:val="24"/>
          <w:szCs w:val="24"/>
        </w:rPr>
        <w:t>»</w:t>
      </w:r>
      <w:r w:rsidR="00CE0DD0" w:rsidRPr="00495032">
        <w:rPr>
          <w:rFonts w:ascii="Sylfaen" w:hAnsi="Sylfaen"/>
          <w:sz w:val="24"/>
          <w:szCs w:val="24"/>
        </w:rPr>
        <w:t xml:space="preserve"> համապատասխան (դեղամիջոցների անատոմիական-բուժական-քիմիական դասակարգչի անձնագրի 2-րդ հավելված, Եվրասիական տնտեսական հանձնաժողովի 2018 թվականի ապրիլի 10-ի թիվ 50</w:t>
      </w:r>
      <w:r w:rsidRPr="00495032">
        <w:rPr>
          <w:rFonts w:ascii="Sylfaen" w:hAnsi="Sylfaen"/>
          <w:sz w:val="24"/>
          <w:szCs w:val="24"/>
        </w:rPr>
        <w:t xml:space="preserve"> </w:t>
      </w:r>
      <w:r w:rsidR="00CE0DD0" w:rsidRPr="00495032">
        <w:rPr>
          <w:rFonts w:ascii="Sylfaen" w:hAnsi="Sylfaen"/>
          <w:sz w:val="24"/>
          <w:szCs w:val="24"/>
        </w:rPr>
        <w:t>որոշ</w:t>
      </w:r>
      <w:r w:rsidR="00543F3B" w:rsidRPr="00495032">
        <w:rPr>
          <w:rFonts w:ascii="Sylfaen" w:hAnsi="Sylfaen"/>
          <w:sz w:val="24"/>
          <w:szCs w:val="24"/>
        </w:rPr>
        <w:t>ու</w:t>
      </w:r>
      <w:r w:rsidR="00CE0DD0" w:rsidRPr="00495032">
        <w:rPr>
          <w:rFonts w:ascii="Sylfaen" w:hAnsi="Sylfaen"/>
          <w:sz w:val="24"/>
          <w:szCs w:val="24"/>
        </w:rPr>
        <w:t>մ)</w:t>
      </w:r>
      <w:r w:rsidR="007E32EE" w:rsidRPr="00495032">
        <w:rPr>
          <w:rFonts w:ascii="Sylfaen" w:hAnsi="Sylfaen"/>
          <w:sz w:val="24"/>
          <w:szCs w:val="24"/>
        </w:rPr>
        <w:t>՝</w:t>
      </w:r>
      <w:r w:rsidR="00CE0DD0" w:rsidRPr="00495032">
        <w:rPr>
          <w:rFonts w:ascii="Sylfaen" w:hAnsi="Sylfaen"/>
          <w:sz w:val="24"/>
          <w:szCs w:val="24"/>
        </w:rPr>
        <w:t xml:space="preserve"> դասակարգչի </w:t>
      </w:r>
      <w:r w:rsidR="007E32EE" w:rsidRPr="00495032">
        <w:rPr>
          <w:rFonts w:ascii="Sylfaen" w:hAnsi="Sylfaen"/>
          <w:sz w:val="24"/>
          <w:szCs w:val="24"/>
        </w:rPr>
        <w:t xml:space="preserve">օպերատորի </w:t>
      </w:r>
      <w:r w:rsidR="009C7AFC">
        <w:rPr>
          <w:rFonts w:ascii="Sylfaen" w:hAnsi="Sylfaen"/>
          <w:sz w:val="24"/>
          <w:szCs w:val="24"/>
        </w:rPr>
        <w:t>և</w:t>
      </w:r>
      <w:r w:rsidR="00CE0DD0" w:rsidRPr="00495032">
        <w:rPr>
          <w:rFonts w:ascii="Sylfaen" w:hAnsi="Sylfaen"/>
          <w:sz w:val="24"/>
          <w:szCs w:val="24"/>
        </w:rPr>
        <w:t xml:space="preserve"> ադմինիստրատորի միջ</w:t>
      </w:r>
      <w:r w:rsidR="009C7AFC">
        <w:rPr>
          <w:rFonts w:ascii="Sylfaen" w:hAnsi="Sylfaen"/>
          <w:sz w:val="24"/>
          <w:szCs w:val="24"/>
        </w:rPr>
        <w:t>և</w:t>
      </w:r>
      <w:r w:rsidR="00CE0DD0" w:rsidRPr="00495032">
        <w:rPr>
          <w:rFonts w:ascii="Sylfaen" w:hAnsi="Sylfaen"/>
          <w:sz w:val="24"/>
          <w:szCs w:val="24"/>
        </w:rPr>
        <w:t xml:space="preserve"> պայմանագրի հիման վրա: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7.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Դասակարգչի սկզբնական համալրման համար դասակարգչի օպերատորն ապահովում է փոխանցման պահին արդիական տեղեկությունների փոխանցում ադմինիստրատորին: </w:t>
      </w:r>
    </w:p>
    <w:p w:rsidR="000C68E9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8.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>Դասակարգչի օպերատորը ադմինիստրատորին է ներկայացնում դասակարգչի դիրք</w:t>
      </w:r>
      <w:r w:rsidR="00150F4E" w:rsidRPr="00495032">
        <w:rPr>
          <w:rFonts w:ascii="Sylfaen" w:hAnsi="Sylfaen"/>
          <w:sz w:val="24"/>
          <w:szCs w:val="24"/>
        </w:rPr>
        <w:t>եր</w:t>
      </w:r>
      <w:r w:rsidRPr="00495032">
        <w:rPr>
          <w:rFonts w:ascii="Sylfaen" w:hAnsi="Sylfaen"/>
          <w:sz w:val="24"/>
          <w:szCs w:val="24"/>
        </w:rPr>
        <w:t>ում կատարված փոփոխությունների մասին տեղեկություններ ոչ ուշ</w:t>
      </w:r>
      <w:r w:rsidR="000C66D5" w:rsidRPr="00495032">
        <w:rPr>
          <w:rFonts w:ascii="Sylfaen" w:hAnsi="Sylfaen"/>
          <w:sz w:val="24"/>
          <w:szCs w:val="24"/>
        </w:rPr>
        <w:t>,</w:t>
      </w:r>
      <w:r w:rsidRPr="00495032">
        <w:rPr>
          <w:rFonts w:ascii="Sylfaen" w:hAnsi="Sylfaen"/>
          <w:sz w:val="24"/>
          <w:szCs w:val="24"/>
        </w:rPr>
        <w:t xml:space="preserve"> քան ԱՀԿ-ի կողմից ծածկագրերի փոփոխությունների հերթական ցանկի հրապարակումից 5 աշխատանքային օր անց: </w:t>
      </w:r>
    </w:p>
    <w:p w:rsidR="000C68E9" w:rsidRPr="00495032" w:rsidRDefault="00B649CA" w:rsidP="00087513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9.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Ադմինիստրատորն ապահովում է Միության տեղեկատվական պորտալում դասակարգչից տեղեկությունների հրապարակումը: </w:t>
      </w:r>
    </w:p>
    <w:p w:rsidR="000C68E9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10.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Դասակարգչում կատարված փոփոխությունների </w:t>
      </w:r>
      <w:r w:rsidR="00150F4E" w:rsidRPr="00495032">
        <w:rPr>
          <w:rFonts w:ascii="Sylfaen" w:hAnsi="Sylfaen"/>
          <w:sz w:val="24"/>
          <w:szCs w:val="24"/>
        </w:rPr>
        <w:t xml:space="preserve">մասին </w:t>
      </w:r>
      <w:r w:rsidRPr="00495032">
        <w:rPr>
          <w:rFonts w:ascii="Sylfaen" w:hAnsi="Sylfaen"/>
          <w:sz w:val="24"/>
          <w:szCs w:val="24"/>
        </w:rPr>
        <w:t>դասակարգչի օգտագործող</w:t>
      </w:r>
      <w:r w:rsidR="00150F4E" w:rsidRPr="00495032">
        <w:rPr>
          <w:rFonts w:ascii="Sylfaen" w:hAnsi="Sylfaen"/>
          <w:sz w:val="24"/>
          <w:szCs w:val="24"/>
        </w:rPr>
        <w:t>ներ</w:t>
      </w:r>
      <w:r w:rsidRPr="00495032">
        <w:rPr>
          <w:rFonts w:ascii="Sylfaen" w:hAnsi="Sylfaen"/>
          <w:sz w:val="24"/>
          <w:szCs w:val="24"/>
        </w:rPr>
        <w:t>ի, ինչպես նա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Միության անդամ պետությունների լիազորված մարմինների (կազմակերպությունների) տեղեկացումն իրականացվում է </w:t>
      </w:r>
      <w:r w:rsidR="002C01CD" w:rsidRPr="00495032">
        <w:rPr>
          <w:rFonts w:ascii="Sylfaen" w:hAnsi="Sylfaen"/>
          <w:sz w:val="24"/>
          <w:szCs w:val="24"/>
        </w:rPr>
        <w:t xml:space="preserve">այդ </w:t>
      </w:r>
      <w:r w:rsidRPr="00495032">
        <w:rPr>
          <w:rFonts w:ascii="Sylfaen" w:hAnsi="Sylfaen"/>
          <w:sz w:val="24"/>
          <w:szCs w:val="24"/>
        </w:rPr>
        <w:t>փոփոխությունների հրապարակման փաստերով</w:t>
      </w:r>
      <w:r w:rsidR="0017156E" w:rsidRPr="00495032">
        <w:rPr>
          <w:rFonts w:ascii="Sylfaen" w:hAnsi="Sylfaen"/>
          <w:sz w:val="24"/>
          <w:szCs w:val="24"/>
        </w:rPr>
        <w:t>՝</w:t>
      </w:r>
      <w:r w:rsidRPr="00495032">
        <w:rPr>
          <w:rFonts w:ascii="Sylfaen" w:hAnsi="Sylfaen"/>
          <w:sz w:val="24"/>
          <w:szCs w:val="24"/>
        </w:rPr>
        <w:t xml:space="preserve"> Միության տեղեկատվական պորտալի միջոցներով: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  <w:r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495032" w:rsidRDefault="00B649CA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11.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EA35A3" w:rsidRPr="00495032">
        <w:rPr>
          <w:rFonts w:ascii="Sylfaen" w:hAnsi="Sylfaen"/>
          <w:sz w:val="24"/>
          <w:szCs w:val="24"/>
        </w:rPr>
        <w:t xml:space="preserve">խորհրդի </w:t>
      </w:r>
      <w:r w:rsidRPr="00495032">
        <w:rPr>
          <w:rFonts w:ascii="Sylfaen" w:hAnsi="Sylfaen"/>
          <w:sz w:val="24"/>
          <w:szCs w:val="24"/>
        </w:rPr>
        <w:t xml:space="preserve">2016 թվականի նոյեմբերի 3-ի թիվ 78 որոշմամբ հաստատված՝ </w:t>
      </w:r>
      <w:r w:rsidR="00EA35A3" w:rsidRPr="00495032">
        <w:rPr>
          <w:rFonts w:ascii="Sylfaen" w:hAnsi="Sylfaen"/>
          <w:sz w:val="24"/>
          <w:szCs w:val="24"/>
        </w:rPr>
        <w:t xml:space="preserve">«Բժշկական </w:t>
      </w:r>
      <w:r w:rsidRPr="00495032">
        <w:rPr>
          <w:rFonts w:ascii="Sylfaen" w:hAnsi="Sylfaen"/>
          <w:sz w:val="24"/>
          <w:szCs w:val="24"/>
        </w:rPr>
        <w:t xml:space="preserve">կիրառման համար նախատեսված դեղամիջոցների գրանցման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փորձաքննության կանոններով</w:t>
      </w:r>
      <w:r w:rsidR="00EA35A3" w:rsidRPr="00495032">
        <w:rPr>
          <w:rFonts w:ascii="Sylfaen" w:hAnsi="Sylfaen"/>
          <w:sz w:val="24"/>
          <w:szCs w:val="24"/>
        </w:rPr>
        <w:t>»</w:t>
      </w:r>
      <w:r w:rsidRPr="00495032">
        <w:rPr>
          <w:rFonts w:ascii="Sylfaen" w:hAnsi="Sylfaen"/>
          <w:sz w:val="24"/>
          <w:szCs w:val="24"/>
        </w:rPr>
        <w:t xml:space="preserve"> նախատեսված ընթացակարգերի կատարման </w:t>
      </w:r>
      <w:r w:rsidR="00EA35A3" w:rsidRPr="00495032">
        <w:rPr>
          <w:rFonts w:ascii="Sylfaen" w:hAnsi="Sylfaen"/>
          <w:sz w:val="24"/>
          <w:szCs w:val="24"/>
        </w:rPr>
        <w:t xml:space="preserve">մասին </w:t>
      </w:r>
      <w:r w:rsidRPr="00495032">
        <w:rPr>
          <w:rFonts w:ascii="Sylfaen" w:hAnsi="Sylfaen"/>
          <w:sz w:val="24"/>
          <w:szCs w:val="24"/>
        </w:rPr>
        <w:t xml:space="preserve">հայտը լրացնելիս </w:t>
      </w:r>
      <w:r w:rsidRPr="00495032">
        <w:rPr>
          <w:rFonts w:ascii="Sylfaen" w:hAnsi="Sylfaen"/>
          <w:sz w:val="24"/>
          <w:szCs w:val="24"/>
        </w:rPr>
        <w:lastRenderedPageBreak/>
        <w:t xml:space="preserve">դասակարգչում անհրաժեշտ դիրքի բացակայության դեպքում հայտատուն պետք է նշի ծածկագիր տալու </w:t>
      </w:r>
      <w:r w:rsidR="00EA35A3" w:rsidRPr="00495032">
        <w:rPr>
          <w:rFonts w:ascii="Sylfaen" w:hAnsi="Sylfaen"/>
          <w:sz w:val="24"/>
          <w:szCs w:val="24"/>
        </w:rPr>
        <w:t xml:space="preserve">համար </w:t>
      </w:r>
      <w:r w:rsidRPr="00495032">
        <w:rPr>
          <w:rFonts w:ascii="Sylfaen" w:hAnsi="Sylfaen"/>
          <w:sz w:val="24"/>
          <w:szCs w:val="24"/>
        </w:rPr>
        <w:t>ներկայացված հայտի վավերապայմանները (առկայության դեպքում):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9C7AFC" w:rsidRDefault="00074793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12.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Միության անդամ պետությունների լիազորված մարմիններ (կազմակերպություններ) չհանդիսացող անձանց </w:t>
      </w:r>
      <w:r w:rsidR="006C2555" w:rsidRPr="00495032">
        <w:rPr>
          <w:rFonts w:ascii="Sylfaen" w:hAnsi="Sylfaen"/>
          <w:sz w:val="24"/>
          <w:szCs w:val="24"/>
        </w:rPr>
        <w:t xml:space="preserve">կողմից </w:t>
      </w:r>
      <w:r w:rsidRPr="00495032">
        <w:rPr>
          <w:rFonts w:ascii="Sylfaen" w:hAnsi="Sylfaen"/>
          <w:sz w:val="24"/>
          <w:szCs w:val="24"/>
        </w:rPr>
        <w:t xml:space="preserve">ուղղակի </w:t>
      </w:r>
      <w:r w:rsidR="00EA35A3" w:rsidRPr="00495032">
        <w:rPr>
          <w:rFonts w:ascii="Sylfaen" w:hAnsi="Sylfaen"/>
          <w:sz w:val="24"/>
          <w:szCs w:val="24"/>
        </w:rPr>
        <w:t xml:space="preserve">դիմելը </w:t>
      </w:r>
      <w:r w:rsidRPr="00495032">
        <w:rPr>
          <w:rFonts w:ascii="Sylfaen" w:hAnsi="Sylfaen"/>
          <w:sz w:val="24"/>
          <w:szCs w:val="24"/>
        </w:rPr>
        <w:t>դասակարգչի օպերատորին դասակարգչի դիրքերում փոփոխություններ կա</w:t>
      </w:r>
      <w:r w:rsidR="00EA35A3" w:rsidRPr="00495032">
        <w:rPr>
          <w:rFonts w:ascii="Sylfaen" w:hAnsi="Sylfaen"/>
          <w:sz w:val="24"/>
          <w:szCs w:val="24"/>
        </w:rPr>
        <w:t>տ</w:t>
      </w:r>
      <w:r w:rsidRPr="00495032">
        <w:rPr>
          <w:rFonts w:ascii="Sylfaen" w:hAnsi="Sylfaen"/>
          <w:sz w:val="24"/>
          <w:szCs w:val="24"/>
        </w:rPr>
        <w:t xml:space="preserve">արելու հարցով չի թույլատրվում: Հայտատուի նախաձեռնությամբ դեղամիջոցին նոր ծածկագիր տրվում է ԱՀԿ-ի՝ դեղամիջոցների վիճակագրական հետազոտությունների </w:t>
      </w:r>
      <w:r w:rsidR="006C2555" w:rsidRPr="00495032">
        <w:rPr>
          <w:rFonts w:ascii="Sylfaen" w:hAnsi="Sylfaen"/>
          <w:sz w:val="24"/>
          <w:szCs w:val="24"/>
        </w:rPr>
        <w:t xml:space="preserve">մեթոդաբանության ոլորտում </w:t>
      </w:r>
      <w:r w:rsidRPr="00495032">
        <w:rPr>
          <w:rFonts w:ascii="Sylfaen" w:hAnsi="Sylfaen"/>
          <w:sz w:val="24"/>
          <w:szCs w:val="24"/>
        </w:rPr>
        <w:t>համագործակցության կենտրոնի կողմից՝ վերջինիս կողմից սահմանվող կանոնակարգին համապատասխան: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87513" w:rsidRPr="009C7AFC" w:rsidRDefault="00087513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</w:p>
    <w:p w:rsidR="000C68E9" w:rsidRPr="00495032" w:rsidRDefault="00791091" w:rsidP="00376861">
      <w:pPr>
        <w:pStyle w:val="Bodytext20"/>
        <w:shd w:val="clear" w:color="auto" w:fill="auto"/>
        <w:spacing w:before="0" w:after="160" w:line="341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V. Դասակարգչի վարման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կիրառման համար անհրաժեշտ միջոցառումների նկարագրությունը</w:t>
      </w:r>
    </w:p>
    <w:p w:rsidR="000C68E9" w:rsidRPr="00495032" w:rsidRDefault="00074793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13.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Դասակարգչի արդիականացման նպատակով դասակարգչի օպերատորը ադմինիստրատորին է ներկայացնում Միության տեղեկատվական պորտալում հրապարակման համար նախատեսված տեղեկությունները: </w:t>
      </w:r>
    </w:p>
    <w:p w:rsidR="000C68E9" w:rsidRPr="00495032" w:rsidRDefault="00074793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14.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>Ադմինիստրատորը հաստատում է սկզբնական համալրման, ինչպես նա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դասակարգչի արդիականացման համար ներկայացված տեղեկությունների ստացումը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</w:t>
      </w:r>
      <w:r w:rsidR="00543F3B" w:rsidRPr="00495032">
        <w:rPr>
          <w:rFonts w:ascii="Sylfaen" w:hAnsi="Sylfaen"/>
          <w:sz w:val="24"/>
          <w:szCs w:val="24"/>
        </w:rPr>
        <w:t>բարե</w:t>
      </w:r>
      <w:r w:rsidR="00CE0DD0" w:rsidRPr="00495032">
        <w:rPr>
          <w:rFonts w:ascii="Sylfaen" w:hAnsi="Sylfaen"/>
          <w:sz w:val="24"/>
          <w:szCs w:val="24"/>
        </w:rPr>
        <w:t>հաջող</w:t>
      </w:r>
      <w:r w:rsidRPr="00495032">
        <w:rPr>
          <w:rFonts w:ascii="Sylfaen" w:hAnsi="Sylfaen"/>
          <w:sz w:val="24"/>
          <w:szCs w:val="24"/>
        </w:rPr>
        <w:t xml:space="preserve"> մշակումը` ռուսերենով դասակարգչի տեղեկությունների մշակման արձանագրությունը դասակարգչի օպերատորին ուղարկելու միջոցով: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  <w:r w:rsidRPr="00495032">
        <w:rPr>
          <w:rFonts w:ascii="Sylfaen" w:hAnsi="Sylfaen"/>
          <w:sz w:val="24"/>
          <w:szCs w:val="24"/>
        </w:rPr>
        <w:t xml:space="preserve">Սխալների բացակայության դեպքում ադմինիստրատորն ընդունում է ներկայացված տեղեկությունները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ապահովում է Միության տեղեկատվական </w:t>
      </w:r>
      <w:r w:rsidR="002D38BE" w:rsidRPr="00495032">
        <w:rPr>
          <w:rFonts w:ascii="Sylfaen" w:hAnsi="Sylfaen"/>
          <w:sz w:val="24"/>
          <w:szCs w:val="24"/>
        </w:rPr>
        <w:t xml:space="preserve">պորտալում </w:t>
      </w:r>
      <w:r w:rsidRPr="00495032">
        <w:rPr>
          <w:rFonts w:ascii="Sylfaen" w:hAnsi="Sylfaen"/>
          <w:sz w:val="24"/>
          <w:szCs w:val="24"/>
        </w:rPr>
        <w:t xml:space="preserve">դրանց հրապարակումը: </w:t>
      </w:r>
    </w:p>
    <w:p w:rsidR="000C68E9" w:rsidRPr="00495032" w:rsidRDefault="00074793" w:rsidP="0037686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15.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Եթե դասակարգչի տեղեկությունների մշակման արձանագրությունը պարունակում է սխալների նկարագրություն, դասակարգչի օպերատորը վերացնում է սխալները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կրկնում է ադմինիստրատորին տեղեկությունների փոխանցման գործընթացը: </w:t>
      </w:r>
    </w:p>
    <w:p w:rsidR="000C68E9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>16.</w:t>
      </w:r>
      <w:r w:rsidR="00087513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Ադմինիստրատորը </w:t>
      </w:r>
      <w:r w:rsidR="00C134F8" w:rsidRPr="00495032">
        <w:rPr>
          <w:rFonts w:ascii="Sylfaen" w:hAnsi="Sylfaen"/>
          <w:sz w:val="24"/>
          <w:szCs w:val="24"/>
        </w:rPr>
        <w:t xml:space="preserve">դասակարգչի օպերատորից ստացված տեղեկությունները </w:t>
      </w:r>
      <w:r w:rsidRPr="00495032">
        <w:rPr>
          <w:rFonts w:ascii="Sylfaen" w:hAnsi="Sylfaen"/>
          <w:sz w:val="24"/>
          <w:szCs w:val="24"/>
        </w:rPr>
        <w:t>հրապարակում է Միության տեղեկատվական պորտալում:</w:t>
      </w:r>
    </w:p>
    <w:p w:rsidR="006B17A1" w:rsidRPr="00495032" w:rsidRDefault="00074793" w:rsidP="0008751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17.</w:t>
      </w:r>
      <w:r w:rsidR="00087513" w:rsidRPr="00495032">
        <w:rPr>
          <w:rFonts w:ascii="Sylfaen" w:hAnsi="Sylfaen"/>
          <w:sz w:val="24"/>
          <w:szCs w:val="24"/>
        </w:rPr>
        <w:tab/>
      </w:r>
      <w:r w:rsidR="00C134F8" w:rsidRPr="00495032">
        <w:rPr>
          <w:rFonts w:ascii="Sylfaen" w:hAnsi="Sylfaen"/>
          <w:sz w:val="24"/>
          <w:szCs w:val="24"/>
        </w:rPr>
        <w:t>Մ</w:t>
      </w:r>
      <w:r w:rsidRPr="00495032">
        <w:rPr>
          <w:rFonts w:ascii="Sylfaen" w:hAnsi="Sylfaen"/>
          <w:sz w:val="24"/>
          <w:szCs w:val="24"/>
        </w:rPr>
        <w:t xml:space="preserve">իջոցառումների </w:t>
      </w:r>
      <w:r w:rsidR="00C134F8" w:rsidRPr="00495032">
        <w:rPr>
          <w:rFonts w:ascii="Sylfaen" w:hAnsi="Sylfaen"/>
          <w:sz w:val="24"/>
          <w:szCs w:val="24"/>
        </w:rPr>
        <w:t xml:space="preserve">կատարման </w:t>
      </w:r>
      <w:r w:rsidRPr="00495032">
        <w:rPr>
          <w:rFonts w:ascii="Sylfaen" w:hAnsi="Sylfaen"/>
          <w:sz w:val="24"/>
          <w:szCs w:val="24"/>
        </w:rPr>
        <w:t>արդյունք</w:t>
      </w:r>
      <w:r w:rsidR="002D38BE" w:rsidRPr="00495032">
        <w:rPr>
          <w:rFonts w:ascii="Sylfaen" w:hAnsi="Sylfaen"/>
          <w:sz w:val="24"/>
          <w:szCs w:val="24"/>
        </w:rPr>
        <w:t>ը</w:t>
      </w:r>
      <w:r w:rsidR="00C134F8" w:rsidRPr="00495032">
        <w:rPr>
          <w:rFonts w:ascii="Sylfaen" w:hAnsi="Sylfaen"/>
          <w:sz w:val="24"/>
          <w:szCs w:val="24"/>
        </w:rPr>
        <w:t xml:space="preserve"> Միության </w:t>
      </w:r>
      <w:r w:rsidRPr="00495032">
        <w:rPr>
          <w:rFonts w:ascii="Sylfaen" w:hAnsi="Sylfaen"/>
          <w:sz w:val="24"/>
          <w:szCs w:val="24"/>
        </w:rPr>
        <w:t>տեղեկատվական պորտալում հրապարակված արդիականացված դասակարգիչ</w:t>
      </w:r>
      <w:r w:rsidR="002D38BE" w:rsidRPr="00495032">
        <w:rPr>
          <w:rFonts w:ascii="Sylfaen" w:hAnsi="Sylfaen"/>
          <w:sz w:val="24"/>
          <w:szCs w:val="24"/>
        </w:rPr>
        <w:t>ն է</w:t>
      </w:r>
      <w:r w:rsidR="00CE0DD0" w:rsidRPr="00495032">
        <w:rPr>
          <w:rFonts w:ascii="Sylfaen" w:hAnsi="Sylfaen"/>
          <w:sz w:val="24"/>
          <w:szCs w:val="24"/>
        </w:rPr>
        <w:t>:</w:t>
      </w:r>
    </w:p>
    <w:p w:rsidR="00376861" w:rsidRPr="009C7AFC" w:rsidRDefault="00376861" w:rsidP="00087513">
      <w:pPr>
        <w:spacing w:after="160" w:line="360" w:lineRule="auto"/>
        <w:rPr>
          <w:rFonts w:ascii="Sylfaen" w:hAnsi="Sylfaen"/>
        </w:rPr>
      </w:pPr>
    </w:p>
    <w:p w:rsidR="00376861" w:rsidRPr="009C7AFC" w:rsidRDefault="00376861" w:rsidP="00087513">
      <w:pPr>
        <w:spacing w:after="160" w:line="360" w:lineRule="auto"/>
        <w:rPr>
          <w:rFonts w:ascii="Sylfaen" w:hAnsi="Sylfaen"/>
        </w:rPr>
        <w:sectPr w:rsidR="00376861" w:rsidRPr="009C7AFC" w:rsidSect="003732D3">
          <w:pgSz w:w="11907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</w:p>
    <w:p w:rsidR="00CA53A1" w:rsidRPr="00495032" w:rsidRDefault="00566CE4" w:rsidP="0037686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 xml:space="preserve">ՀԱՎԵԼՎԱԾ ԹԻՎ 2 </w:t>
      </w:r>
    </w:p>
    <w:p w:rsidR="000C68E9" w:rsidRPr="009C7AFC" w:rsidRDefault="00566CE4" w:rsidP="0037686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</w:t>
      </w:r>
      <w:r w:rsidR="00376861" w:rsidRPr="009C7AFC">
        <w:rPr>
          <w:rFonts w:ascii="Sylfaen" w:hAnsi="Sylfaen"/>
          <w:sz w:val="24"/>
          <w:szCs w:val="24"/>
        </w:rPr>
        <w:br/>
      </w:r>
      <w:r w:rsidRPr="00495032">
        <w:rPr>
          <w:rFonts w:ascii="Sylfaen" w:hAnsi="Sylfaen"/>
          <w:sz w:val="24"/>
          <w:szCs w:val="24"/>
        </w:rPr>
        <w:t>դասակարգչի անձնագրի</w:t>
      </w:r>
    </w:p>
    <w:p w:rsidR="00376861" w:rsidRPr="009C7AFC" w:rsidRDefault="00376861" w:rsidP="00087513">
      <w:pPr>
        <w:pStyle w:val="Bodytext20"/>
        <w:shd w:val="clear" w:color="auto" w:fill="auto"/>
        <w:spacing w:before="0" w:after="160" w:line="360" w:lineRule="auto"/>
        <w:ind w:left="4820" w:right="559"/>
        <w:jc w:val="center"/>
        <w:rPr>
          <w:rFonts w:ascii="Sylfaen" w:hAnsi="Sylfaen"/>
          <w:sz w:val="24"/>
          <w:szCs w:val="24"/>
        </w:rPr>
      </w:pPr>
    </w:p>
    <w:p w:rsidR="000C68E9" w:rsidRPr="00495032" w:rsidRDefault="00566CE4" w:rsidP="00376861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95032">
        <w:rPr>
          <w:rStyle w:val="Bodytext3Spacing2pt"/>
          <w:rFonts w:ascii="Sylfaen" w:hAnsi="Sylfaen"/>
          <w:b/>
          <w:spacing w:val="0"/>
          <w:sz w:val="24"/>
          <w:szCs w:val="24"/>
        </w:rPr>
        <w:t>ՆԿԱՐԱԳՐՈՒԹՅՈՒՆ</w:t>
      </w:r>
    </w:p>
    <w:p w:rsidR="000C68E9" w:rsidRPr="009C7AFC" w:rsidRDefault="00566CE4" w:rsidP="00376861">
      <w:pPr>
        <w:pStyle w:val="Bodytext30"/>
        <w:shd w:val="clear" w:color="auto" w:fill="auto"/>
        <w:spacing w:after="160" w:line="360" w:lineRule="auto"/>
        <w:ind w:left="567" w:right="566"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դասակարգչի կառուցվածքի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</w:t>
      </w:r>
      <w:r w:rsidR="002D38BE" w:rsidRPr="00495032">
        <w:rPr>
          <w:rFonts w:ascii="Sylfaen" w:hAnsi="Sylfaen"/>
          <w:sz w:val="24"/>
          <w:szCs w:val="24"/>
        </w:rPr>
        <w:t xml:space="preserve">վավերապայմանների </w:t>
      </w:r>
      <w:r w:rsidRPr="00495032">
        <w:rPr>
          <w:rFonts w:ascii="Sylfaen" w:hAnsi="Sylfaen"/>
          <w:sz w:val="24"/>
          <w:szCs w:val="24"/>
        </w:rPr>
        <w:t>կազմի</w:t>
      </w:r>
    </w:p>
    <w:p w:rsidR="00376861" w:rsidRPr="009C7AFC" w:rsidRDefault="00376861" w:rsidP="00376861">
      <w:pPr>
        <w:pStyle w:val="Bodytext30"/>
        <w:shd w:val="clear" w:color="auto" w:fill="auto"/>
        <w:spacing w:after="160" w:line="360" w:lineRule="auto"/>
        <w:ind w:left="567" w:right="566" w:firstLine="567"/>
        <w:rPr>
          <w:rFonts w:ascii="Sylfaen" w:hAnsi="Sylfaen"/>
          <w:sz w:val="24"/>
          <w:szCs w:val="24"/>
        </w:rPr>
      </w:pPr>
    </w:p>
    <w:p w:rsidR="000C68E9" w:rsidRPr="00495032" w:rsidRDefault="00074793" w:rsidP="003768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1.</w:t>
      </w:r>
      <w:r w:rsidR="00376861" w:rsidRPr="009C7AFC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Սույն </w:t>
      </w:r>
      <w:r w:rsidR="002D38BE" w:rsidRPr="00495032">
        <w:rPr>
          <w:rFonts w:ascii="Sylfaen" w:hAnsi="Sylfaen"/>
          <w:sz w:val="24"/>
          <w:szCs w:val="24"/>
        </w:rPr>
        <w:t xml:space="preserve">նկարագրությամբ </w:t>
      </w:r>
      <w:r w:rsidRPr="00495032">
        <w:rPr>
          <w:rFonts w:ascii="Sylfaen" w:hAnsi="Sylfaen"/>
          <w:sz w:val="24"/>
          <w:szCs w:val="24"/>
        </w:rPr>
        <w:t xml:space="preserve">սահմանվում են դեղամիջոցների անատոմիական-բուժական-քիմիական դասակարգչի (այսուհետ՝ դասակարգիչ) կառուցվածքին ներկայացվող պահանջները, այդ թվում որոշվում են դասակարգչի կառուցվածքի </w:t>
      </w:r>
      <w:r w:rsidR="002D38BE" w:rsidRPr="00495032">
        <w:rPr>
          <w:rFonts w:ascii="Sylfaen" w:hAnsi="Sylfaen"/>
          <w:sz w:val="24"/>
          <w:szCs w:val="24"/>
        </w:rPr>
        <w:t xml:space="preserve">վավերապայմանների </w:t>
      </w:r>
      <w:r w:rsidRPr="00495032">
        <w:rPr>
          <w:rFonts w:ascii="Sylfaen" w:hAnsi="Sylfaen"/>
          <w:sz w:val="24"/>
          <w:szCs w:val="24"/>
        </w:rPr>
        <w:t xml:space="preserve">կազմը, վավերապայմանների արժեքների տիրույթները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դրանց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ավորման կանոնները:</w:t>
      </w:r>
      <w:r w:rsidR="00087513" w:rsidRPr="00495032">
        <w:rPr>
          <w:rFonts w:ascii="Sylfaen" w:hAnsi="Sylfaen"/>
          <w:sz w:val="24"/>
          <w:szCs w:val="24"/>
        </w:rPr>
        <w:t xml:space="preserve"> </w:t>
      </w:r>
    </w:p>
    <w:p w:rsidR="000C68E9" w:rsidRPr="00495032" w:rsidRDefault="00A00225" w:rsidP="003768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2.</w:t>
      </w:r>
      <w:r w:rsidR="00376861" w:rsidRPr="00495032">
        <w:rPr>
          <w:rFonts w:ascii="Sylfaen" w:hAnsi="Sylfaen"/>
          <w:sz w:val="24"/>
          <w:szCs w:val="24"/>
        </w:rPr>
        <w:tab/>
      </w:r>
      <w:r w:rsidRPr="00495032">
        <w:rPr>
          <w:rFonts w:ascii="Sylfaen" w:hAnsi="Sylfaen"/>
          <w:sz w:val="24"/>
          <w:szCs w:val="24"/>
        </w:rPr>
        <w:t xml:space="preserve">Դասակարգչի կառուցվածքը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</w:t>
      </w:r>
      <w:r w:rsidR="002D38BE" w:rsidRPr="00495032">
        <w:rPr>
          <w:rFonts w:ascii="Sylfaen" w:hAnsi="Sylfaen"/>
          <w:sz w:val="24"/>
          <w:szCs w:val="24"/>
        </w:rPr>
        <w:t xml:space="preserve">վավերապայմանների </w:t>
      </w:r>
      <w:r w:rsidRPr="00495032">
        <w:rPr>
          <w:rFonts w:ascii="Sylfaen" w:hAnsi="Sylfaen"/>
          <w:sz w:val="24"/>
          <w:szCs w:val="24"/>
        </w:rPr>
        <w:t>կազմը բերված են աղյուսակում, որտեղ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ավորվում են </w:t>
      </w:r>
      <w:r w:rsidR="002D38BE" w:rsidRPr="00495032">
        <w:rPr>
          <w:rFonts w:ascii="Sylfaen" w:hAnsi="Sylfaen"/>
          <w:sz w:val="24"/>
          <w:szCs w:val="24"/>
        </w:rPr>
        <w:t>հետ</w:t>
      </w:r>
      <w:r w:rsidR="009C7AFC">
        <w:rPr>
          <w:rFonts w:ascii="Sylfaen" w:hAnsi="Sylfaen"/>
          <w:sz w:val="24"/>
          <w:szCs w:val="24"/>
        </w:rPr>
        <w:t>և</w:t>
      </w:r>
      <w:r w:rsidR="002D38BE" w:rsidRPr="00495032">
        <w:rPr>
          <w:rFonts w:ascii="Sylfaen" w:hAnsi="Sylfaen"/>
          <w:sz w:val="24"/>
          <w:szCs w:val="24"/>
        </w:rPr>
        <w:t xml:space="preserve">յալ </w:t>
      </w:r>
      <w:r w:rsidRPr="00495032">
        <w:rPr>
          <w:rFonts w:ascii="Sylfaen" w:hAnsi="Sylfaen"/>
          <w:sz w:val="24"/>
          <w:szCs w:val="24"/>
        </w:rPr>
        <w:t>տողերը (սյունակները)՝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«վավերապայմանի արժեքի տիրույթ»՝ տարրի իմաստը (</w:t>
      </w:r>
      <w:r w:rsidR="007C733E" w:rsidRPr="00495032">
        <w:rPr>
          <w:rFonts w:ascii="Sylfaen" w:hAnsi="Sylfaen"/>
          <w:sz w:val="24"/>
          <w:szCs w:val="24"/>
        </w:rPr>
        <w:t>իմաստաբանական նշանակությունը</w:t>
      </w:r>
      <w:r w:rsidRPr="00495032">
        <w:rPr>
          <w:rFonts w:ascii="Sylfaen" w:hAnsi="Sylfaen"/>
          <w:sz w:val="24"/>
          <w:szCs w:val="24"/>
        </w:rPr>
        <w:t>) պարզաբանող տեքստ.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«վավերապայմանի արժեքի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ավորման կանոններ»՝ վավերապայմանի նշանակությունը հստակեցնող, դրա ձ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ավորման (լրացման) կանոնները սահմանող տեքստ կամ տարրի հնարավոր արժեքների բառային նկարագրություն.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«բազմ.»</w:t>
      </w:r>
      <w:r w:rsidR="007C733E" w:rsidRPr="00495032">
        <w:rPr>
          <w:rFonts w:ascii="Sylfaen" w:hAnsi="Sylfaen"/>
          <w:sz w:val="24"/>
          <w:szCs w:val="24"/>
        </w:rPr>
        <w:t>՝</w:t>
      </w:r>
      <w:r w:rsidRPr="00495032">
        <w:rPr>
          <w:rFonts w:ascii="Sylfaen" w:hAnsi="Sylfaen"/>
          <w:sz w:val="24"/>
          <w:szCs w:val="24"/>
        </w:rPr>
        <w:t xml:space="preserve"> վավերապայմանի </w:t>
      </w:r>
      <w:r w:rsidR="0000140E" w:rsidRPr="00495032">
        <w:rPr>
          <w:rFonts w:ascii="Sylfaen" w:hAnsi="Sylfaen"/>
          <w:sz w:val="24"/>
          <w:szCs w:val="24"/>
        </w:rPr>
        <w:t>բազմաքանակություն</w:t>
      </w:r>
      <w:r w:rsidRPr="00495032">
        <w:rPr>
          <w:rFonts w:ascii="Sylfaen" w:hAnsi="Sylfaen"/>
          <w:sz w:val="24"/>
          <w:szCs w:val="24"/>
        </w:rPr>
        <w:t xml:space="preserve"> (վավերապայմանի պարտադիր (ոչ պարտադիր</w:t>
      </w:r>
      <w:r w:rsidR="00704C67" w:rsidRPr="00495032">
        <w:rPr>
          <w:rFonts w:ascii="Sylfaen" w:hAnsi="Sylfaen"/>
          <w:sz w:val="24"/>
          <w:szCs w:val="24"/>
        </w:rPr>
        <w:t xml:space="preserve"> </w:t>
      </w:r>
      <w:r w:rsidR="00CE0DD0" w:rsidRPr="00495032">
        <w:rPr>
          <w:rFonts w:ascii="Sylfaen" w:hAnsi="Sylfaen"/>
          <w:sz w:val="24"/>
          <w:szCs w:val="24"/>
        </w:rPr>
        <w:t>(</w:t>
      </w:r>
      <w:r w:rsidR="00704C67" w:rsidRPr="00495032">
        <w:rPr>
          <w:rFonts w:ascii="Sylfaen" w:hAnsi="Sylfaen"/>
          <w:sz w:val="24"/>
          <w:szCs w:val="24"/>
        </w:rPr>
        <w:t>կամընտրական</w:t>
      </w:r>
      <w:r w:rsidR="00CE0DD0" w:rsidRPr="00495032">
        <w:rPr>
          <w:rFonts w:ascii="Sylfaen" w:hAnsi="Sylfaen"/>
          <w:sz w:val="24"/>
          <w:szCs w:val="24"/>
        </w:rPr>
        <w:t>)</w:t>
      </w:r>
      <w:r w:rsidRPr="00495032">
        <w:rPr>
          <w:rFonts w:ascii="Sylfaen" w:hAnsi="Sylfaen"/>
          <w:sz w:val="24"/>
          <w:szCs w:val="24"/>
        </w:rPr>
        <w:t xml:space="preserve"> լինելը)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վավերապայմանի հնարավոր կրկնությունների թիվը):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>յալ նշագրերը՝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>1՝ վավերապայմանը պարտադիր է, կրկնություններ չեն թույլատրվում.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>n..*</w:t>
      </w:r>
      <w:r w:rsidR="00704C67" w:rsidRPr="00495032">
        <w:rPr>
          <w:rFonts w:ascii="Sylfaen" w:hAnsi="Sylfaen"/>
          <w:sz w:val="24"/>
          <w:szCs w:val="24"/>
        </w:rPr>
        <w:t>՝</w:t>
      </w:r>
      <w:r w:rsidRPr="00495032">
        <w:rPr>
          <w:rFonts w:ascii="Sylfaen" w:hAnsi="Sylfaen"/>
          <w:sz w:val="24"/>
          <w:szCs w:val="24"/>
        </w:rPr>
        <w:t xml:space="preserve"> վավերապայմանը պարտադիր է, պետք է կրկնվի ոչ պակաս</w:t>
      </w:r>
      <w:bookmarkStart w:id="2" w:name="bookmark5"/>
      <w:r w:rsidRPr="00495032">
        <w:rPr>
          <w:rFonts w:ascii="Sylfaen" w:hAnsi="Sylfaen"/>
          <w:sz w:val="24"/>
          <w:szCs w:val="24"/>
        </w:rPr>
        <w:t>, քան n անգամ (n &gt; 1).</w:t>
      </w:r>
      <w:bookmarkEnd w:id="2"/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0..1՝ վավերապայմանը </w:t>
      </w:r>
      <w:r w:rsidR="00704C67" w:rsidRPr="00495032">
        <w:rPr>
          <w:rFonts w:ascii="Sylfaen" w:hAnsi="Sylfaen"/>
          <w:sz w:val="24"/>
          <w:szCs w:val="24"/>
        </w:rPr>
        <w:t>կամընտրական</w:t>
      </w:r>
      <w:r w:rsidRPr="00495032">
        <w:rPr>
          <w:rFonts w:ascii="Sylfaen" w:hAnsi="Sylfaen"/>
          <w:sz w:val="24"/>
          <w:szCs w:val="24"/>
        </w:rPr>
        <w:t xml:space="preserve"> է, կրկնություններ չեն թույլատրվում.</w:t>
      </w:r>
    </w:p>
    <w:p w:rsidR="00704C67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0..* ՝ վավերապայմանը </w:t>
      </w:r>
      <w:r w:rsidR="00704C67" w:rsidRPr="00495032">
        <w:rPr>
          <w:rFonts w:ascii="Sylfaen" w:hAnsi="Sylfaen"/>
          <w:sz w:val="24"/>
          <w:szCs w:val="24"/>
        </w:rPr>
        <w:t xml:space="preserve">կամընտրական </w:t>
      </w:r>
      <w:r w:rsidRPr="00495032">
        <w:rPr>
          <w:rFonts w:ascii="Sylfaen" w:hAnsi="Sylfaen"/>
          <w:sz w:val="24"/>
          <w:szCs w:val="24"/>
        </w:rPr>
        <w:t>է, կարող է կրկնվել առանց սահմանափակումների.</w:t>
      </w:r>
    </w:p>
    <w:p w:rsidR="00854D58" w:rsidRPr="00495032" w:rsidRDefault="00566CE4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Style w:val="Bodytext214pt0"/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0..m՝ վավերապայմանը </w:t>
      </w:r>
      <w:r w:rsidR="00704C67" w:rsidRPr="00495032">
        <w:rPr>
          <w:rFonts w:ascii="Sylfaen" w:hAnsi="Sylfaen"/>
          <w:sz w:val="24"/>
          <w:szCs w:val="24"/>
        </w:rPr>
        <w:t>կամընտրական</w:t>
      </w:r>
      <w:r w:rsidRPr="00495032">
        <w:rPr>
          <w:rFonts w:ascii="Sylfaen" w:hAnsi="Sylfaen"/>
          <w:sz w:val="24"/>
          <w:szCs w:val="24"/>
        </w:rPr>
        <w:t xml:space="preserve"> է, կարող է կրկնվել ոչ ավելի, քան m անգամ (m &gt; 1)</w:t>
      </w:r>
      <w:r w:rsidR="00704C67" w:rsidRPr="00495032">
        <w:rPr>
          <w:rFonts w:ascii="Sylfaen" w:hAnsi="Sylfaen"/>
          <w:sz w:val="24"/>
          <w:szCs w:val="24"/>
        </w:rPr>
        <w:t>։</w:t>
      </w:r>
    </w:p>
    <w:p w:rsidR="002A28BF" w:rsidRPr="00495032" w:rsidRDefault="002A28BF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Style w:val="Bodytext214pt0"/>
          <w:rFonts w:ascii="Sylfaen" w:hAnsi="Sylfaen"/>
          <w:sz w:val="24"/>
          <w:szCs w:val="24"/>
        </w:rPr>
      </w:pPr>
    </w:p>
    <w:p w:rsidR="002A28BF" w:rsidRPr="00495032" w:rsidRDefault="002A28BF" w:rsidP="00087513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  <w:sectPr w:rsidR="002A28BF" w:rsidRPr="00495032" w:rsidSect="003732D3">
          <w:pgSz w:w="11907" w:h="16840" w:code="9"/>
          <w:pgMar w:top="1418" w:right="1418" w:bottom="1418" w:left="1418" w:header="0" w:footer="642" w:gutter="0"/>
          <w:pgNumType w:start="1"/>
          <w:cols w:space="720"/>
          <w:noEndnote/>
          <w:titlePg/>
          <w:docGrid w:linePitch="360"/>
        </w:sectPr>
      </w:pP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lastRenderedPageBreak/>
        <w:t>Աղյուսակ</w:t>
      </w:r>
    </w:p>
    <w:p w:rsidR="000C68E9" w:rsidRPr="00495032" w:rsidRDefault="00566CE4" w:rsidP="00087513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Sylfaen" w:hAnsi="Sylfaen"/>
          <w:sz w:val="24"/>
          <w:szCs w:val="24"/>
        </w:rPr>
      </w:pPr>
      <w:r w:rsidRPr="00495032">
        <w:rPr>
          <w:rFonts w:ascii="Sylfaen" w:hAnsi="Sylfaen"/>
          <w:sz w:val="24"/>
          <w:szCs w:val="24"/>
        </w:rPr>
        <w:t xml:space="preserve">Դեղամիջոցների անատոմիական-բուժական-քիմիական դասակարգչի </w:t>
      </w:r>
      <w:r w:rsidR="00376861" w:rsidRPr="00495032">
        <w:rPr>
          <w:rFonts w:ascii="Sylfaen" w:hAnsi="Sylfaen"/>
          <w:sz w:val="24"/>
          <w:szCs w:val="24"/>
        </w:rPr>
        <w:br/>
      </w:r>
      <w:r w:rsidRPr="00495032">
        <w:rPr>
          <w:rFonts w:ascii="Sylfaen" w:hAnsi="Sylfaen"/>
          <w:sz w:val="24"/>
          <w:szCs w:val="24"/>
        </w:rPr>
        <w:t xml:space="preserve">կառուցվածքը </w:t>
      </w:r>
      <w:r w:rsidR="009C7AFC">
        <w:rPr>
          <w:rFonts w:ascii="Sylfaen" w:hAnsi="Sylfaen"/>
          <w:sz w:val="24"/>
          <w:szCs w:val="24"/>
        </w:rPr>
        <w:t>և</w:t>
      </w:r>
      <w:r w:rsidRPr="00495032">
        <w:rPr>
          <w:rFonts w:ascii="Sylfaen" w:hAnsi="Sylfaen"/>
          <w:sz w:val="24"/>
          <w:szCs w:val="24"/>
        </w:rPr>
        <w:t xml:space="preserve"> </w:t>
      </w:r>
      <w:r w:rsidR="00704C67" w:rsidRPr="00495032">
        <w:rPr>
          <w:rFonts w:ascii="Sylfaen" w:hAnsi="Sylfaen"/>
          <w:sz w:val="24"/>
          <w:szCs w:val="24"/>
        </w:rPr>
        <w:t xml:space="preserve">վավերապայմանների </w:t>
      </w:r>
      <w:r w:rsidRPr="00495032">
        <w:rPr>
          <w:rFonts w:ascii="Sylfaen" w:hAnsi="Sylfaen"/>
          <w:sz w:val="24"/>
          <w:szCs w:val="24"/>
        </w:rPr>
        <w:t xml:space="preserve">կազմը </w:t>
      </w:r>
    </w:p>
    <w:tbl>
      <w:tblPr>
        <w:tblOverlap w:val="never"/>
        <w:tblW w:w="14842" w:type="dxa"/>
        <w:jc w:val="center"/>
        <w:tblLayout w:type="fixed"/>
        <w:tblCellMar>
          <w:left w:w="10" w:type="dxa"/>
          <w:right w:w="10" w:type="dxa"/>
        </w:tblCellMar>
        <w:tblLook w:val="0220" w:firstRow="1" w:lastRow="0" w:firstColumn="0" w:lastColumn="0" w:noHBand="1" w:noVBand="0"/>
      </w:tblPr>
      <w:tblGrid>
        <w:gridCol w:w="188"/>
        <w:gridCol w:w="50"/>
        <w:gridCol w:w="198"/>
        <w:gridCol w:w="50"/>
        <w:gridCol w:w="500"/>
        <w:gridCol w:w="19"/>
        <w:gridCol w:w="3124"/>
        <w:gridCol w:w="4288"/>
        <w:gridCol w:w="9"/>
        <w:gridCol w:w="5501"/>
        <w:gridCol w:w="915"/>
      </w:tblGrid>
      <w:tr w:rsidR="00087513" w:rsidRPr="00495032" w:rsidTr="00376861">
        <w:trPr>
          <w:tblHeader/>
          <w:jc w:val="center"/>
        </w:trPr>
        <w:tc>
          <w:tcPr>
            <w:tcW w:w="412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087513" w:rsidRPr="00495032" w:rsidTr="00376861">
        <w:trPr>
          <w:jc w:val="center"/>
        </w:trPr>
        <w:tc>
          <w:tcPr>
            <w:tcW w:w="412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52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անատոմիական-բուժական-քիմիական դասակարգման մասին տեղեկությունները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87513" w:rsidRPr="00495032" w:rsidTr="00376861">
        <w:trPr>
          <w:jc w:val="center"/>
        </w:trPr>
        <w:tc>
          <w:tcPr>
            <w:tcW w:w="23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45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Անատոմիական օրգանի կամ համակարգի ծածկագիրը, որի վրա ազդում է դեղամիջոցը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0E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 [ABCDGHJLMNPRSV]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կարգային մեթոդի կիրառմամբ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238" w:type="dxa"/>
            <w:gridSpan w:val="2"/>
            <w:vMerge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45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1.2.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04C67" w:rsidRPr="00495032">
              <w:rPr>
                <w:rStyle w:val="Bodytext211pt"/>
                <w:rFonts w:ascii="Sylfaen" w:hAnsi="Sylfaen"/>
                <w:sz w:val="20"/>
                <w:szCs w:val="20"/>
              </w:rPr>
              <w:t>Այն ա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նատոմիական օրգանի կամ համակարգի անվանումը, որի վրա ազդում է դեղամիջոցը՝ ռուսերենով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C67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704C67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Նվազ. երկարությունը՝ 1. 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Առավ. երկարությունը՝ 500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ավորվում է ռուսերեն բառակապակցության տեսքով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238" w:type="dxa"/>
            <w:gridSpan w:val="2"/>
            <w:vMerge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45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1.3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բուժական խումբը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87513" w:rsidRPr="00495032" w:rsidTr="00376861">
        <w:trPr>
          <w:jc w:val="center"/>
        </w:trPr>
        <w:tc>
          <w:tcPr>
            <w:tcW w:w="238" w:type="dxa"/>
            <w:gridSpan w:val="2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3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1.3.1.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բուժական խմբի ծածկագիրը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 [ABCDGHJLMNPRSV]\d{2}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կարգային մեթոդի կիրառմամբ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486" w:type="dxa"/>
            <w:gridSpan w:val="4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3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1.3.2.</w:t>
            </w:r>
            <w:r w:rsidR="00376861" w:rsidRPr="009C7AF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բուժական խմբի անվանումը ռուսերենով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Նվազ. երկարությունը՝ 1. </w:t>
            </w:r>
          </w:p>
          <w:p w:rsidR="000C68E9" w:rsidRPr="00495032" w:rsidRDefault="00C90030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ավորվում է ռուսերեն բառակապակցության տեսքով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412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1.3.3.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դեղաբանական խումբը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87513" w:rsidRPr="00495032" w:rsidTr="00376861">
        <w:trPr>
          <w:jc w:val="center"/>
        </w:trPr>
        <w:tc>
          <w:tcPr>
            <w:tcW w:w="188" w:type="dxa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52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դեղաբանական խմբի ծածկագիրը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[АBCDGHJLMNPRSV]\d{2}[А-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Z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]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ծածկագրային նշագիրը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ավորվում է ծածկագրման կարգային մեթոդի կիրառմամբ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պարտադիր լրացվում է, եթե լրացված է «Դեղամիջոցի բուժական, դեղաբանական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կամ հիմնական քիմիական խմբի ծածկագիր» վավերապայմանը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47"/>
              </w:tabs>
              <w:spacing w:before="0" w:after="120" w:line="264" w:lineRule="auto"/>
              <w:ind w:left="7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դեղաբանական խմբի անվանումը ռուսերենով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Նվազ. երկարությունը՝ 1. </w:t>
            </w:r>
          </w:p>
          <w:p w:rsidR="000C68E9" w:rsidRPr="00495032" w:rsidRDefault="00C90030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ավորվում է </w:t>
            </w:r>
            <w:r w:rsidR="00C90030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ռուսերեն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բառակապակցության տեսքով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պարտադիր լրացվում է, եթե </w:t>
            </w:r>
            <w:r w:rsidR="00C90030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լրացված է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«Դեղամիջոցի բուժական կամ դեղաբանական խմբի ծածկագիր» վավերապայմանը</w:t>
            </w:r>
            <w:r w:rsidR="00087513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36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խումբը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87513" w:rsidRPr="00495032" w:rsidTr="00376861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D0" w:rsidRPr="00495032" w:rsidRDefault="00566CE4" w:rsidP="00376861">
            <w:pPr>
              <w:pStyle w:val="Bodytext20"/>
              <w:shd w:val="clear" w:color="auto" w:fill="auto"/>
              <w:tabs>
                <w:tab w:val="left" w:pos="39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խմբի ծածկագիրը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30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[ABCDGHJLMNPRSV]\d{2}[А-Z]{2}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ավորվում է ծածկագրման կարգային մեթոդի կիրառմամբ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պարտադիր լրացվում է, եթե լրացված է «Դեղամիջոցի քիմիական կառուցվածքի ծածկագիր» վավերապայմանը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100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*.3.2.</w:t>
            </w:r>
            <w:r w:rsidR="00376861" w:rsidRPr="009C7AF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խմբի անվանումը ռուսերենով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Նվազ. երկարությունը՝ 1. </w:t>
            </w:r>
          </w:p>
          <w:p w:rsidR="000C68E9" w:rsidRPr="00495032" w:rsidRDefault="00733BE5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ավորվում է </w:t>
            </w:r>
            <w:r w:rsidR="00733BE5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ռուսերեն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բառակապակցության տեսքով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լրացվում է, եթե լրացված է «Դեղամիջոցի բուժական, դեղաբանական կամ հիմնական քիմիական խմբի ծածկագիր» վավերապայմանը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1005" w:type="dxa"/>
            <w:gridSpan w:val="6"/>
            <w:shd w:val="clear" w:color="auto" w:fill="FFFFFF"/>
          </w:tcPr>
          <w:p w:rsidR="000C68E9" w:rsidRPr="00495032" w:rsidRDefault="000C68E9" w:rsidP="0037686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կառուցվածքը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կառուցվածքի ծածկագիրը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[ABCDGHJLMNPRSV]\d (2} [А-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Z] {2}\d{2}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կարգային մեթոդի կիրառմամբ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763407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*.3.3.2.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Դեղամիջոցի քիմիական կառուցվածքի անվանումը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Նվազ. երկարությունը՝ 1. </w:t>
            </w:r>
          </w:p>
          <w:p w:rsidR="000C68E9" w:rsidRPr="00495032" w:rsidRDefault="00733BE5" w:rsidP="0037686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763407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ավորվում է </w:t>
            </w:r>
            <w:r w:rsidR="00733BE5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ռուսերեն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բառակապակցության տեսքով 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լրացվում է, եթե լրացված է «Դեղամիջոցի քիմիական կառուցվածքի ծածկագիր» վավերապայմանը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Ծածկագրի նախորդ արժեքը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BE5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[АBCDGHJLMNPRSV]\d{2}[А-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Z]{2}\d{2}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ծածկագրի նախորդ արժեքը տարրի դասակարգման փոփոխության դեպքում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D0" w:rsidRPr="00495032" w:rsidRDefault="00566CE4" w:rsidP="00376861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եղեկատուի (դասակարգչի) գրառման մասին տեղեկություններ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84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Գործողությ</w:t>
            </w:r>
            <w:r w:rsidR="00720E44" w:rsidRPr="00495032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ն </w:t>
            </w:r>
            <w:r w:rsidR="00733BE5"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սկզբի 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համապատասխան՝ «YYYY-MM-DD»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սկզբի ամսաթվին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9C7AFC" w:rsidRDefault="00566CE4" w:rsidP="00376861">
            <w:pPr>
              <w:pStyle w:val="Bodytext20"/>
              <w:shd w:val="clear" w:color="auto" w:fill="auto"/>
              <w:tabs>
                <w:tab w:val="left" w:pos="98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*.3.3.4.2.</w:t>
            </w:r>
            <w:r w:rsidR="00376861" w:rsidRPr="009C7AF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98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*.3.3.4.2.1.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7A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98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*.3.3.4.2.2.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7A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9607A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0C68E9" w:rsidRPr="00495032" w:rsidRDefault="0009607A" w:rsidP="0037686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6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98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*.3.3.4.2.3.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համապատասխան՝ «YYYY-MM-DD»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9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համապատասխան՝ «YYYY-MM-DD»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9C7AFC" w:rsidRDefault="00566CE4" w:rsidP="00376861">
            <w:pPr>
              <w:pStyle w:val="Bodytext20"/>
              <w:shd w:val="clear" w:color="auto" w:fill="auto"/>
              <w:tabs>
                <w:tab w:val="left" w:pos="10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*.3.3.4.4.</w:t>
            </w:r>
            <w:r w:rsidR="00376861" w:rsidRPr="009C7AF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Տեղեկատուի (դասակարգչի) գրառման գործողության </w:t>
            </w:r>
            <w:r w:rsidR="0009607A" w:rsidRPr="00495032">
              <w:rPr>
                <w:rStyle w:val="Bodytext211pt"/>
                <w:rFonts w:ascii="Sylfaen" w:hAnsi="Sylfaen"/>
                <w:sz w:val="20"/>
                <w:szCs w:val="20"/>
              </w:rPr>
              <w:t>ավարտը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կանոնակարգող ակտի մասին տեղեկություններ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*.3.3.4.4.1.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0E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*.3.3.4.4.2.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C0E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B14C0E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Նվազ. երկարությունը՝ 1.</w:t>
            </w:r>
          </w:p>
          <w:p w:rsidR="000C68E9" w:rsidRPr="00495032" w:rsidRDefault="00B14C0E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Առավ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66CE4" w:rsidRPr="00495032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50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13" w:rsidRPr="00495032" w:rsidTr="00376861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495032" w:rsidRDefault="000C68E9" w:rsidP="0037686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*.3.3.4.4.3.</w:t>
            </w:r>
            <w:r w:rsidR="00376861" w:rsidRPr="0049503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</w:t>
            </w:r>
            <w:r w:rsidR="00CE0DD0" w:rsidRPr="00495032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համապատասխան՝ «YYYY-MM-DD» ձ</w:t>
            </w:r>
            <w:r w:rsidR="009C7AFC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495032" w:rsidRDefault="00566CE4" w:rsidP="003768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503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0C68E9" w:rsidRPr="00495032" w:rsidRDefault="000C68E9" w:rsidP="00087513">
      <w:pPr>
        <w:spacing w:after="160" w:line="360" w:lineRule="auto"/>
        <w:rPr>
          <w:rFonts w:ascii="Sylfaen" w:hAnsi="Sylfaen"/>
        </w:rPr>
      </w:pPr>
    </w:p>
    <w:p w:rsidR="000C68E9" w:rsidRPr="00376861" w:rsidRDefault="00376861" w:rsidP="00376861">
      <w:pPr>
        <w:spacing w:after="160" w:line="360" w:lineRule="auto"/>
        <w:jc w:val="center"/>
        <w:rPr>
          <w:rFonts w:ascii="Sylfaen" w:hAnsi="Sylfaen"/>
          <w:lang w:val="en-US"/>
        </w:rPr>
      </w:pPr>
      <w:r w:rsidRPr="00495032">
        <w:rPr>
          <w:rFonts w:ascii="Sylfaen" w:hAnsi="Sylfaen"/>
          <w:lang w:val="en-US"/>
        </w:rPr>
        <w:t>______________</w:t>
      </w:r>
    </w:p>
    <w:p w:rsidR="000C68E9" w:rsidRPr="00087513" w:rsidRDefault="000C68E9" w:rsidP="00087513">
      <w:pPr>
        <w:spacing w:after="160" w:line="360" w:lineRule="auto"/>
        <w:rPr>
          <w:rFonts w:ascii="Sylfaen" w:hAnsi="Sylfaen"/>
        </w:rPr>
      </w:pPr>
    </w:p>
    <w:sectPr w:rsidR="000C68E9" w:rsidRPr="00087513" w:rsidSect="003732D3">
      <w:pgSz w:w="16840" w:h="11907" w:code="9"/>
      <w:pgMar w:top="1418" w:right="1418" w:bottom="1418" w:left="1418" w:header="0" w:footer="6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F5" w:rsidRDefault="007177F5" w:rsidP="000C68E9">
      <w:r>
        <w:separator/>
      </w:r>
    </w:p>
  </w:endnote>
  <w:endnote w:type="continuationSeparator" w:id="0">
    <w:p w:rsidR="007177F5" w:rsidRDefault="007177F5" w:rsidP="000C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33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D804BF" w:rsidRPr="003732D3" w:rsidRDefault="005325FE">
        <w:pPr>
          <w:pStyle w:val="Footer"/>
          <w:jc w:val="center"/>
          <w:rPr>
            <w:rFonts w:ascii="Sylfaen" w:hAnsi="Sylfaen"/>
          </w:rPr>
        </w:pPr>
        <w:r w:rsidRPr="003732D3">
          <w:rPr>
            <w:rFonts w:ascii="Sylfaen" w:hAnsi="Sylfaen"/>
          </w:rPr>
          <w:fldChar w:fldCharType="begin"/>
        </w:r>
        <w:r w:rsidR="00D804BF" w:rsidRPr="003732D3">
          <w:rPr>
            <w:rFonts w:ascii="Sylfaen" w:hAnsi="Sylfaen"/>
          </w:rPr>
          <w:instrText xml:space="preserve"> PAGE   \* MERGEFORMAT </w:instrText>
        </w:r>
        <w:r w:rsidRPr="003732D3">
          <w:rPr>
            <w:rFonts w:ascii="Sylfaen" w:hAnsi="Sylfaen"/>
          </w:rPr>
          <w:fldChar w:fldCharType="separate"/>
        </w:r>
        <w:r w:rsidR="00495032">
          <w:rPr>
            <w:rFonts w:ascii="Sylfaen" w:hAnsi="Sylfaen"/>
            <w:noProof/>
          </w:rPr>
          <w:t>2</w:t>
        </w:r>
        <w:r w:rsidRPr="003732D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F5" w:rsidRDefault="007177F5"/>
  </w:footnote>
  <w:footnote w:type="continuationSeparator" w:id="0">
    <w:p w:rsidR="007177F5" w:rsidRDefault="007177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D5E"/>
    <w:multiLevelType w:val="multilevel"/>
    <w:tmpl w:val="838E4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6742F"/>
    <w:multiLevelType w:val="multilevel"/>
    <w:tmpl w:val="0054E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94149"/>
    <w:multiLevelType w:val="multilevel"/>
    <w:tmpl w:val="82F0D2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546D3"/>
    <w:multiLevelType w:val="multilevel"/>
    <w:tmpl w:val="89200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8E9"/>
    <w:rsid w:val="0000140E"/>
    <w:rsid w:val="00005E95"/>
    <w:rsid w:val="00074793"/>
    <w:rsid w:val="00076D56"/>
    <w:rsid w:val="00087513"/>
    <w:rsid w:val="0009607A"/>
    <w:rsid w:val="000A063B"/>
    <w:rsid w:val="000C66D5"/>
    <w:rsid w:val="000C68E9"/>
    <w:rsid w:val="00106447"/>
    <w:rsid w:val="00111573"/>
    <w:rsid w:val="00142B9D"/>
    <w:rsid w:val="00143FFC"/>
    <w:rsid w:val="00150F4E"/>
    <w:rsid w:val="0017156E"/>
    <w:rsid w:val="00187D96"/>
    <w:rsid w:val="00196202"/>
    <w:rsid w:val="001A7B74"/>
    <w:rsid w:val="001B5F1C"/>
    <w:rsid w:val="001C0312"/>
    <w:rsid w:val="001D2835"/>
    <w:rsid w:val="00202F5F"/>
    <w:rsid w:val="0020469F"/>
    <w:rsid w:val="00214501"/>
    <w:rsid w:val="00222B9F"/>
    <w:rsid w:val="00246EB3"/>
    <w:rsid w:val="002A28BF"/>
    <w:rsid w:val="002A6166"/>
    <w:rsid w:val="002C01CD"/>
    <w:rsid w:val="002D38BE"/>
    <w:rsid w:val="0030702B"/>
    <w:rsid w:val="003732D3"/>
    <w:rsid w:val="00375A5F"/>
    <w:rsid w:val="00376861"/>
    <w:rsid w:val="0038002D"/>
    <w:rsid w:val="003B2282"/>
    <w:rsid w:val="003D5277"/>
    <w:rsid w:val="004362C0"/>
    <w:rsid w:val="004817AD"/>
    <w:rsid w:val="00495032"/>
    <w:rsid w:val="00496119"/>
    <w:rsid w:val="004A1080"/>
    <w:rsid w:val="004C62F2"/>
    <w:rsid w:val="004D54B9"/>
    <w:rsid w:val="004E1870"/>
    <w:rsid w:val="005325FE"/>
    <w:rsid w:val="00543F3B"/>
    <w:rsid w:val="0055012D"/>
    <w:rsid w:val="00561F50"/>
    <w:rsid w:val="00566CE4"/>
    <w:rsid w:val="005840BD"/>
    <w:rsid w:val="005E08A2"/>
    <w:rsid w:val="00622E89"/>
    <w:rsid w:val="00630301"/>
    <w:rsid w:val="006655C6"/>
    <w:rsid w:val="006B17A1"/>
    <w:rsid w:val="006B601B"/>
    <w:rsid w:val="006C2413"/>
    <w:rsid w:val="006C2555"/>
    <w:rsid w:val="006D2FE9"/>
    <w:rsid w:val="006F6B74"/>
    <w:rsid w:val="00704C67"/>
    <w:rsid w:val="007177F5"/>
    <w:rsid w:val="00720E44"/>
    <w:rsid w:val="00733BE5"/>
    <w:rsid w:val="00763407"/>
    <w:rsid w:val="007833B6"/>
    <w:rsid w:val="00791091"/>
    <w:rsid w:val="007930E5"/>
    <w:rsid w:val="007C6E65"/>
    <w:rsid w:val="007C733E"/>
    <w:rsid w:val="007D1FD7"/>
    <w:rsid w:val="007E32EE"/>
    <w:rsid w:val="008079C9"/>
    <w:rsid w:val="00824996"/>
    <w:rsid w:val="00825786"/>
    <w:rsid w:val="00854D58"/>
    <w:rsid w:val="0088263C"/>
    <w:rsid w:val="00885435"/>
    <w:rsid w:val="00926EC8"/>
    <w:rsid w:val="00952D57"/>
    <w:rsid w:val="009B0607"/>
    <w:rsid w:val="009C4AF5"/>
    <w:rsid w:val="009C7AFC"/>
    <w:rsid w:val="009D3392"/>
    <w:rsid w:val="009E570A"/>
    <w:rsid w:val="009F3367"/>
    <w:rsid w:val="00A00225"/>
    <w:rsid w:val="00A13279"/>
    <w:rsid w:val="00A14C60"/>
    <w:rsid w:val="00A16B87"/>
    <w:rsid w:val="00A3739C"/>
    <w:rsid w:val="00A454F2"/>
    <w:rsid w:val="00A907B3"/>
    <w:rsid w:val="00B14C0E"/>
    <w:rsid w:val="00B4063C"/>
    <w:rsid w:val="00B649CA"/>
    <w:rsid w:val="00B96A47"/>
    <w:rsid w:val="00BF54C5"/>
    <w:rsid w:val="00C134F8"/>
    <w:rsid w:val="00C23C8C"/>
    <w:rsid w:val="00C643EC"/>
    <w:rsid w:val="00C90030"/>
    <w:rsid w:val="00CA46D3"/>
    <w:rsid w:val="00CA53A1"/>
    <w:rsid w:val="00CB12E4"/>
    <w:rsid w:val="00CC4015"/>
    <w:rsid w:val="00CD6C85"/>
    <w:rsid w:val="00CE0DD0"/>
    <w:rsid w:val="00CF2048"/>
    <w:rsid w:val="00D12AC6"/>
    <w:rsid w:val="00D24936"/>
    <w:rsid w:val="00D40B61"/>
    <w:rsid w:val="00D44D16"/>
    <w:rsid w:val="00D56F7B"/>
    <w:rsid w:val="00D676D8"/>
    <w:rsid w:val="00D804BF"/>
    <w:rsid w:val="00D91FF5"/>
    <w:rsid w:val="00DE5141"/>
    <w:rsid w:val="00E250D2"/>
    <w:rsid w:val="00E73B7A"/>
    <w:rsid w:val="00E91209"/>
    <w:rsid w:val="00EA35A3"/>
    <w:rsid w:val="00EA44F3"/>
    <w:rsid w:val="00EA4B5D"/>
    <w:rsid w:val="00EA4DE7"/>
    <w:rsid w:val="00EA6A21"/>
    <w:rsid w:val="00EF2BDC"/>
    <w:rsid w:val="00F04233"/>
    <w:rsid w:val="00F20CCA"/>
    <w:rsid w:val="00F27588"/>
    <w:rsid w:val="00F55FBD"/>
    <w:rsid w:val="00FC20F9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68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68E9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0C68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2">
    <w:name w:val="Heading #3 (2)_"/>
    <w:basedOn w:val="DefaultParagraphFont"/>
    <w:link w:val="Heading3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4pt">
    <w:name w:val="Heading #3 (2) + Spacing 4 pt"/>
    <w:basedOn w:val="Heading3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4 pt,Bold"/>
    <w:basedOn w:val="Bodytext2"/>
    <w:rsid w:val="000C68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3pt">
    <w:name w:val="Heading #2 + 13 pt"/>
    <w:aliases w:val="Not Bold"/>
    <w:basedOn w:val="Heading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0C68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0C68E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C68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C68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20">
    <w:name w:val="Heading #3 (2)"/>
    <w:basedOn w:val="Normal"/>
    <w:link w:val="Heading32"/>
    <w:rsid w:val="000C68E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C68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C68E9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93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E9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E95"/>
    <w:rPr>
      <w:color w:val="000000"/>
    </w:rPr>
  </w:style>
  <w:style w:type="table" w:styleId="TableGrid">
    <w:name w:val="Table Grid"/>
    <w:basedOn w:val="TableNormal"/>
    <w:uiPriority w:val="59"/>
    <w:rsid w:val="00EA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33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33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60FF-C9E1-4B6B-8C20-47851A6D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Tatevik</cp:lastModifiedBy>
  <cp:revision>18</cp:revision>
  <dcterms:created xsi:type="dcterms:W3CDTF">2018-11-15T11:00:00Z</dcterms:created>
  <dcterms:modified xsi:type="dcterms:W3CDTF">2019-09-25T07:16:00Z</dcterms:modified>
</cp:coreProperties>
</file>