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090BD" w14:textId="77777777" w:rsidR="00D14362" w:rsidRPr="00646A51" w:rsidRDefault="00D14362" w:rsidP="00D14362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ՀԱՍՏԱՏՎԱԾ Է</w:t>
      </w:r>
      <w:bookmarkStart w:id="0" w:name="_GoBack"/>
      <w:bookmarkEnd w:id="0"/>
    </w:p>
    <w:p w14:paraId="63FD8770" w14:textId="77777777" w:rsidR="00D14362" w:rsidRPr="00646A51" w:rsidRDefault="00D14362" w:rsidP="00D14362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Style w:val="Bodytext216pt"/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 xml:space="preserve">Եվրասիական տնտեսական բարձրագույն խորհրդի </w:t>
      </w:r>
      <w:r w:rsidRPr="00646A51">
        <w:rPr>
          <w:rFonts w:ascii="Sylfaen" w:hAnsi="Sylfaen"/>
          <w:sz w:val="24"/>
        </w:rPr>
        <w:br/>
        <w:t>2018 թվականի մայիսի 14-ի</w:t>
      </w:r>
      <w:r w:rsidRPr="00646A51">
        <w:rPr>
          <w:rFonts w:ascii="Sylfaen" w:hAnsi="Sylfaen"/>
          <w:sz w:val="24"/>
        </w:rPr>
        <w:br/>
        <w:t>թիվ 8 որոշմամբ</w:t>
      </w:r>
    </w:p>
    <w:p w14:paraId="1041B94B" w14:textId="77777777" w:rsidR="00D14362" w:rsidRPr="00646A51" w:rsidRDefault="00D14362" w:rsidP="00D14362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Sylfaen" w:hAnsi="Sylfaen" w:cs="Sylfaen"/>
          <w:sz w:val="24"/>
        </w:rPr>
      </w:pPr>
    </w:p>
    <w:p w14:paraId="446E3169" w14:textId="77777777" w:rsidR="00D14362" w:rsidRPr="00646A51" w:rsidRDefault="00D14362" w:rsidP="00D14362">
      <w:pPr>
        <w:pStyle w:val="Bodytext30"/>
        <w:shd w:val="clear" w:color="auto" w:fill="auto"/>
        <w:spacing w:before="0" w:after="160" w:line="360" w:lineRule="auto"/>
        <w:ind w:left="567" w:right="568"/>
        <w:rPr>
          <w:rStyle w:val="Bodytext3Spacing4pt"/>
          <w:rFonts w:ascii="Sylfaen" w:hAnsi="Sylfaen" w:cs="Sylfaen"/>
          <w:b/>
          <w:bCs/>
          <w:spacing w:val="0"/>
          <w:sz w:val="24"/>
        </w:rPr>
      </w:pPr>
      <w:r w:rsidRPr="00646A51">
        <w:rPr>
          <w:rStyle w:val="Bodytext3Spacing4pt"/>
          <w:rFonts w:ascii="Sylfaen" w:hAnsi="Sylfaen"/>
          <w:b/>
          <w:spacing w:val="0"/>
          <w:sz w:val="24"/>
        </w:rPr>
        <w:t>ՀԻՄՆԱԴՐՈՒՅԹ</w:t>
      </w:r>
    </w:p>
    <w:p w14:paraId="526A67B4" w14:textId="77777777" w:rsidR="00D14362" w:rsidRPr="00646A51" w:rsidRDefault="00D14362" w:rsidP="00D14362">
      <w:pPr>
        <w:pStyle w:val="Bodytext30"/>
        <w:shd w:val="clear" w:color="auto" w:fill="auto"/>
        <w:spacing w:before="0" w:after="160" w:line="360" w:lineRule="auto"/>
        <w:ind w:left="567" w:right="568"/>
        <w:rPr>
          <w:rFonts w:ascii="Sylfaen" w:hAnsi="Sylfaen"/>
          <w:sz w:val="24"/>
        </w:rPr>
      </w:pPr>
      <w:r w:rsidRPr="00646A51">
        <w:rPr>
          <w:rFonts w:ascii="Sylfaen" w:hAnsi="Sylfaen"/>
          <w:sz w:val="24"/>
        </w:rPr>
        <w:t>Եվրասիական տնտեսական միությանն առընթեր դիտորդ պետության կարգավիճակի մասին</w:t>
      </w:r>
    </w:p>
    <w:p w14:paraId="57194712" w14:textId="77777777" w:rsidR="00D14362" w:rsidRPr="00646A51" w:rsidRDefault="00D14362" w:rsidP="00D14362">
      <w:pPr>
        <w:pStyle w:val="Bodytext30"/>
        <w:shd w:val="clear" w:color="auto" w:fill="auto"/>
        <w:spacing w:before="0" w:after="160" w:line="360" w:lineRule="auto"/>
        <w:ind w:left="567" w:right="568"/>
        <w:rPr>
          <w:rFonts w:ascii="Sylfaen" w:hAnsi="Sylfaen" w:cs="Sylfaen"/>
          <w:sz w:val="24"/>
        </w:rPr>
      </w:pPr>
    </w:p>
    <w:p w14:paraId="7FC85FD7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1.</w:t>
      </w:r>
      <w:r w:rsidRPr="00646A51">
        <w:rPr>
          <w:rFonts w:ascii="Sylfaen" w:hAnsi="Sylfaen"/>
          <w:sz w:val="24"/>
        </w:rPr>
        <w:tab/>
        <w:t>Սույն հիմնադրույթը մշակվել է՝ հաշվի առնելով «Եվրասիական տնտեսական միության մասին» 2014 թվականի մայիսի 29-ի պայմանագրի (այսուհետ՝ Պայմանագիր) 109-րդ հոդվածը եւ դրանով սահմանվում է պետությանը՝ Եվրասիական տնտեսական միությանը (այսուհետ՝ Միություն) առընթեր դիտորդ պետության կարգավիճակ տալու կարգը:</w:t>
      </w:r>
    </w:p>
    <w:p w14:paraId="4511C74C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2.</w:t>
      </w:r>
      <w:r w:rsidRPr="00646A51">
        <w:rPr>
          <w:rFonts w:ascii="Sylfaen" w:hAnsi="Sylfaen"/>
          <w:sz w:val="24"/>
        </w:rPr>
        <w:tab/>
        <w:t>Միության հետ համագործակցությամբ շահագրգռված պետությունը դիվանագիտական ուղիներով գրավոր դիմում է ուղարկում Եվրասիական տնտեսական բարձրագույն խորհրդի (այսուհետ՝ Բարձրագույն խորհուրդ) նախագահի անունով՝ իրեն Միությանն առընթեր դիտորդ պետության կարգավիճակ տալու մասին խնդրանքով (այսուհետ՝ դիմող պետություն) եւ Պայմանագրի 109-րդ հոդվածի դրույթները պահպանելու պատրաստակամություն հայտնելով:</w:t>
      </w:r>
    </w:p>
    <w:p w14:paraId="561782C1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3.</w:t>
      </w:r>
      <w:r w:rsidRPr="00646A51">
        <w:rPr>
          <w:rFonts w:ascii="Sylfaen" w:hAnsi="Sylfaen"/>
          <w:sz w:val="24"/>
        </w:rPr>
        <w:tab/>
        <w:t>Բարձրագույն խորհրդում նախագահող՝ Միության անդամ պետությունը ստացված դիմումն ուղարկում է Եվրասիական տնտեսական հանձնաժողով (այսուհետ՝ Հանձնաժողով), որն էլ դիվանագիտական ուղիներով այդ մասին անհապաղ տեղեկացնում է Միության մյուս անդամ պետություններին (այսուհետ՝ անդամ պետություն) եւ նրանց է ուղարկում այդ դիմումի պատճենները:</w:t>
      </w:r>
    </w:p>
    <w:p w14:paraId="5EFFFF47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lastRenderedPageBreak/>
        <w:t>4.</w:t>
      </w:r>
      <w:r w:rsidRPr="00646A51">
        <w:rPr>
          <w:rFonts w:ascii="Sylfaen" w:hAnsi="Sylfaen"/>
          <w:sz w:val="24"/>
        </w:rPr>
        <w:tab/>
        <w:t>Անդամ պետությունները սույն հիմնադրույթի 3-րդ կետում նշված տեղեկատվությունն ստանալու օրվանից 30 օրացուցային օրվա ընթացքում Հանձնաժողով են ներկայացնում դիմող պետությանը՝ Միությանն առընթեր դիտորդ պետության կարգավիճակ տալու առնչությամբ իրենց դիրքորոշման վերաբերյալ տեղեկատվություն: Նշված ժամկետը լրանալուց հետո Հանձնաժողովը 5 օրացուցային օրվա ընթացքում տեղեկացնում է անդամ պետություններին ստացված դիրքորոշումների մասին եւ Բարձրագույն խորհրդի նիստի համար սահմանված կարգով նյութեր է պատրաստում դիմող պետությանը՝ Միությանն առընթեր դիտորդ պետության կարգավիճակ տալու առնչությամբ:</w:t>
      </w:r>
    </w:p>
    <w:p w14:paraId="1DF1267B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5.</w:t>
      </w:r>
      <w:r w:rsidRPr="00646A51">
        <w:rPr>
          <w:rFonts w:ascii="Sylfaen" w:hAnsi="Sylfaen"/>
          <w:sz w:val="24"/>
        </w:rPr>
        <w:tab/>
        <w:t>Դիմող պետությանը՝ Միությանն առընթեր դիտորդ պետության կարգավիճակ տալու մասին որոշումն ընդունվում է Բարձրագույն խորհրդի կողմից:</w:t>
      </w:r>
    </w:p>
    <w:p w14:paraId="475DEE70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6.</w:t>
      </w:r>
      <w:r w:rsidRPr="00646A51">
        <w:rPr>
          <w:rFonts w:ascii="Sylfaen" w:hAnsi="Sylfaen"/>
          <w:sz w:val="24"/>
        </w:rPr>
        <w:tab/>
        <w:t>Բարձրագույն խորհրդի կողմից՝ Միությանն առընթեր դիտորդ պետության կարգավիճակ տալու մասին հարցի քննարկման արդյունքների հիման վրա Հանձնաժողովը համապատասխան որոշումն ուժի մեջ մտնելու օրվանից 5 օրացուցային օրվա ընթացքում դիվանագիտական ուղիներով գրավոր տեղեկացնում է դիմող պետությանն ընդունված որոշման մասին:</w:t>
      </w:r>
    </w:p>
    <w:p w14:paraId="7991098A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7.</w:t>
      </w:r>
      <w:r w:rsidRPr="00646A51">
        <w:rPr>
          <w:rFonts w:ascii="Sylfaen" w:hAnsi="Sylfaen"/>
          <w:sz w:val="24"/>
        </w:rPr>
        <w:tab/>
        <w:t>Միությանն առընթեր դիտորդ պետության կարգավիճակ ստացած պետության (այսուհետ՝ դիտորդ պետություն) կառավարությունը Հանձնաժողովի նստավայր է ուղարկում այն անձին, որը մշտական հիմունքով լիազորված է Հանձնաժողովի եւ դրա մարմինների հետ կանոնավոր փոխգործակցության համար (այսուհետ՝ Ներկայացուցիչ):</w:t>
      </w:r>
    </w:p>
    <w:p w14:paraId="4C27DE94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8.</w:t>
      </w:r>
      <w:r w:rsidRPr="00646A51">
        <w:rPr>
          <w:rFonts w:ascii="Sylfaen" w:hAnsi="Sylfaen"/>
          <w:sz w:val="24"/>
        </w:rPr>
        <w:tab/>
        <w:t>Ներկայացուցչի՝ դիտորդ պետության գործադիր իշխանության բարձրագույն մարմնի կողմից տրամադրված լիազորությունները Ներկայացուցչի կողմից տրվում են Հանձնաժողովի կոլեգիայի նախագահին կամ դիվանագիտական ուղիներով ուղարկվում են Հանձնաժողով:</w:t>
      </w:r>
    </w:p>
    <w:p w14:paraId="3092BFE3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9.</w:t>
      </w:r>
      <w:r w:rsidRPr="00646A51">
        <w:rPr>
          <w:rFonts w:ascii="Sylfaen" w:hAnsi="Sylfaen"/>
          <w:sz w:val="24"/>
        </w:rPr>
        <w:tab/>
        <w:t xml:space="preserve">Ներկայացուցիչը նպաստում է Հանձնաժողովի հետ դիտորդ պետության գործադիր իշխանության համապատասխան մարմինների կանոնավոր կապերի հաստատմանը եւ պահպանմանը՝ առեւտրատնտեսական փոխգործակցության </w:t>
      </w:r>
      <w:r w:rsidRPr="00646A51">
        <w:rPr>
          <w:rFonts w:ascii="Sylfaen" w:hAnsi="Sylfaen"/>
          <w:sz w:val="24"/>
        </w:rPr>
        <w:lastRenderedPageBreak/>
        <w:t>զարգացման, տեխնիկական, մաքսային, սանիտարական եւ բուսասանիտարական կանոնակարգման հարցերով, Հանձնաժողովի իրավասության շրջանակի մեջ մտնող այլ հարցերով, ինչպես նաեւ նպաստում է երկխոսությանն ու համագործակցությանն այն ոլորտներում, որոնք փոխադարձ հետաքրքրություն են ներկայացնում դիտորդ պետության եւ անդամ պետությունների համար:</w:t>
      </w:r>
    </w:p>
    <w:p w14:paraId="08D8456E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10.</w:t>
      </w:r>
      <w:r w:rsidRPr="00646A51">
        <w:rPr>
          <w:rFonts w:ascii="Sylfaen" w:hAnsi="Sylfaen"/>
          <w:sz w:val="24"/>
        </w:rPr>
        <w:tab/>
        <w:t>Ներկայացուցիչն աշխատակազմ ձեւավորելու իրավունք ունի: Ներկայացուցիչը եւ նրա աշխատակազմի աշխատակիցները կարող են հավատարմագրվել Հանձնաժողովի նստավայրի պետությունում, այդ թվում՝ դիտորդ պետության արտասահմանյան ներկայացուցչության կազմում՝ Հանձնաժողովի նստավայրի պետությունում:</w:t>
      </w:r>
    </w:p>
    <w:p w14:paraId="6BEC37E4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11.</w:t>
      </w:r>
      <w:r w:rsidRPr="00646A51">
        <w:rPr>
          <w:rFonts w:ascii="Sylfaen" w:hAnsi="Sylfaen"/>
          <w:sz w:val="24"/>
        </w:rPr>
        <w:tab/>
        <w:t xml:space="preserve">Ներկայացուցիչը, նրա աշխատակազմի աշխատակիցները եւ դիտորդ պետության մյուս ներկայացուցիչներն իրավունք ունեն հրավերով մասնակցելու Հանձնաժողովին առընթեր խորհրդատվական մարմինների նիստերին, ինչպես նաեւ Հանձնաժողովի կոլեգիայի եւ Հանձնաժողովի խորհրդի նիստերին՝ առանց ձայնի իրավունքի: Դիտորդ պետությանն ուղարկվում են հրավերներ բոլոր </w:t>
      </w:r>
      <w:r w:rsidRPr="00646A51">
        <w:rPr>
          <w:rFonts w:ascii="Sylfaen" w:hAnsi="Sylfaen"/>
          <w:spacing w:val="-6"/>
          <w:sz w:val="24"/>
        </w:rPr>
        <w:t>նիստերի համար՝ բացառությամբ այն հարցերի առնչությամբ նիստերի, որոնք փակ են ճանաչվել</w:t>
      </w:r>
      <w:r w:rsidRPr="00646A51">
        <w:rPr>
          <w:rFonts w:ascii="Sylfaen" w:hAnsi="Sylfaen"/>
          <w:sz w:val="24"/>
        </w:rPr>
        <w:t xml:space="preserve"> Հանձնաժողովի կոլեգիայի անդամի եւ (կամ) անդամ պետության խնդրանքով:</w:t>
      </w:r>
    </w:p>
    <w:p w14:paraId="6029291A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12.</w:t>
      </w:r>
      <w:r w:rsidRPr="00646A51">
        <w:rPr>
          <w:rFonts w:ascii="Sylfaen" w:hAnsi="Sylfaen"/>
          <w:sz w:val="24"/>
        </w:rPr>
        <w:tab/>
        <w:t>Դիտորդ պետության եւ դրա կառավարության ղեկավարները կարող են հրավերով ներկա գտնվել Բարձրագույն խորհրդի եւ Եվրասիական միջկառավարական խորհրդի նիստերին՝ նշված նիստերի անցկացումը կազմակերպելու կարգերին համապատասխան:</w:t>
      </w:r>
    </w:p>
    <w:p w14:paraId="261AAD47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13.</w:t>
      </w:r>
      <w:r w:rsidRPr="00646A51">
        <w:rPr>
          <w:rFonts w:ascii="Sylfaen" w:hAnsi="Sylfaen"/>
          <w:sz w:val="24"/>
        </w:rPr>
        <w:tab/>
        <w:t>Բարձրագույն խորհրդի կամ Եվրասիական միջկառավարական խորհրդի նիստին մասնակցելու հրավերը, որպես կանոն, ուղարկվում է դիտորդ պետությանը ոչ ուշ, քան նիստի անցկացման օրվանից 15 օրացուցային օր առաջ:</w:t>
      </w:r>
    </w:p>
    <w:p w14:paraId="687646AC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14.</w:t>
      </w:r>
      <w:r w:rsidRPr="00646A51">
        <w:rPr>
          <w:rFonts w:ascii="Sylfaen" w:hAnsi="Sylfaen"/>
          <w:sz w:val="24"/>
        </w:rPr>
        <w:tab/>
        <w:t xml:space="preserve">Ներկայացուցչի, նրա աշխատակազմի գործունեությունն ապահովելու հետ կապված բոլոր ծախսերը, ինչպես նաեւ Միության մարմինների եւ Հանձնաժողովի կոլեգիային առընթեր խորհրդատվական մարմինների նիստերին մասնակցելու համար դիտորդ պետության մյուս ներկայացուցիչների գործուղման </w:t>
      </w:r>
      <w:r w:rsidRPr="00646A51">
        <w:rPr>
          <w:rFonts w:ascii="Sylfaen" w:hAnsi="Sylfaen"/>
          <w:sz w:val="24"/>
        </w:rPr>
        <w:lastRenderedPageBreak/>
        <w:t>հետ կապված մյուս ծախսերը կրում է դիտորդ պետությունը:</w:t>
      </w:r>
    </w:p>
    <w:p w14:paraId="1C821213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15.</w:t>
      </w:r>
      <w:r w:rsidRPr="00646A51">
        <w:rPr>
          <w:rFonts w:ascii="Sylfaen" w:hAnsi="Sylfaen"/>
          <w:sz w:val="24"/>
        </w:rPr>
        <w:tab/>
        <w:t>Դիտորդ պետության հարցմամբ Հանձնաժողովը տրամադրում է Միության մարմինների ակտերի պատճենները՝ դիտորդ պետության համար հետաքրքրություն ներկայացնող հարցերի առնչությամբ՝ բացառությամբ սահմանափակ տարածման փաստաթղթերի (գաղտնի եւ ծառայողական օգտագործման համար):</w:t>
      </w:r>
    </w:p>
    <w:p w14:paraId="44FC115C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16.</w:t>
      </w:r>
      <w:r w:rsidRPr="00646A51">
        <w:rPr>
          <w:rFonts w:ascii="Sylfaen" w:hAnsi="Sylfaen"/>
          <w:sz w:val="24"/>
        </w:rPr>
        <w:tab/>
        <w:t>Դիտորդ պետությունը պարտավոր է ձեռնպահ մնալ ցանկացած այնպիսի գործողությունից, որը կարող է վնասել Միության եւ անդամ պետությունների շահերին, Պայմանագրի առարկային եւ նպատակներին։</w:t>
      </w:r>
    </w:p>
    <w:p w14:paraId="1532C194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17.</w:t>
      </w:r>
      <w:r w:rsidRPr="00646A51">
        <w:rPr>
          <w:rFonts w:ascii="Sylfaen" w:hAnsi="Sylfaen"/>
          <w:sz w:val="24"/>
        </w:rPr>
        <w:tab/>
        <w:t>Բարձրագույն խորհրդի կողմից կարող է որոշում ընդունվել դիտորդ պետության կարգավիճակի չեղարկման մասին հետեւյալ դեպքերում՝</w:t>
      </w:r>
    </w:p>
    <w:p w14:paraId="5739055C" w14:textId="77777777" w:rsidR="00D14362" w:rsidRPr="00646A51" w:rsidRDefault="00D14362" w:rsidP="00D14362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 w:cs="Sylfaen"/>
          <w:sz w:val="24"/>
        </w:rPr>
      </w:pPr>
      <w:r w:rsidRPr="00646A51">
        <w:rPr>
          <w:rFonts w:ascii="Sylfaen" w:hAnsi="Sylfaen"/>
          <w:sz w:val="24"/>
        </w:rPr>
        <w:t>ա)</w:t>
      </w:r>
      <w:r w:rsidRPr="00646A51">
        <w:rPr>
          <w:rFonts w:ascii="Sylfaen" w:hAnsi="Sylfaen"/>
          <w:sz w:val="24"/>
        </w:rPr>
        <w:tab/>
        <w:t>դիտորդ պետության կողմից Միության եւ (կամ) անդամ պետությունների շահերի դեմ ուղղված գործողություններ կամ հայտարարություններ անելու դեպքում.</w:t>
      </w:r>
    </w:p>
    <w:p w14:paraId="418F75E9" w14:textId="77777777" w:rsidR="00D14362" w:rsidRPr="00646A51" w:rsidRDefault="00D14362" w:rsidP="00D14362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</w:rPr>
      </w:pPr>
      <w:r w:rsidRPr="00646A51">
        <w:rPr>
          <w:rFonts w:ascii="Sylfaen" w:hAnsi="Sylfaen"/>
          <w:sz w:val="24"/>
        </w:rPr>
        <w:t>բ)</w:t>
      </w:r>
      <w:r w:rsidRPr="00646A51">
        <w:rPr>
          <w:rFonts w:ascii="Sylfaen" w:hAnsi="Sylfaen"/>
          <w:sz w:val="24"/>
        </w:rPr>
        <w:tab/>
        <w:t>դիտորդ պետության կողմից դիտորդ պետության կարգավիճակից հրաժարվելու մասին դիմում ստանալու դեպքում:</w:t>
      </w:r>
    </w:p>
    <w:p w14:paraId="37AB3D2B" w14:textId="77777777" w:rsidR="00D14362" w:rsidRPr="00646A51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</w:rPr>
      </w:pPr>
    </w:p>
    <w:p w14:paraId="3F566613" w14:textId="77777777" w:rsidR="00D14362" w:rsidRDefault="00D14362" w:rsidP="00D1436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Style w:val="Heading2Spacing2pt"/>
          <w:rFonts w:eastAsia="Segoe UI"/>
          <w:sz w:val="24"/>
        </w:rPr>
      </w:pPr>
      <w:r w:rsidRPr="00646A51">
        <w:rPr>
          <w:rFonts w:ascii="Sylfaen" w:hAnsi="Sylfaen"/>
          <w:sz w:val="24"/>
        </w:rPr>
        <w:t>———————</w:t>
      </w:r>
    </w:p>
    <w:p w14:paraId="6B9A50EA" w14:textId="77777777" w:rsidR="00A45F8E" w:rsidRPr="00D14362" w:rsidRDefault="00A45F8E" w:rsidP="00D14362"/>
    <w:sectPr w:rsidR="00A45F8E" w:rsidRPr="00D14362" w:rsidSect="006709A2">
      <w:pgSz w:w="11909" w:h="16840" w:code="9"/>
      <w:pgMar w:top="1418" w:right="1418" w:bottom="1418" w:left="1418" w:header="0" w:footer="62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E8"/>
    <w:rsid w:val="001133E8"/>
    <w:rsid w:val="002240E7"/>
    <w:rsid w:val="005C1635"/>
    <w:rsid w:val="007E1119"/>
    <w:rsid w:val="008B2A70"/>
    <w:rsid w:val="00A45F8E"/>
    <w:rsid w:val="00A624BB"/>
    <w:rsid w:val="00D14362"/>
    <w:rsid w:val="00D52833"/>
    <w:rsid w:val="00DC1F33"/>
    <w:rsid w:val="00F3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6ABFB"/>
  <w15:chartTrackingRefBased/>
  <w15:docId w15:val="{D4689A81-B2C9-497E-A3D3-B5F79678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624B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624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A624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14pt">
    <w:name w:val="Body text (3) + 14 pt"/>
    <w:basedOn w:val="Bodytext3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aliases w:val="Bold,Body text (2) + 15 pt,Body text (2) + Bold,Body text (2) + 19 pt,Body text (2) + Tahoma,9 pt,Spacing 0 pt,Italic,Body text (2) + 12 pt,Spacing -1 pt"/>
    <w:basedOn w:val="Bodytext2"/>
    <w:rsid w:val="00A624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A624BB"/>
    <w:pPr>
      <w:shd w:val="clear" w:color="auto" w:fill="FFFFFF"/>
      <w:spacing w:before="300" w:after="78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A624BB"/>
    <w:pPr>
      <w:shd w:val="clear" w:color="auto" w:fill="FFFFFF"/>
      <w:spacing w:before="78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character" w:customStyle="1" w:styleId="Bodytext2TimesNewRoman">
    <w:name w:val="Body text (2) + Times New Roman"/>
    <w:aliases w:val="15 pt,Body text (3) + Times New Roman,13 pt,Not Bold"/>
    <w:basedOn w:val="Bodytext2"/>
    <w:rsid w:val="005C1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5C16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C1635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6">
    <w:name w:val="Body text (6)_"/>
    <w:basedOn w:val="DefaultParagraphFont"/>
    <w:link w:val="Bodytext60"/>
    <w:rsid w:val="005C1635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5C1635"/>
    <w:pPr>
      <w:shd w:val="clear" w:color="auto" w:fill="FFFFFF"/>
      <w:spacing w:before="660" w:line="518" w:lineRule="exact"/>
      <w:ind w:firstLine="720"/>
      <w:jc w:val="both"/>
    </w:pPr>
    <w:rPr>
      <w:rFonts w:ascii="Sylfaen" w:eastAsia="Sylfaen" w:hAnsi="Sylfaen" w:cs="Sylfaen"/>
      <w:color w:val="auto"/>
      <w:sz w:val="28"/>
      <w:szCs w:val="28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rsid w:val="00A45F8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A45F8E"/>
    <w:pPr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315pt">
    <w:name w:val="Body text (3) + 15 pt"/>
    <w:basedOn w:val="Bodytext3"/>
    <w:rsid w:val="00A45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1Spacing2pt">
    <w:name w:val="Heading #1 + Spacing 2 pt"/>
    <w:basedOn w:val="Heading1"/>
    <w:rsid w:val="00224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8B2A7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Spacing2pt">
    <w:name w:val="Body text (2) + Spacing 2 pt"/>
    <w:basedOn w:val="Bodytext2"/>
    <w:rsid w:val="008B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Heading2Spacing2pt">
    <w:name w:val="Heading #2 + Spacing 2 pt"/>
    <w:basedOn w:val="Heading2"/>
    <w:rsid w:val="008B2A70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8B2A70"/>
    <w:pPr>
      <w:shd w:val="clear" w:color="auto" w:fill="FFFFFF"/>
      <w:spacing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val="en-US" w:eastAsia="en-US" w:bidi="ar-SA"/>
    </w:rPr>
  </w:style>
  <w:style w:type="character" w:customStyle="1" w:styleId="Bodytext216pt">
    <w:name w:val="Body text (2) + 16 pt"/>
    <w:basedOn w:val="Bodytext2"/>
    <w:rsid w:val="00D14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D14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Davtyan</dc:creator>
  <cp:keywords/>
  <dc:description/>
  <cp:lastModifiedBy>Edmond Davtyan</cp:lastModifiedBy>
  <cp:revision>7</cp:revision>
  <dcterms:created xsi:type="dcterms:W3CDTF">2019-09-18T10:38:00Z</dcterms:created>
  <dcterms:modified xsi:type="dcterms:W3CDTF">2019-09-19T10:11:00Z</dcterms:modified>
</cp:coreProperties>
</file>