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E39" w14:textId="77777777" w:rsidR="00E74B5C" w:rsidRPr="00583865" w:rsidRDefault="00E74B5C" w:rsidP="00E74B5C">
      <w:pPr>
        <w:pStyle w:val="Bodytext20"/>
        <w:shd w:val="clear" w:color="auto" w:fill="auto"/>
        <w:spacing w:before="0" w:after="160" w:line="360" w:lineRule="auto"/>
        <w:ind w:left="5103"/>
        <w:jc w:val="center"/>
        <w:rPr>
          <w:rFonts w:ascii="Sylfaen" w:hAnsi="Sylfaen" w:cs="Sylfaen"/>
          <w:sz w:val="24"/>
          <w:szCs w:val="24"/>
        </w:rPr>
      </w:pPr>
      <w:r w:rsidRPr="00583865">
        <w:rPr>
          <w:rFonts w:ascii="Sylfaen" w:hAnsi="Sylfaen"/>
          <w:sz w:val="24"/>
          <w:szCs w:val="24"/>
        </w:rPr>
        <w:t>ՀԱՎԵԼՎԱԾ</w:t>
      </w:r>
    </w:p>
    <w:p w14:paraId="6D341CAD" w14:textId="77777777" w:rsidR="00E74B5C" w:rsidRPr="00583865" w:rsidRDefault="00E74B5C" w:rsidP="00E74B5C">
      <w:pPr>
        <w:pStyle w:val="Bodytext20"/>
        <w:shd w:val="clear" w:color="auto" w:fill="auto"/>
        <w:spacing w:before="0" w:after="160" w:line="360" w:lineRule="auto"/>
        <w:ind w:left="5103"/>
        <w:jc w:val="center"/>
        <w:rPr>
          <w:rFonts w:ascii="Sylfaen" w:hAnsi="Sylfaen" w:cs="Sylfaen"/>
          <w:sz w:val="24"/>
          <w:szCs w:val="24"/>
        </w:rPr>
      </w:pPr>
      <w:r w:rsidRPr="00583865">
        <w:rPr>
          <w:rFonts w:ascii="Sylfaen" w:hAnsi="Sylfaen"/>
          <w:sz w:val="24"/>
          <w:szCs w:val="24"/>
        </w:rPr>
        <w:t>Եվրասիական տնտեսական բարձրագույն խորհրդի</w:t>
      </w:r>
      <w:r>
        <w:rPr>
          <w:rFonts w:ascii="Sylfaen" w:hAnsi="Sylfaen" w:cs="Sylfaen"/>
          <w:sz w:val="24"/>
          <w:szCs w:val="24"/>
        </w:rPr>
        <w:br/>
      </w:r>
      <w:r w:rsidRPr="00583865">
        <w:rPr>
          <w:rFonts w:ascii="Sylfaen" w:hAnsi="Sylfaen"/>
          <w:sz w:val="24"/>
          <w:szCs w:val="24"/>
        </w:rPr>
        <w:t>20</w:t>
      </w:r>
      <w:r w:rsidRPr="00583865">
        <w:rPr>
          <w:rFonts w:ascii="Sylfaen" w:hAnsi="Sylfaen"/>
          <w:i/>
          <w:sz w:val="24"/>
          <w:szCs w:val="24"/>
        </w:rPr>
        <w:t>18</w:t>
      </w:r>
      <w:r w:rsidRPr="00583865">
        <w:rPr>
          <w:rFonts w:ascii="Sylfaen" w:hAnsi="Sylfaen"/>
          <w:sz w:val="24"/>
          <w:szCs w:val="24"/>
        </w:rPr>
        <w:t xml:space="preserve"> թվականի </w:t>
      </w:r>
      <w:r w:rsidRPr="00583865">
        <w:rPr>
          <w:rFonts w:ascii="Sylfaen" w:hAnsi="Sylfaen"/>
          <w:i/>
          <w:sz w:val="24"/>
          <w:szCs w:val="24"/>
        </w:rPr>
        <w:t>մայիսի 14-ի</w:t>
      </w:r>
      <w:r w:rsidRPr="00583865">
        <w:rPr>
          <w:rFonts w:ascii="Sylfaen" w:hAnsi="Sylfaen"/>
          <w:sz w:val="24"/>
          <w:szCs w:val="24"/>
        </w:rPr>
        <w:t xml:space="preserve"> </w:t>
      </w:r>
      <w:r>
        <w:rPr>
          <w:rFonts w:ascii="Sylfaen" w:hAnsi="Sylfaen"/>
          <w:sz w:val="24"/>
          <w:szCs w:val="24"/>
        </w:rPr>
        <w:br/>
      </w:r>
      <w:r w:rsidRPr="00583865">
        <w:rPr>
          <w:rFonts w:ascii="Sylfaen" w:hAnsi="Sylfaen"/>
          <w:sz w:val="24"/>
          <w:szCs w:val="24"/>
        </w:rPr>
        <w:t xml:space="preserve">թիվ </w:t>
      </w:r>
      <w:r w:rsidRPr="00583865">
        <w:rPr>
          <w:rFonts w:ascii="Sylfaen" w:hAnsi="Sylfaen"/>
          <w:i/>
          <w:sz w:val="24"/>
          <w:szCs w:val="24"/>
        </w:rPr>
        <w:t>7</w:t>
      </w:r>
      <w:r w:rsidRPr="00583865">
        <w:rPr>
          <w:rFonts w:ascii="Sylfaen" w:hAnsi="Sylfaen"/>
          <w:sz w:val="24"/>
          <w:szCs w:val="24"/>
        </w:rPr>
        <w:t xml:space="preserve"> որոշման</w:t>
      </w:r>
    </w:p>
    <w:p w14:paraId="033D0F50" w14:textId="77777777" w:rsidR="00E74B5C" w:rsidRPr="00583865" w:rsidRDefault="00E74B5C" w:rsidP="00E74B5C">
      <w:pPr>
        <w:pStyle w:val="Bodytext20"/>
        <w:shd w:val="clear" w:color="auto" w:fill="auto"/>
        <w:spacing w:before="0" w:after="160" w:line="360" w:lineRule="auto"/>
        <w:ind w:left="5103"/>
        <w:rPr>
          <w:rFonts w:ascii="Sylfaen" w:hAnsi="Sylfaen" w:cs="Sylfaen"/>
          <w:sz w:val="24"/>
          <w:szCs w:val="24"/>
        </w:rPr>
      </w:pPr>
    </w:p>
    <w:p w14:paraId="58812A48" w14:textId="77777777" w:rsidR="00E74B5C" w:rsidRPr="00583865" w:rsidRDefault="00E74B5C" w:rsidP="00E74B5C">
      <w:pPr>
        <w:pStyle w:val="Heading20"/>
        <w:shd w:val="clear" w:color="auto" w:fill="auto"/>
        <w:spacing w:after="160" w:line="360" w:lineRule="auto"/>
        <w:ind w:right="1"/>
        <w:outlineLvl w:val="9"/>
        <w:rPr>
          <w:rFonts w:ascii="Sylfaen" w:hAnsi="Sylfaen" w:cs="Sylfaen"/>
          <w:sz w:val="24"/>
          <w:szCs w:val="24"/>
        </w:rPr>
      </w:pPr>
      <w:r w:rsidRPr="00583865">
        <w:rPr>
          <w:rStyle w:val="Heading2Spacing2pt"/>
          <w:rFonts w:eastAsia="Sylfaen"/>
          <w:sz w:val="24"/>
          <w:szCs w:val="24"/>
        </w:rPr>
        <w:t>ՓՈՓՈԽՈՒԹՅՈՒՆՆԵՐ</w:t>
      </w:r>
    </w:p>
    <w:p w14:paraId="6E3FEB2A" w14:textId="77777777" w:rsidR="00E74B5C" w:rsidRDefault="00E74B5C" w:rsidP="00E74B5C">
      <w:pPr>
        <w:pStyle w:val="Bodytext30"/>
        <w:shd w:val="clear" w:color="auto" w:fill="auto"/>
        <w:spacing w:before="0" w:after="160" w:line="360" w:lineRule="auto"/>
        <w:ind w:right="1"/>
        <w:rPr>
          <w:rFonts w:ascii="Sylfaen" w:hAnsi="Sylfaen"/>
          <w:sz w:val="24"/>
          <w:szCs w:val="24"/>
        </w:rPr>
      </w:pPr>
      <w:r w:rsidRPr="00583865">
        <w:rPr>
          <w:rFonts w:ascii="Sylfaen" w:hAnsi="Sylfaen"/>
          <w:sz w:val="24"/>
          <w:szCs w:val="24"/>
        </w:rPr>
        <w:t>ծառայությունների այն ոլորտների (ենթաոլորտների) ցանկում կատարվող, որոնցում Եվրասիական տնտեսական միության շրջանակներում գործում է ծառայությունների միասնական շուկան</w:t>
      </w:r>
    </w:p>
    <w:p w14:paraId="252DA764" w14:textId="77777777" w:rsidR="00E74B5C" w:rsidRPr="00583865" w:rsidRDefault="00E74B5C" w:rsidP="00E74B5C">
      <w:pPr>
        <w:pStyle w:val="Bodytext30"/>
        <w:shd w:val="clear" w:color="auto" w:fill="auto"/>
        <w:spacing w:before="0" w:after="160" w:line="360" w:lineRule="auto"/>
        <w:ind w:right="1"/>
        <w:rPr>
          <w:rFonts w:ascii="Sylfaen" w:hAnsi="Sylfaen" w:cs="Sylfaen"/>
          <w:sz w:val="24"/>
          <w:szCs w:val="24"/>
        </w:rPr>
      </w:pPr>
    </w:p>
    <w:p w14:paraId="637B67FD"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1.</w:t>
      </w:r>
      <w:r>
        <w:rPr>
          <w:rFonts w:ascii="Sylfaen" w:hAnsi="Sylfaen"/>
          <w:sz w:val="24"/>
          <w:szCs w:val="24"/>
        </w:rPr>
        <w:tab/>
      </w:r>
      <w:r w:rsidRPr="00583865">
        <w:rPr>
          <w:rFonts w:ascii="Sylfaen" w:hAnsi="Sylfaen"/>
          <w:sz w:val="24"/>
          <w:szCs w:val="24"/>
        </w:rPr>
        <w:t>Լրացնել հետեւյալ բովանդակությամբ 44 - 52-րդ կետեր՝</w:t>
      </w:r>
    </w:p>
    <w:p w14:paraId="10514BC0"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«44.</w:t>
      </w:r>
      <w:r>
        <w:rPr>
          <w:rFonts w:ascii="Sylfaen" w:hAnsi="Sylfaen"/>
          <w:sz w:val="24"/>
          <w:szCs w:val="24"/>
        </w:rPr>
        <w:tab/>
      </w:r>
      <w:r w:rsidRPr="00583865">
        <w:rPr>
          <w:rFonts w:ascii="Sylfaen" w:hAnsi="Sylfaen"/>
          <w:sz w:val="24"/>
          <w:szCs w:val="24"/>
        </w:rPr>
        <w:t>ԿինոՖիլմերի ու տեսաֆիլմերի արտադ</w:t>
      </w:r>
      <w:r>
        <w:rPr>
          <w:rFonts w:ascii="Sylfaen" w:hAnsi="Sylfaen"/>
          <w:sz w:val="24"/>
          <w:szCs w:val="24"/>
        </w:rPr>
        <w:t>ր</w:t>
      </w:r>
      <w:r w:rsidRPr="00583865">
        <w:rPr>
          <w:rFonts w:ascii="Sylfaen" w:hAnsi="Sylfaen"/>
          <w:sz w:val="24"/>
          <w:szCs w:val="24"/>
        </w:rPr>
        <w:t xml:space="preserve">ության </w:t>
      </w:r>
      <w:r>
        <w:rPr>
          <w:rFonts w:ascii="Sylfaen" w:hAnsi="Sylfaen"/>
          <w:sz w:val="24"/>
          <w:szCs w:val="24"/>
        </w:rPr>
        <w:t>եւ</w:t>
      </w:r>
      <w:r w:rsidRPr="00583865">
        <w:rPr>
          <w:rFonts w:ascii="Sylfaen" w:hAnsi="Sylfaen"/>
          <w:sz w:val="24"/>
          <w:szCs w:val="24"/>
        </w:rPr>
        <w:t xml:space="preserve"> տարածման հետ կապված ծառայություններ (ՀԱԴ-ից՝ 96121 </w:t>
      </w:r>
      <w:r>
        <w:rPr>
          <w:rFonts w:ascii="Sylfaen" w:hAnsi="Sylfaen"/>
          <w:sz w:val="24"/>
          <w:szCs w:val="24"/>
        </w:rPr>
        <w:t>եւ</w:t>
      </w:r>
      <w:r w:rsidRPr="00583865">
        <w:rPr>
          <w:rFonts w:ascii="Sylfaen" w:hAnsi="Sylfaen"/>
          <w:sz w:val="24"/>
          <w:szCs w:val="24"/>
        </w:rPr>
        <w:t xml:space="preserve"> 96141)</w:t>
      </w:r>
      <w:r w:rsidRPr="00583865">
        <w:rPr>
          <w:rFonts w:ascii="Sylfaen" w:hAnsi="Sylfaen"/>
          <w:sz w:val="24"/>
          <w:szCs w:val="24"/>
          <w:vertAlign w:val="superscript"/>
        </w:rPr>
        <w:t>7</w:t>
      </w:r>
      <w:r w:rsidRPr="00583865">
        <w:rPr>
          <w:rFonts w:ascii="Sylfaen" w:hAnsi="Sylfaen"/>
          <w:sz w:val="24"/>
          <w:szCs w:val="24"/>
        </w:rPr>
        <w:t>:</w:t>
      </w:r>
    </w:p>
    <w:p w14:paraId="19D3BB60"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45.</w:t>
      </w:r>
      <w:r>
        <w:rPr>
          <w:rFonts w:ascii="Sylfaen" w:hAnsi="Sylfaen"/>
          <w:sz w:val="24"/>
          <w:szCs w:val="24"/>
        </w:rPr>
        <w:tab/>
      </w:r>
      <w:r w:rsidRPr="00583865">
        <w:rPr>
          <w:rFonts w:ascii="Sylfaen" w:hAnsi="Sylfaen"/>
          <w:sz w:val="24"/>
          <w:szCs w:val="24"/>
        </w:rPr>
        <w:t>Տեսաֆիլմերի ցուցադրման ծառայություններ (ՀԱԴ-ից՝ 96152)</w:t>
      </w:r>
      <w:r w:rsidRPr="00583865">
        <w:rPr>
          <w:rFonts w:ascii="Sylfaen" w:hAnsi="Sylfaen"/>
          <w:sz w:val="24"/>
          <w:szCs w:val="24"/>
          <w:vertAlign w:val="superscript"/>
        </w:rPr>
        <w:t>7</w:t>
      </w:r>
      <w:r w:rsidRPr="00583865">
        <w:rPr>
          <w:rFonts w:ascii="Sylfaen" w:hAnsi="Sylfaen"/>
          <w:sz w:val="24"/>
          <w:szCs w:val="24"/>
        </w:rPr>
        <w:t>:</w:t>
      </w:r>
    </w:p>
    <w:p w14:paraId="6AC8154F"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46.</w:t>
      </w:r>
      <w:r>
        <w:rPr>
          <w:rFonts w:ascii="Sylfaen" w:hAnsi="Sylfaen"/>
          <w:sz w:val="24"/>
          <w:szCs w:val="24"/>
        </w:rPr>
        <w:tab/>
      </w:r>
      <w:r w:rsidRPr="00583865">
        <w:rPr>
          <w:rFonts w:ascii="Sylfaen" w:hAnsi="Sylfaen"/>
          <w:sz w:val="24"/>
          <w:szCs w:val="24"/>
        </w:rPr>
        <w:t xml:space="preserve">Սեփական կամ վարձակալվող անշարժ գույքի հետ կապված ծառայություններ (բացառությամբ միջնորդների ռիելթորական ծառայությունների) (ՀԱԴ-ից՝ 72111, 72112, 72121, 72122, 72130 </w:t>
      </w:r>
      <w:r>
        <w:rPr>
          <w:rFonts w:ascii="Sylfaen" w:hAnsi="Sylfaen"/>
          <w:sz w:val="24"/>
          <w:szCs w:val="24"/>
        </w:rPr>
        <w:t>եւ</w:t>
      </w:r>
      <w:r w:rsidRPr="00583865">
        <w:rPr>
          <w:rFonts w:ascii="Sylfaen" w:hAnsi="Sylfaen"/>
          <w:sz w:val="24"/>
          <w:szCs w:val="24"/>
        </w:rPr>
        <w:t xml:space="preserve"> 72212)</w:t>
      </w:r>
      <w:r w:rsidRPr="00583865">
        <w:rPr>
          <w:rFonts w:ascii="Sylfaen" w:hAnsi="Sylfaen"/>
          <w:sz w:val="24"/>
          <w:szCs w:val="24"/>
          <w:vertAlign w:val="superscript"/>
        </w:rPr>
        <w:t>7</w:t>
      </w:r>
      <w:r w:rsidRPr="00583865">
        <w:rPr>
          <w:rFonts w:ascii="Sylfaen" w:hAnsi="Sylfaen"/>
          <w:sz w:val="24"/>
          <w:szCs w:val="24"/>
        </w:rPr>
        <w:t>։</w:t>
      </w:r>
    </w:p>
    <w:p w14:paraId="18E663D3"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47.</w:t>
      </w:r>
      <w:r>
        <w:rPr>
          <w:rFonts w:ascii="Sylfaen" w:hAnsi="Sylfaen"/>
          <w:sz w:val="24"/>
          <w:szCs w:val="24"/>
        </w:rPr>
        <w:tab/>
      </w:r>
      <w:r w:rsidRPr="00583865">
        <w:rPr>
          <w:rFonts w:ascii="Sylfaen" w:hAnsi="Sylfaen"/>
          <w:sz w:val="24"/>
          <w:szCs w:val="24"/>
        </w:rPr>
        <w:t>Առանց օպերատորի (անձնակազմի) զբոսանավերի վարձակալության եւ լիզինգի հետ կապված ծառայություններ՝ բացառությամբ «Եվրասիական տնտեսական միության մասին» 2014 թվականի մայիսի 29-ի պայմանագրի XVI</w:t>
      </w:r>
      <w:r>
        <w:rPr>
          <w:rFonts w:ascii="Sylfaen" w:hAnsi="Sylfaen"/>
          <w:sz w:val="24"/>
          <w:szCs w:val="24"/>
        </w:rPr>
        <w:t> </w:t>
      </w:r>
      <w:r w:rsidRPr="00583865">
        <w:rPr>
          <w:rFonts w:ascii="Sylfaen" w:hAnsi="Sylfaen"/>
          <w:sz w:val="24"/>
          <w:szCs w:val="24"/>
        </w:rPr>
        <w:t>բաժնով նախատեսված ֆինանսական ծառայությունների (ՀԱԴ-ից՝ 73240)</w:t>
      </w:r>
      <w:r w:rsidRPr="00583865">
        <w:rPr>
          <w:rFonts w:ascii="Sylfaen" w:hAnsi="Sylfaen"/>
          <w:sz w:val="24"/>
          <w:szCs w:val="24"/>
          <w:vertAlign w:val="superscript"/>
        </w:rPr>
        <w:t>7</w:t>
      </w:r>
      <w:r w:rsidRPr="00583865">
        <w:rPr>
          <w:rFonts w:ascii="Sylfaen" w:hAnsi="Sylfaen"/>
          <w:sz w:val="24"/>
          <w:szCs w:val="24"/>
        </w:rPr>
        <w:t>։</w:t>
      </w:r>
    </w:p>
    <w:p w14:paraId="59904D53" w14:textId="77777777" w:rsidR="00E74B5C" w:rsidRDefault="00E74B5C" w:rsidP="00E74B5C">
      <w:pPr>
        <w:pStyle w:val="Bodytext20"/>
        <w:shd w:val="clear" w:color="auto" w:fill="auto"/>
        <w:tabs>
          <w:tab w:val="left" w:pos="1134"/>
        </w:tabs>
        <w:spacing w:before="0" w:after="160" w:line="360" w:lineRule="auto"/>
        <w:ind w:firstLine="567"/>
        <w:rPr>
          <w:rFonts w:ascii="Sylfaen" w:hAnsi="Sylfaen"/>
          <w:sz w:val="24"/>
          <w:szCs w:val="24"/>
        </w:rPr>
      </w:pPr>
      <w:r w:rsidRPr="00583865">
        <w:rPr>
          <w:rFonts w:ascii="Sylfaen" w:hAnsi="Sylfaen"/>
          <w:sz w:val="24"/>
          <w:szCs w:val="24"/>
        </w:rPr>
        <w:t>48.</w:t>
      </w:r>
      <w:r>
        <w:rPr>
          <w:rFonts w:ascii="Sylfaen" w:hAnsi="Sylfaen"/>
          <w:sz w:val="24"/>
          <w:szCs w:val="24"/>
        </w:rPr>
        <w:tab/>
      </w:r>
      <w:r w:rsidRPr="00583865">
        <w:rPr>
          <w:rFonts w:ascii="Sylfaen" w:hAnsi="Sylfaen"/>
          <w:sz w:val="24"/>
          <w:szCs w:val="24"/>
        </w:rPr>
        <w:t xml:space="preserve">Ծառայություններ գովազդի բնագավառում (ՀԱԴ-ից՝ 83610, 83620, 83631 </w:t>
      </w:r>
      <w:r>
        <w:rPr>
          <w:rFonts w:ascii="Sylfaen" w:hAnsi="Sylfaen"/>
          <w:sz w:val="24"/>
          <w:szCs w:val="24"/>
        </w:rPr>
        <w:t>եւ</w:t>
      </w:r>
      <w:r w:rsidRPr="00583865">
        <w:rPr>
          <w:rFonts w:ascii="Sylfaen" w:hAnsi="Sylfaen"/>
          <w:sz w:val="24"/>
          <w:szCs w:val="24"/>
        </w:rPr>
        <w:t xml:space="preserve"> 83690)</w:t>
      </w:r>
      <w:r w:rsidRPr="00583865">
        <w:rPr>
          <w:rFonts w:ascii="Sylfaen" w:hAnsi="Sylfaen"/>
          <w:sz w:val="24"/>
          <w:szCs w:val="24"/>
          <w:vertAlign w:val="superscript"/>
        </w:rPr>
        <w:t>8</w:t>
      </w:r>
      <w:r w:rsidRPr="00583865">
        <w:rPr>
          <w:rFonts w:ascii="Sylfaen" w:hAnsi="Sylfaen"/>
          <w:sz w:val="24"/>
          <w:szCs w:val="24"/>
        </w:rPr>
        <w:t xml:space="preserve"> հետ</w:t>
      </w:r>
      <w:r>
        <w:rPr>
          <w:rFonts w:ascii="Sylfaen" w:hAnsi="Sylfaen"/>
          <w:sz w:val="24"/>
          <w:szCs w:val="24"/>
        </w:rPr>
        <w:t>եւ</w:t>
      </w:r>
      <w:r w:rsidRPr="00583865">
        <w:rPr>
          <w:rFonts w:ascii="Sylfaen" w:hAnsi="Sylfaen"/>
          <w:sz w:val="24"/>
          <w:szCs w:val="24"/>
        </w:rPr>
        <w:t>յալի մասով՝</w:t>
      </w:r>
    </w:p>
    <w:p w14:paraId="0FF3416C"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p>
    <w:p w14:paraId="02217EAA"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lastRenderedPageBreak/>
        <w:t>1)</w:t>
      </w:r>
      <w:r>
        <w:rPr>
          <w:rFonts w:ascii="Sylfaen" w:hAnsi="Sylfaen"/>
          <w:sz w:val="24"/>
          <w:szCs w:val="24"/>
        </w:rPr>
        <w:tab/>
      </w:r>
      <w:r w:rsidRPr="00583865">
        <w:rPr>
          <w:rFonts w:ascii="Sylfaen" w:hAnsi="Sylfaen"/>
          <w:sz w:val="24"/>
          <w:szCs w:val="24"/>
        </w:rPr>
        <w:t>գովազդային արշավներ պլանավորելը, կազմակերպելը եւ իրականացնելը, գովազդային ֆիլմերի համար սցենար գրելը, գովազդային օբյեկտներ կամ ֆիլմեր պլանավորելը (առանց արտադրության),</w:t>
      </w:r>
    </w:p>
    <w:p w14:paraId="5A04FC99"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2)</w:t>
      </w:r>
      <w:r>
        <w:rPr>
          <w:rFonts w:ascii="Sylfaen" w:hAnsi="Sylfaen"/>
          <w:sz w:val="24"/>
          <w:szCs w:val="24"/>
        </w:rPr>
        <w:tab/>
      </w:r>
      <w:r w:rsidRPr="00583865">
        <w:rPr>
          <w:rFonts w:ascii="Sylfaen" w:hAnsi="Sylfaen"/>
          <w:sz w:val="24"/>
          <w:szCs w:val="24"/>
        </w:rPr>
        <w:t>փոստային գովազդ,</w:t>
      </w:r>
    </w:p>
    <w:p w14:paraId="0C5B664F"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3)</w:t>
      </w:r>
      <w:r>
        <w:rPr>
          <w:rFonts w:ascii="Sylfaen" w:hAnsi="Sylfaen"/>
          <w:sz w:val="24"/>
          <w:szCs w:val="24"/>
        </w:rPr>
        <w:tab/>
      </w:r>
      <w:r w:rsidRPr="00583865">
        <w:rPr>
          <w:rFonts w:ascii="Sylfaen" w:hAnsi="Sylfaen"/>
          <w:sz w:val="24"/>
          <w:szCs w:val="24"/>
        </w:rPr>
        <w:t>գովազդի համար տեղի վաճառք, ներառյալ՝ գրքերը, բրոշյուրները եւ բուկլետները,</w:t>
      </w:r>
    </w:p>
    <w:p w14:paraId="29709E52"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w:t>
      </w:r>
      <w:r>
        <w:rPr>
          <w:rFonts w:ascii="Sylfaen" w:hAnsi="Sylfaen"/>
          <w:sz w:val="24"/>
          <w:szCs w:val="24"/>
        </w:rPr>
        <w:tab/>
      </w:r>
      <w:r w:rsidRPr="00583865">
        <w:rPr>
          <w:rFonts w:ascii="Sylfaen" w:hAnsi="Sylfaen"/>
          <w:sz w:val="24"/>
          <w:szCs w:val="24"/>
        </w:rPr>
        <w:t>հրատարակչի կողմից գովազդի համար տեղի վաճառք թերթերում, ամսագրերում եւ պարբերական հրատարակություններում,</w:t>
      </w:r>
    </w:p>
    <w:p w14:paraId="60767D6A"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5)</w:t>
      </w:r>
      <w:r>
        <w:rPr>
          <w:rFonts w:ascii="Sylfaen" w:hAnsi="Sylfaen"/>
          <w:sz w:val="24"/>
          <w:szCs w:val="24"/>
        </w:rPr>
        <w:tab/>
      </w:r>
      <w:r w:rsidRPr="00583865">
        <w:rPr>
          <w:rFonts w:ascii="Sylfaen" w:hAnsi="Sylfaen"/>
          <w:sz w:val="24"/>
          <w:szCs w:val="24"/>
        </w:rPr>
        <w:t>հրատարակչի կողմից տրամադրվող բացիկների, կարգացուցակների, ձեւաթղթերի, պլակատների եւ այլ տպագիր նյութերի վրա</w:t>
      </w:r>
      <w:r w:rsidRPr="00583865" w:rsidDel="00F55BB5">
        <w:rPr>
          <w:rFonts w:ascii="Sylfaen" w:hAnsi="Sylfaen"/>
          <w:sz w:val="24"/>
          <w:szCs w:val="24"/>
        </w:rPr>
        <w:t xml:space="preserve"> </w:t>
      </w:r>
      <w:r w:rsidRPr="00583865">
        <w:rPr>
          <w:rFonts w:ascii="Sylfaen" w:hAnsi="Sylfaen"/>
          <w:sz w:val="24"/>
          <w:szCs w:val="24"/>
        </w:rPr>
        <w:t>գովազդի համար տեղի վաճառք,</w:t>
      </w:r>
    </w:p>
    <w:p w14:paraId="3CB62C3E"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6)</w:t>
      </w:r>
      <w:r>
        <w:rPr>
          <w:rFonts w:ascii="Sylfaen" w:hAnsi="Sylfaen"/>
          <w:sz w:val="24"/>
          <w:szCs w:val="24"/>
        </w:rPr>
        <w:tab/>
      </w:r>
      <w:r w:rsidRPr="00583865">
        <w:rPr>
          <w:rFonts w:ascii="Sylfaen" w:hAnsi="Sylfaen"/>
          <w:sz w:val="24"/>
          <w:szCs w:val="24"/>
        </w:rPr>
        <w:t>օդային գովազդ,</w:t>
      </w:r>
    </w:p>
    <w:p w14:paraId="33CC0D1B"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7)</w:t>
      </w:r>
      <w:r>
        <w:rPr>
          <w:rFonts w:ascii="Sylfaen" w:hAnsi="Sylfaen"/>
          <w:sz w:val="24"/>
          <w:szCs w:val="24"/>
        </w:rPr>
        <w:tab/>
      </w:r>
      <w:r w:rsidRPr="00583865">
        <w:rPr>
          <w:rFonts w:ascii="Sylfaen" w:hAnsi="Sylfaen"/>
          <w:sz w:val="24"/>
          <w:szCs w:val="24"/>
        </w:rPr>
        <w:t>նմուշների եւ այլ գովազդային արտադրանքի առաքում,</w:t>
      </w:r>
    </w:p>
    <w:p w14:paraId="361FA2B2"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8)</w:t>
      </w:r>
      <w:r>
        <w:rPr>
          <w:rFonts w:ascii="Sylfaen" w:hAnsi="Sylfaen"/>
          <w:sz w:val="24"/>
          <w:szCs w:val="24"/>
        </w:rPr>
        <w:tab/>
      </w:r>
      <w:r w:rsidRPr="00583865">
        <w:rPr>
          <w:rFonts w:ascii="Sylfaen" w:hAnsi="Sylfaen"/>
          <w:sz w:val="24"/>
          <w:szCs w:val="24"/>
        </w:rPr>
        <w:t>վաճառքի վայրում ցուցադրումներ եւ շնորհանդեսներ,</w:t>
      </w:r>
    </w:p>
    <w:p w14:paraId="76B150FD"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9)</w:t>
      </w:r>
      <w:r>
        <w:rPr>
          <w:rFonts w:ascii="Sylfaen" w:hAnsi="Sylfaen"/>
          <w:sz w:val="24"/>
          <w:szCs w:val="24"/>
        </w:rPr>
        <w:tab/>
      </w:r>
      <w:r w:rsidRPr="00583865">
        <w:rPr>
          <w:rFonts w:ascii="Sylfaen" w:hAnsi="Sylfaen"/>
          <w:sz w:val="24"/>
          <w:szCs w:val="24"/>
        </w:rPr>
        <w:t>ներկայացուցիչների կողմից անմիջապես հաճախորդներին այդպիսի ծառայությունների մատուցում՝ տեղեկատվության եւ (կամ) ապրանքների նմուշների տրամադրմամբ,</w:t>
      </w:r>
    </w:p>
    <w:p w14:paraId="0B7D014F"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10)</w:t>
      </w:r>
      <w:r>
        <w:rPr>
          <w:rFonts w:ascii="Sylfaen" w:hAnsi="Sylfaen"/>
          <w:sz w:val="24"/>
          <w:szCs w:val="24"/>
        </w:rPr>
        <w:tab/>
      </w:r>
      <w:r w:rsidRPr="00583865">
        <w:rPr>
          <w:rFonts w:ascii="Sylfaen" w:hAnsi="Sylfaen"/>
          <w:sz w:val="24"/>
          <w:szCs w:val="24"/>
        </w:rPr>
        <w:t>ապրանքների եւ ծառայությունների վաճառքի խթանում:</w:t>
      </w:r>
    </w:p>
    <w:p w14:paraId="55A7EFDE"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49.</w:t>
      </w:r>
      <w:r>
        <w:rPr>
          <w:rFonts w:ascii="Sylfaen" w:hAnsi="Sylfaen"/>
          <w:sz w:val="24"/>
          <w:szCs w:val="24"/>
        </w:rPr>
        <w:tab/>
      </w:r>
      <w:r w:rsidRPr="00583865">
        <w:rPr>
          <w:rFonts w:ascii="Sylfaen" w:hAnsi="Sylfaen"/>
          <w:sz w:val="24"/>
          <w:szCs w:val="24"/>
        </w:rPr>
        <w:t xml:space="preserve">Երկրաբանական, երկրաֆիզիկական </w:t>
      </w:r>
      <w:r>
        <w:rPr>
          <w:rFonts w:ascii="Sylfaen" w:hAnsi="Sylfaen"/>
          <w:sz w:val="24"/>
          <w:szCs w:val="24"/>
        </w:rPr>
        <w:t>եւ</w:t>
      </w:r>
      <w:r w:rsidRPr="00583865">
        <w:rPr>
          <w:rFonts w:ascii="Sylfaen" w:hAnsi="Sylfaen"/>
          <w:sz w:val="24"/>
          <w:szCs w:val="24"/>
        </w:rPr>
        <w:t xml:space="preserve"> այլ տեսակի հետազոտական աշխատանքների հետ կապված ծառայություններ՝ երկրաբանության, երկրաֆիզիկայի, երկրաքիմիայի </w:t>
      </w:r>
      <w:r>
        <w:rPr>
          <w:rFonts w:ascii="Sylfaen" w:hAnsi="Sylfaen"/>
          <w:sz w:val="24"/>
          <w:szCs w:val="24"/>
        </w:rPr>
        <w:t>եւ</w:t>
      </w:r>
      <w:r w:rsidRPr="00583865">
        <w:rPr>
          <w:rFonts w:ascii="Sylfaen" w:hAnsi="Sylfaen"/>
          <w:sz w:val="24"/>
          <w:szCs w:val="24"/>
        </w:rPr>
        <w:t xml:space="preserve"> այլ գիտությունների ոլորտում գիտական խորհրդատվական ծառայությունների մասով՝ կապված կարծր օգտակար հանածոների, նավթի, գազի, ստորգետնյա ջրերի հանքավայրերի որոնման հետ՝ բացառությամբ դաշտային աշխատանքների (ՀԱԴ-ից՝ 83510)</w:t>
      </w:r>
      <w:r w:rsidRPr="00583865">
        <w:rPr>
          <w:rFonts w:ascii="Sylfaen" w:hAnsi="Sylfaen"/>
          <w:sz w:val="24"/>
          <w:szCs w:val="24"/>
          <w:vertAlign w:val="superscript"/>
        </w:rPr>
        <w:t>9</w:t>
      </w:r>
      <w:r w:rsidRPr="00583865">
        <w:rPr>
          <w:rFonts w:ascii="Sylfaen" w:hAnsi="Sylfaen"/>
          <w:sz w:val="24"/>
          <w:szCs w:val="24"/>
        </w:rPr>
        <w:t>:</w:t>
      </w:r>
    </w:p>
    <w:p w14:paraId="26A9EC05"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rPr>
        <w:t>50.</w:t>
      </w:r>
      <w:r>
        <w:rPr>
          <w:rFonts w:ascii="Sylfaen" w:hAnsi="Sylfaen"/>
          <w:sz w:val="24"/>
          <w:szCs w:val="24"/>
        </w:rPr>
        <w:tab/>
      </w:r>
      <w:r w:rsidRPr="00583865">
        <w:rPr>
          <w:rFonts w:ascii="Sylfaen" w:hAnsi="Sylfaen"/>
          <w:sz w:val="24"/>
          <w:szCs w:val="24"/>
        </w:rPr>
        <w:t xml:space="preserve">Ճանապարհորդությունների բյուրոների </w:t>
      </w:r>
      <w:r>
        <w:rPr>
          <w:rFonts w:ascii="Sylfaen" w:hAnsi="Sylfaen"/>
          <w:sz w:val="24"/>
          <w:szCs w:val="24"/>
        </w:rPr>
        <w:t>եւ</w:t>
      </w:r>
      <w:r w:rsidRPr="00583865">
        <w:rPr>
          <w:rFonts w:ascii="Sylfaen" w:hAnsi="Sylfaen"/>
          <w:sz w:val="24"/>
          <w:szCs w:val="24"/>
        </w:rPr>
        <w:t xml:space="preserve"> տուրիստական գործակալությունների ծառայություններ (տուրօպերատորների </w:t>
      </w:r>
      <w:r>
        <w:rPr>
          <w:rFonts w:ascii="Sylfaen" w:hAnsi="Sylfaen"/>
          <w:sz w:val="24"/>
          <w:szCs w:val="24"/>
        </w:rPr>
        <w:t>եւ</w:t>
      </w:r>
      <w:r w:rsidRPr="00583865">
        <w:rPr>
          <w:rFonts w:ascii="Sylfaen" w:hAnsi="Sylfaen"/>
          <w:sz w:val="24"/>
          <w:szCs w:val="24"/>
        </w:rPr>
        <w:t xml:space="preserve"> տուրիստական գործակալների ծառայություններ) (ՀԱԴ-ից՝ 67811/67812)</w:t>
      </w:r>
      <w:r w:rsidRPr="00583865">
        <w:rPr>
          <w:rFonts w:ascii="Sylfaen" w:hAnsi="Sylfaen"/>
          <w:sz w:val="24"/>
          <w:szCs w:val="24"/>
          <w:vertAlign w:val="superscript"/>
        </w:rPr>
        <w:t>10</w:t>
      </w:r>
      <w:r w:rsidRPr="00583865">
        <w:rPr>
          <w:rFonts w:ascii="Sylfaen" w:hAnsi="Sylfaen"/>
          <w:sz w:val="24"/>
          <w:szCs w:val="24"/>
        </w:rPr>
        <w:t>:</w:t>
      </w:r>
    </w:p>
    <w:p w14:paraId="5FD04385"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lastRenderedPageBreak/>
        <w:t>51.</w:t>
      </w:r>
      <w:r>
        <w:rPr>
          <w:rFonts w:ascii="Sylfaen" w:hAnsi="Sylfaen"/>
          <w:sz w:val="24"/>
          <w:szCs w:val="24"/>
        </w:rPr>
        <w:tab/>
      </w:r>
      <w:r w:rsidRPr="00583865">
        <w:rPr>
          <w:rFonts w:ascii="Sylfaen" w:hAnsi="Sylfaen"/>
          <w:sz w:val="24"/>
          <w:szCs w:val="24"/>
        </w:rPr>
        <w:t xml:space="preserve">Գիտահետազոտական աշխատանքների կատարման </w:t>
      </w:r>
      <w:r>
        <w:rPr>
          <w:rFonts w:ascii="Sylfaen" w:hAnsi="Sylfaen"/>
          <w:sz w:val="24"/>
          <w:szCs w:val="24"/>
        </w:rPr>
        <w:t>եւ</w:t>
      </w:r>
      <w:r w:rsidRPr="00583865">
        <w:rPr>
          <w:rFonts w:ascii="Sylfaen" w:hAnsi="Sylfaen"/>
          <w:sz w:val="24"/>
          <w:szCs w:val="24"/>
        </w:rPr>
        <w:t xml:space="preserve"> հասարակական ու հումանիտար գիտությունների բնագավառում ներդրման հետ կապված ծառայություններ (ՀԱԴ-ից՝ 81210, 81220, 81230, 81240 </w:t>
      </w:r>
      <w:r>
        <w:rPr>
          <w:rFonts w:ascii="Sylfaen" w:hAnsi="Sylfaen"/>
          <w:sz w:val="24"/>
          <w:szCs w:val="24"/>
        </w:rPr>
        <w:t>եւ</w:t>
      </w:r>
      <w:r w:rsidRPr="00583865">
        <w:rPr>
          <w:rFonts w:ascii="Sylfaen" w:hAnsi="Sylfaen"/>
          <w:sz w:val="24"/>
          <w:szCs w:val="24"/>
        </w:rPr>
        <w:t xml:space="preserve"> 81290)</w:t>
      </w:r>
      <w:r w:rsidRPr="00583865">
        <w:rPr>
          <w:rFonts w:ascii="Sylfaen" w:hAnsi="Sylfaen"/>
          <w:sz w:val="24"/>
          <w:szCs w:val="24"/>
          <w:vertAlign w:val="superscript"/>
        </w:rPr>
        <w:t>11</w:t>
      </w:r>
      <w:r w:rsidRPr="00583865">
        <w:rPr>
          <w:rFonts w:ascii="Sylfaen" w:hAnsi="Sylfaen"/>
          <w:sz w:val="24"/>
          <w:szCs w:val="24"/>
        </w:rPr>
        <w:t>:</w:t>
      </w:r>
    </w:p>
    <w:p w14:paraId="53BB3F00"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52.</w:t>
      </w:r>
      <w:r>
        <w:rPr>
          <w:rFonts w:ascii="Sylfaen" w:hAnsi="Sylfaen"/>
          <w:sz w:val="24"/>
          <w:szCs w:val="24"/>
        </w:rPr>
        <w:tab/>
      </w:r>
      <w:r w:rsidRPr="00583865">
        <w:rPr>
          <w:rFonts w:ascii="Sylfaen" w:hAnsi="Sylfaen"/>
          <w:sz w:val="24"/>
          <w:szCs w:val="24"/>
        </w:rPr>
        <w:t xml:space="preserve">Գիտահետազոտական աշխատանքների կատարման </w:t>
      </w:r>
      <w:r>
        <w:rPr>
          <w:rFonts w:ascii="Sylfaen" w:hAnsi="Sylfaen"/>
          <w:sz w:val="24"/>
          <w:szCs w:val="24"/>
        </w:rPr>
        <w:t>եւ</w:t>
      </w:r>
      <w:r w:rsidRPr="00583865">
        <w:rPr>
          <w:rFonts w:ascii="Sylfaen" w:hAnsi="Sylfaen"/>
          <w:sz w:val="24"/>
          <w:szCs w:val="24"/>
        </w:rPr>
        <w:t xml:space="preserve"> բնական գիտությունների բնագավառում փորձարարական մշակումների ստեղծման հետ կապված ծառայություններ (ՀԱԴ-ից՝ 811 10, 81120, 81130, 81140, 81150 </w:t>
      </w:r>
      <w:r>
        <w:rPr>
          <w:rFonts w:ascii="Sylfaen" w:hAnsi="Sylfaen"/>
          <w:sz w:val="24"/>
          <w:szCs w:val="24"/>
        </w:rPr>
        <w:t>եւ</w:t>
      </w:r>
      <w:r w:rsidRPr="00583865">
        <w:rPr>
          <w:rFonts w:ascii="Sylfaen" w:hAnsi="Sylfaen"/>
          <w:sz w:val="24"/>
          <w:szCs w:val="24"/>
        </w:rPr>
        <w:t xml:space="preserve"> 81190)</w:t>
      </w:r>
      <w:r w:rsidRPr="00583865">
        <w:rPr>
          <w:rFonts w:ascii="Sylfaen" w:hAnsi="Sylfaen"/>
          <w:sz w:val="24"/>
          <w:szCs w:val="24"/>
          <w:vertAlign w:val="superscript"/>
        </w:rPr>
        <w:t>11</w:t>
      </w:r>
      <w:r w:rsidRPr="00583865">
        <w:rPr>
          <w:rFonts w:ascii="Sylfaen" w:hAnsi="Sylfaen"/>
          <w:sz w:val="24"/>
          <w:szCs w:val="24"/>
        </w:rPr>
        <w:t>՝ հետ</w:t>
      </w:r>
      <w:r>
        <w:rPr>
          <w:rFonts w:ascii="Sylfaen" w:hAnsi="Sylfaen"/>
          <w:sz w:val="24"/>
          <w:szCs w:val="24"/>
        </w:rPr>
        <w:t>եւ</w:t>
      </w:r>
      <w:r w:rsidRPr="00583865">
        <w:rPr>
          <w:rFonts w:ascii="Sylfaen" w:hAnsi="Sylfaen"/>
          <w:sz w:val="24"/>
          <w:szCs w:val="24"/>
        </w:rPr>
        <w:t>յալ ոլորտներում կիրառական հետազոտությունների մասով՝</w:t>
      </w:r>
    </w:p>
    <w:p w14:paraId="516CBC3D"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1)</w:t>
      </w:r>
      <w:r>
        <w:rPr>
          <w:rFonts w:ascii="Sylfaen" w:hAnsi="Sylfaen"/>
          <w:sz w:val="24"/>
          <w:szCs w:val="24"/>
        </w:rPr>
        <w:tab/>
      </w:r>
      <w:r w:rsidRPr="00583865">
        <w:rPr>
          <w:rFonts w:ascii="Sylfaen" w:hAnsi="Sylfaen"/>
          <w:sz w:val="24"/>
          <w:szCs w:val="24"/>
        </w:rPr>
        <w:t>ջերմություն, լույս, էլեկտրամագնիսականություն, աստղագիտություն,</w:t>
      </w:r>
    </w:p>
    <w:p w14:paraId="537E56D0"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2)</w:t>
      </w:r>
      <w:r>
        <w:rPr>
          <w:rFonts w:ascii="Sylfaen" w:hAnsi="Sylfaen"/>
          <w:sz w:val="24"/>
          <w:szCs w:val="24"/>
        </w:rPr>
        <w:tab/>
      </w:r>
      <w:r w:rsidRPr="00583865">
        <w:rPr>
          <w:rFonts w:ascii="Sylfaen" w:hAnsi="Sylfaen"/>
          <w:sz w:val="24"/>
          <w:szCs w:val="24"/>
        </w:rPr>
        <w:t>կատալիզ, ֆերմենտացիա, կենդանիների, բույսերի ու միկրոօրգանիզմների ֆիզիոլոգիա եւ էկոլոգիա,</w:t>
      </w:r>
    </w:p>
    <w:p w14:paraId="30D53D8F"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3)</w:t>
      </w:r>
      <w:r>
        <w:rPr>
          <w:rFonts w:ascii="Sylfaen" w:hAnsi="Sylfaen"/>
          <w:sz w:val="24"/>
          <w:szCs w:val="24"/>
        </w:rPr>
        <w:tab/>
      </w:r>
      <w:r w:rsidRPr="00583865">
        <w:rPr>
          <w:rFonts w:ascii="Sylfaen" w:hAnsi="Sylfaen"/>
          <w:sz w:val="24"/>
          <w:szCs w:val="24"/>
        </w:rPr>
        <w:t>ձուլվածքի, մետալուրգիայի, մեքենաների, էլեկտրականության, կապի, նավերի, օդանավերի, քաղաքացիական շինարարության, շինարարության, տեղեկատվական տեխնոլոգիաներ,</w:t>
      </w:r>
    </w:p>
    <w:p w14:paraId="7FA7622C"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4)</w:t>
      </w:r>
      <w:r>
        <w:rPr>
          <w:rFonts w:ascii="Sylfaen" w:hAnsi="Sylfaen"/>
          <w:sz w:val="24"/>
          <w:szCs w:val="24"/>
        </w:rPr>
        <w:tab/>
      </w:r>
      <w:r w:rsidRPr="00583865">
        <w:rPr>
          <w:rFonts w:ascii="Sylfaen" w:hAnsi="Sylfaen"/>
          <w:sz w:val="24"/>
          <w:szCs w:val="24"/>
        </w:rPr>
        <w:t>ագրոտեխնիկա, այգեգործություն, անտառային տնտեսություն, անասնաբուծություն, ձկնորսություն,</w:t>
      </w:r>
    </w:p>
    <w:p w14:paraId="536E4046"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5)</w:t>
      </w:r>
      <w:r>
        <w:rPr>
          <w:rFonts w:ascii="Sylfaen" w:hAnsi="Sylfaen"/>
          <w:sz w:val="24"/>
          <w:szCs w:val="24"/>
        </w:rPr>
        <w:tab/>
      </w:r>
      <w:r w:rsidRPr="00583865">
        <w:rPr>
          <w:rFonts w:ascii="Sylfaen" w:hAnsi="Sylfaen"/>
          <w:sz w:val="24"/>
          <w:szCs w:val="24"/>
        </w:rPr>
        <w:t>հիվանդությունների բուժում, պրոֆիլակտիկ հիգիենա եւ դեղագործություն,</w:t>
      </w:r>
    </w:p>
    <w:p w14:paraId="47A494DF"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6)</w:t>
      </w:r>
      <w:r>
        <w:rPr>
          <w:rFonts w:ascii="Sylfaen" w:hAnsi="Sylfaen"/>
          <w:sz w:val="24"/>
          <w:szCs w:val="24"/>
        </w:rPr>
        <w:tab/>
      </w:r>
      <w:r w:rsidRPr="00583865">
        <w:rPr>
          <w:rFonts w:ascii="Sylfaen" w:hAnsi="Sylfaen"/>
          <w:sz w:val="24"/>
          <w:szCs w:val="24"/>
        </w:rPr>
        <w:t>էկոլոգիա:»:</w:t>
      </w:r>
    </w:p>
    <w:p w14:paraId="0FF007E1"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2.</w:t>
      </w:r>
      <w:r>
        <w:rPr>
          <w:rFonts w:ascii="Sylfaen" w:hAnsi="Sylfaen"/>
          <w:sz w:val="24"/>
          <w:szCs w:val="24"/>
        </w:rPr>
        <w:tab/>
      </w:r>
      <w:r w:rsidRPr="00583865">
        <w:rPr>
          <w:rFonts w:ascii="Sylfaen" w:hAnsi="Sylfaen"/>
          <w:sz w:val="24"/>
          <w:szCs w:val="24"/>
        </w:rPr>
        <w:t>Լրացնել հետ</w:t>
      </w:r>
      <w:r>
        <w:rPr>
          <w:rFonts w:ascii="Sylfaen" w:hAnsi="Sylfaen"/>
          <w:sz w:val="24"/>
          <w:szCs w:val="24"/>
        </w:rPr>
        <w:t>եւ</w:t>
      </w:r>
      <w:r w:rsidRPr="00583865">
        <w:rPr>
          <w:rFonts w:ascii="Sylfaen" w:hAnsi="Sylfaen"/>
          <w:sz w:val="24"/>
          <w:szCs w:val="24"/>
        </w:rPr>
        <w:t>յալ բովանդակությամբ 7-11-րդ ծանոթագրություններ՝</w:t>
      </w:r>
    </w:p>
    <w:p w14:paraId="066B068D"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rPr>
        <w:t>«</w:t>
      </w:r>
      <w:r w:rsidRPr="00583865">
        <w:rPr>
          <w:rFonts w:ascii="Sylfaen" w:hAnsi="Sylfaen"/>
          <w:sz w:val="24"/>
          <w:szCs w:val="24"/>
          <w:vertAlign w:val="superscript"/>
        </w:rPr>
        <w:t>7</w:t>
      </w:r>
      <w:r>
        <w:rPr>
          <w:rFonts w:ascii="Sylfaen" w:hAnsi="Sylfaen"/>
          <w:sz w:val="24"/>
          <w:szCs w:val="24"/>
        </w:rPr>
        <w:tab/>
      </w:r>
      <w:r w:rsidRPr="00583865">
        <w:rPr>
          <w:rFonts w:ascii="Sylfaen" w:hAnsi="Sylfaen"/>
          <w:sz w:val="24"/>
          <w:szCs w:val="24"/>
        </w:rPr>
        <w:t>Գործում է Եվրասիական տնտեսական բարձրագույն խորհրդի 2018 թվականի մայիսի 14 թիվ 7 որոշումն ուժի մեջ մտնելու օրվանից:</w:t>
      </w:r>
    </w:p>
    <w:p w14:paraId="52E71175" w14:textId="77777777" w:rsidR="00E74B5C" w:rsidRPr="00583865" w:rsidRDefault="00E74B5C" w:rsidP="00E74B5C">
      <w:pPr>
        <w:pStyle w:val="Bodytext20"/>
        <w:shd w:val="clear" w:color="auto" w:fill="auto"/>
        <w:tabs>
          <w:tab w:val="left" w:pos="1134"/>
        </w:tabs>
        <w:spacing w:before="0" w:after="160" w:line="360" w:lineRule="auto"/>
        <w:ind w:firstLine="567"/>
        <w:rPr>
          <w:rFonts w:ascii="Sylfaen" w:hAnsi="Sylfaen" w:cs="Sylfaen"/>
          <w:sz w:val="24"/>
          <w:szCs w:val="24"/>
        </w:rPr>
      </w:pPr>
      <w:r w:rsidRPr="00583865">
        <w:rPr>
          <w:rFonts w:ascii="Sylfaen" w:hAnsi="Sylfaen"/>
          <w:sz w:val="24"/>
          <w:szCs w:val="24"/>
          <w:vertAlign w:val="superscript"/>
        </w:rPr>
        <w:t>8</w:t>
      </w:r>
      <w:r w:rsidRPr="00583865">
        <w:rPr>
          <w:rFonts w:ascii="Sylfaen" w:hAnsi="Sylfaen"/>
          <w:sz w:val="24"/>
          <w:szCs w:val="24"/>
        </w:rPr>
        <w:tab/>
        <w:t xml:space="preserve">Հայաստանի Հանրապետության, Ղազախստանի Հանրապետության, Ղրղզստանի Հանրապետության </w:t>
      </w:r>
      <w:r>
        <w:rPr>
          <w:rFonts w:ascii="Sylfaen" w:hAnsi="Sylfaen"/>
          <w:sz w:val="24"/>
          <w:szCs w:val="24"/>
        </w:rPr>
        <w:t>եւ</w:t>
      </w:r>
      <w:r w:rsidRPr="00583865">
        <w:rPr>
          <w:rFonts w:ascii="Sylfaen" w:hAnsi="Sylfaen"/>
          <w:sz w:val="24"/>
          <w:szCs w:val="24"/>
        </w:rPr>
        <w:t xml:space="preserve"> Ռուսաստանի Դաշնության համար գործում է Եվրասիական տնտեսական բարձրագույն խորհրդի 2018 թվականի մայիսի 14-ի թիվ 7 որոշումն ուժի մեջ մտնելու օրվանից, Բելառուսի Հանրապետության համար՝ 2020 թվականի հունվարի 1-ից։</w:t>
      </w:r>
    </w:p>
    <w:p w14:paraId="0595A53A"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z w:val="24"/>
          <w:szCs w:val="24"/>
          <w:vertAlign w:val="superscript"/>
        </w:rPr>
        <w:lastRenderedPageBreak/>
        <w:t>9</w:t>
      </w:r>
      <w:r w:rsidRPr="00583865">
        <w:rPr>
          <w:rFonts w:ascii="Sylfaen" w:hAnsi="Sylfaen"/>
          <w:sz w:val="24"/>
          <w:szCs w:val="24"/>
        </w:rPr>
        <w:tab/>
        <w:t xml:space="preserve">Հայաստանի Հանրապետության, Բելառուսի Հանրապետության, Ղրղզստանի Հանրապետության </w:t>
      </w:r>
      <w:r>
        <w:rPr>
          <w:rFonts w:ascii="Sylfaen" w:hAnsi="Sylfaen"/>
          <w:sz w:val="24"/>
          <w:szCs w:val="24"/>
        </w:rPr>
        <w:t>եւ</w:t>
      </w:r>
      <w:r w:rsidRPr="00583865">
        <w:rPr>
          <w:rFonts w:ascii="Sylfaen" w:hAnsi="Sylfaen"/>
          <w:sz w:val="24"/>
          <w:szCs w:val="24"/>
        </w:rPr>
        <w:t xml:space="preserve"> Ռուսաստանի Դաշնության համար գործում է Եվրասիական տնտեսական բարձրագույն խորհրդի 2018 թվականի մայիսի 14-ի թիվ 7 որոշումն ուժի մեջ մտնելու օրվանից, Ղազախստանի Հանրապետության համար՝ 2025 թվականի հունվարի 1-ից։</w:t>
      </w:r>
    </w:p>
    <w:p w14:paraId="58F04EE0" w14:textId="77777777" w:rsidR="00E74B5C" w:rsidRPr="00583865" w:rsidRDefault="00E74B5C" w:rsidP="00E74B5C">
      <w:pPr>
        <w:pStyle w:val="Bodytext20"/>
        <w:shd w:val="clear" w:color="auto" w:fill="auto"/>
        <w:tabs>
          <w:tab w:val="left" w:pos="1134"/>
        </w:tabs>
        <w:spacing w:before="0" w:after="160" w:line="336" w:lineRule="auto"/>
        <w:ind w:firstLine="567"/>
        <w:rPr>
          <w:rFonts w:ascii="Sylfaen" w:hAnsi="Sylfaen" w:cs="Sylfaen"/>
          <w:sz w:val="24"/>
          <w:szCs w:val="24"/>
        </w:rPr>
      </w:pPr>
      <w:r w:rsidRPr="00583865">
        <w:rPr>
          <w:rFonts w:ascii="Sylfaen" w:hAnsi="Sylfaen"/>
          <w:spacing w:val="-6"/>
          <w:sz w:val="24"/>
          <w:szCs w:val="24"/>
          <w:vertAlign w:val="superscript"/>
        </w:rPr>
        <w:t>10</w:t>
      </w:r>
      <w:r w:rsidRPr="00583865">
        <w:rPr>
          <w:rFonts w:ascii="Sylfaen" w:hAnsi="Sylfaen"/>
          <w:spacing w:val="-6"/>
          <w:sz w:val="24"/>
          <w:szCs w:val="24"/>
        </w:rPr>
        <w:tab/>
        <w:t>Բելառուսի Հանրապետության, Ղազախստանի Հանրապետության եւ Ռուսաստանի Դաշնության համար գործում է 2019 թվականի դեկտեմբերի 1-ից, Հայաստանի Հանրապետության եւ Ղրղզստանի Հանրապետության համար՝ անվճար, անժամկետ, չծանրաբեռնող եւ ծանուցողական հիմունքներով՝ տուրիստական ծառայությունների մատակարարների ռեեստրի վարման պարտականությունը սահմանող նորմատիվ իրավական ակտերի</w:t>
      </w:r>
      <w:r w:rsidRPr="00583865">
        <w:rPr>
          <w:rFonts w:ascii="Sylfaen" w:hAnsi="Sylfaen"/>
          <w:sz w:val="24"/>
          <w:szCs w:val="24"/>
        </w:rPr>
        <w:t xml:space="preserve"> ընդունման պայմանով:</w:t>
      </w:r>
    </w:p>
    <w:p w14:paraId="160ED90B" w14:textId="77777777" w:rsidR="00E74B5C" w:rsidRPr="00583865" w:rsidRDefault="00E74B5C" w:rsidP="00E74B5C">
      <w:pPr>
        <w:pStyle w:val="Bodytext20"/>
        <w:shd w:val="clear" w:color="auto" w:fill="auto"/>
        <w:spacing w:before="0" w:after="160" w:line="336" w:lineRule="auto"/>
        <w:ind w:firstLine="567"/>
        <w:rPr>
          <w:rFonts w:ascii="Sylfaen" w:hAnsi="Sylfaen" w:cs="Sylfaen"/>
          <w:sz w:val="24"/>
          <w:szCs w:val="24"/>
        </w:rPr>
      </w:pPr>
      <w:r w:rsidRPr="00583865">
        <w:rPr>
          <w:rFonts w:ascii="Sylfaen" w:hAnsi="Sylfaen"/>
          <w:sz w:val="24"/>
          <w:szCs w:val="24"/>
        </w:rPr>
        <w:t>Ծառայությունների միասնական շուկայի շրջանակներում ծառայությունների մատուցումն իրականացվում է Եվրասիական տնտեսական միության անդամ պետության օրենսդրությանը համապատասխան՝ տուրիստական ծառայությունների սպառողների (ստացողների) իրավունքների պաշտպանության ոլորտում, ներառյալ՝ պահուստային (ապահովագրական) ֆոնդեր ձ</w:t>
      </w:r>
      <w:r>
        <w:rPr>
          <w:rFonts w:ascii="Sylfaen" w:hAnsi="Sylfaen"/>
          <w:sz w:val="24"/>
          <w:szCs w:val="24"/>
        </w:rPr>
        <w:t>եւ</w:t>
      </w:r>
      <w:r w:rsidRPr="00583865">
        <w:rPr>
          <w:rFonts w:ascii="Sylfaen" w:hAnsi="Sylfaen"/>
          <w:sz w:val="24"/>
          <w:szCs w:val="24"/>
        </w:rPr>
        <w:t xml:space="preserve">ավորելու </w:t>
      </w:r>
      <w:r>
        <w:rPr>
          <w:rFonts w:ascii="Sylfaen" w:hAnsi="Sylfaen"/>
          <w:sz w:val="24"/>
          <w:szCs w:val="24"/>
        </w:rPr>
        <w:t>եւ</w:t>
      </w:r>
      <w:r w:rsidRPr="00583865">
        <w:rPr>
          <w:rFonts w:ascii="Sylfaen" w:hAnsi="Sylfaen"/>
          <w:sz w:val="24"/>
          <w:szCs w:val="24"/>
        </w:rPr>
        <w:t xml:space="preserve"> (կամ) այլ ֆինանսական գործիքներ օգտագործելու մասին պահանջները, որոնք ապահովում են մի անդամ պետության ծառայությունների մատակարարի պատասխանատվությունը մեկ այլ անդամ պետության անձինք հանդիսացող ծառայությունների սպառողների (ստացողների) առջ</w:t>
      </w:r>
      <w:r>
        <w:rPr>
          <w:rFonts w:ascii="Sylfaen" w:hAnsi="Sylfaen"/>
          <w:sz w:val="24"/>
          <w:szCs w:val="24"/>
        </w:rPr>
        <w:t>եւ</w:t>
      </w:r>
      <w:r w:rsidRPr="00583865">
        <w:rPr>
          <w:rFonts w:ascii="Sylfaen" w:hAnsi="Sylfaen"/>
          <w:sz w:val="24"/>
          <w:szCs w:val="24"/>
        </w:rPr>
        <w:t>:</w:t>
      </w:r>
    </w:p>
    <w:p w14:paraId="52A94387" w14:textId="77777777" w:rsidR="00E74B5C" w:rsidRDefault="00E74B5C" w:rsidP="00E74B5C">
      <w:pPr>
        <w:pStyle w:val="Bodytext20"/>
        <w:shd w:val="clear" w:color="auto" w:fill="auto"/>
        <w:tabs>
          <w:tab w:val="left" w:pos="1134"/>
        </w:tabs>
        <w:spacing w:before="0" w:after="160" w:line="336" w:lineRule="auto"/>
        <w:ind w:firstLine="567"/>
        <w:rPr>
          <w:rFonts w:ascii="Sylfaen" w:hAnsi="Sylfaen"/>
          <w:sz w:val="24"/>
          <w:szCs w:val="24"/>
        </w:rPr>
      </w:pPr>
      <w:r w:rsidRPr="00583865">
        <w:rPr>
          <w:rFonts w:ascii="Sylfaen" w:hAnsi="Sylfaen"/>
          <w:sz w:val="24"/>
          <w:szCs w:val="24"/>
          <w:vertAlign w:val="superscript"/>
        </w:rPr>
        <w:t>11</w:t>
      </w:r>
      <w:r w:rsidRPr="00583865">
        <w:rPr>
          <w:rFonts w:ascii="Sylfaen" w:hAnsi="Sylfaen"/>
          <w:sz w:val="24"/>
          <w:szCs w:val="24"/>
        </w:rPr>
        <w:tab/>
        <w:t>Գործում է 2020 թվականի հունվարի 1-ից: Ընդ որում, Եվրասիական տնտեսական միության անդամ պետությունների օրենսդրության այն պահանջների տարբերությունները, որոնք վերաբերում են ծառայությունների մատակարարի անձնակազմ հանդիսացող անձանց կողմից գիտական աստիճաններ եւ գիտական կոչումներ ստանալուն (ներառյալ՝ դրանց անվանումների տարբերությունները), չեն կարող խոչընդոտ հանդիսանալ ծառայությունների մատակարարման համար Եվրասիական տնտեսական միության շրջանակներում ծառայությունների միասնական շուկայի գործունեության ժամանակ:»:</w:t>
      </w:r>
    </w:p>
    <w:p w14:paraId="4290654A" w14:textId="77777777" w:rsidR="00E74B5C" w:rsidRPr="00583865" w:rsidRDefault="00E74B5C" w:rsidP="00E74B5C">
      <w:pPr>
        <w:pStyle w:val="Bodytext20"/>
        <w:shd w:val="clear" w:color="auto" w:fill="auto"/>
        <w:spacing w:before="0" w:after="160" w:line="336" w:lineRule="auto"/>
        <w:jc w:val="center"/>
        <w:rPr>
          <w:rFonts w:ascii="Sylfaen" w:hAnsi="Sylfaen"/>
          <w:sz w:val="24"/>
          <w:szCs w:val="24"/>
        </w:rPr>
      </w:pPr>
      <w:r>
        <w:rPr>
          <w:rFonts w:ascii="Sylfaen" w:hAnsi="Sylfaen"/>
          <w:sz w:val="24"/>
          <w:szCs w:val="24"/>
        </w:rPr>
        <w:t>——————————</w:t>
      </w:r>
    </w:p>
    <w:p w14:paraId="6B9A50EA" w14:textId="77777777" w:rsidR="00A45F8E" w:rsidRPr="00E74B5C" w:rsidRDefault="00A45F8E" w:rsidP="00E74B5C">
      <w:bookmarkStart w:id="0" w:name="_GoBack"/>
      <w:bookmarkEnd w:id="0"/>
    </w:p>
    <w:sectPr w:rsidR="00A45F8E" w:rsidRPr="00E74B5C" w:rsidSect="00025F7A">
      <w:pgSz w:w="11909" w:h="16840" w:code="9"/>
      <w:pgMar w:top="1418" w:right="1418" w:bottom="1418" w:left="1418" w:header="0" w:footer="786"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1133E8"/>
    <w:rsid w:val="002240E7"/>
    <w:rsid w:val="005C1635"/>
    <w:rsid w:val="007E1119"/>
    <w:rsid w:val="008B2A70"/>
    <w:rsid w:val="00A45F8E"/>
    <w:rsid w:val="00A624BB"/>
    <w:rsid w:val="00D14362"/>
    <w:rsid w:val="00D52833"/>
    <w:rsid w:val="00DC1F33"/>
    <w:rsid w:val="00E74B5C"/>
    <w:rsid w:val="00F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6pt">
    <w:name w:val="Body text (2) + 16 pt"/>
    <w:basedOn w:val="Bodytext2"/>
    <w:rsid w:val="00D1436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Bodytext3Spacing4pt">
    <w:name w:val="Body text (3) + Spacing 4 pt"/>
    <w:basedOn w:val="Bodytext3"/>
    <w:rsid w:val="00D1436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8</cp:revision>
  <dcterms:created xsi:type="dcterms:W3CDTF">2019-09-18T10:38:00Z</dcterms:created>
  <dcterms:modified xsi:type="dcterms:W3CDTF">2019-09-19T10:14:00Z</dcterms:modified>
</cp:coreProperties>
</file>