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CDA" w:rsidRPr="00A37F42" w:rsidRDefault="00022D33" w:rsidP="008666BF">
      <w:pPr>
        <w:pStyle w:val="Bodytext20"/>
        <w:shd w:val="clear" w:color="auto" w:fill="auto"/>
        <w:spacing w:before="0" w:after="160" w:line="360" w:lineRule="auto"/>
        <w:ind w:left="4536"/>
        <w:jc w:val="center"/>
        <w:rPr>
          <w:rFonts w:ascii="Sylfaen" w:hAnsi="Sylfaen"/>
          <w:sz w:val="24"/>
          <w:szCs w:val="24"/>
        </w:rPr>
      </w:pPr>
      <w:bookmarkStart w:id="0" w:name="_GoBack"/>
      <w:bookmarkEnd w:id="0"/>
      <w:r w:rsidRPr="00A37F42">
        <w:rPr>
          <w:rFonts w:ascii="Sylfaen" w:hAnsi="Sylfaen"/>
          <w:sz w:val="24"/>
          <w:szCs w:val="24"/>
        </w:rPr>
        <w:t>ԸՆԴՈՒՆՎԱԾ Է</w:t>
      </w:r>
    </w:p>
    <w:p w:rsidR="007B2CDA" w:rsidRPr="00A37F42" w:rsidRDefault="00022D33" w:rsidP="008666BF">
      <w:pPr>
        <w:pStyle w:val="Bodytext20"/>
        <w:shd w:val="clear" w:color="auto" w:fill="auto"/>
        <w:spacing w:before="0" w:after="160" w:line="360" w:lineRule="auto"/>
        <w:ind w:left="4536"/>
        <w:jc w:val="center"/>
        <w:rPr>
          <w:rFonts w:ascii="Sylfaen" w:hAnsi="Sylfaen"/>
          <w:sz w:val="24"/>
          <w:szCs w:val="24"/>
        </w:rPr>
      </w:pPr>
      <w:r w:rsidRPr="00A37F42">
        <w:rPr>
          <w:rFonts w:ascii="Sylfaen" w:hAnsi="Sylfaen"/>
          <w:sz w:val="24"/>
          <w:szCs w:val="24"/>
        </w:rPr>
        <w:t>Եվրասիական տնտեսական հանձնաժողովի խորհրդի</w:t>
      </w:r>
      <w:r w:rsidR="008666BF" w:rsidRPr="00A37F42">
        <w:rPr>
          <w:rFonts w:ascii="Sylfaen" w:hAnsi="Sylfaen"/>
          <w:sz w:val="24"/>
          <w:szCs w:val="24"/>
        </w:rPr>
        <w:br/>
      </w:r>
      <w:r w:rsidRPr="00A37F42">
        <w:rPr>
          <w:rFonts w:ascii="Sylfaen" w:hAnsi="Sylfaen"/>
          <w:sz w:val="24"/>
          <w:szCs w:val="24"/>
        </w:rPr>
        <w:t xml:space="preserve">2017 թվականի դեկտեմբերի 20-ի </w:t>
      </w:r>
      <w:r w:rsidR="008666BF" w:rsidRPr="00A37F42">
        <w:rPr>
          <w:rFonts w:ascii="Sylfaen" w:hAnsi="Sylfaen"/>
          <w:sz w:val="24"/>
          <w:szCs w:val="24"/>
        </w:rPr>
        <w:br/>
      </w:r>
      <w:r w:rsidRPr="00A37F42">
        <w:rPr>
          <w:rFonts w:ascii="Sylfaen" w:hAnsi="Sylfaen"/>
          <w:sz w:val="24"/>
          <w:szCs w:val="24"/>
        </w:rPr>
        <w:t>թիվ 89 որոշմամբ</w:t>
      </w:r>
    </w:p>
    <w:p w:rsidR="000B6342" w:rsidRPr="00A37F42" w:rsidRDefault="000B6342" w:rsidP="006F399F">
      <w:pPr>
        <w:pStyle w:val="Bodytext40"/>
        <w:shd w:val="clear" w:color="auto" w:fill="auto"/>
        <w:spacing w:before="0" w:after="160" w:line="360" w:lineRule="auto"/>
        <w:jc w:val="both"/>
        <w:rPr>
          <w:rStyle w:val="Bodytext4Spacing2pt"/>
          <w:rFonts w:ascii="Sylfaen" w:hAnsi="Sylfaen"/>
          <w:b/>
          <w:bCs/>
          <w:spacing w:val="0"/>
          <w:sz w:val="24"/>
          <w:szCs w:val="24"/>
        </w:rPr>
      </w:pPr>
    </w:p>
    <w:p w:rsidR="007B2CDA" w:rsidRPr="00A37F42" w:rsidRDefault="00022D33" w:rsidP="007F125A">
      <w:pPr>
        <w:pStyle w:val="Bodytext40"/>
        <w:shd w:val="clear" w:color="auto" w:fill="auto"/>
        <w:spacing w:before="0" w:after="160" w:line="360" w:lineRule="auto"/>
        <w:rPr>
          <w:rFonts w:ascii="Sylfaen" w:hAnsi="Sylfaen"/>
          <w:sz w:val="24"/>
          <w:szCs w:val="24"/>
        </w:rPr>
      </w:pPr>
      <w:r w:rsidRPr="00A37F42">
        <w:rPr>
          <w:rStyle w:val="Bodytext4Spacing2pt"/>
          <w:rFonts w:ascii="Sylfaen" w:hAnsi="Sylfaen"/>
          <w:b/>
          <w:spacing w:val="0"/>
          <w:sz w:val="24"/>
          <w:szCs w:val="24"/>
        </w:rPr>
        <w:t>ՏԵԽՆԻԿԱԿԱՆ ԿԱՆՈՆԱԿԱՐԳ</w:t>
      </w:r>
    </w:p>
    <w:p w:rsidR="007B2CDA" w:rsidRPr="00A37F42" w:rsidRDefault="00022D33" w:rsidP="007F125A">
      <w:pPr>
        <w:pStyle w:val="Bodytext40"/>
        <w:shd w:val="clear" w:color="auto" w:fill="auto"/>
        <w:spacing w:before="0" w:after="160" w:line="360" w:lineRule="auto"/>
        <w:rPr>
          <w:rFonts w:ascii="Sylfaen" w:hAnsi="Sylfaen"/>
          <w:sz w:val="24"/>
          <w:szCs w:val="24"/>
        </w:rPr>
      </w:pPr>
      <w:r w:rsidRPr="00A37F42">
        <w:rPr>
          <w:rFonts w:ascii="Sylfaen" w:hAnsi="Sylfaen"/>
          <w:sz w:val="24"/>
          <w:szCs w:val="24"/>
        </w:rPr>
        <w:t>Եվրասիական տնտեսական միության «Տրանսպորտային փոխադրման եւ (կամ) օգտագործման համար նախապատրաստված նավթի անվտանգության մասին» (ԵԱՏՄ ՏԿ 045/2017)</w:t>
      </w:r>
    </w:p>
    <w:p w:rsidR="007B2CDA" w:rsidRPr="00A37F42" w:rsidRDefault="007B2CDA" w:rsidP="006F399F">
      <w:pPr>
        <w:spacing w:after="160" w:line="360" w:lineRule="auto"/>
        <w:jc w:val="both"/>
      </w:pPr>
    </w:p>
    <w:p w:rsidR="007B2CDA" w:rsidRPr="00A37F42" w:rsidRDefault="001D7E39" w:rsidP="007F125A">
      <w:pPr>
        <w:pStyle w:val="Bodytext20"/>
        <w:shd w:val="clear" w:color="auto" w:fill="auto"/>
        <w:spacing w:before="0" w:after="160" w:line="360" w:lineRule="auto"/>
        <w:jc w:val="center"/>
        <w:rPr>
          <w:rFonts w:ascii="Sylfaen" w:hAnsi="Sylfaen"/>
          <w:sz w:val="24"/>
          <w:szCs w:val="24"/>
        </w:rPr>
      </w:pPr>
      <w:r w:rsidRPr="00A37F42">
        <w:rPr>
          <w:rFonts w:ascii="Sylfaen" w:hAnsi="Sylfaen"/>
          <w:sz w:val="24"/>
          <w:szCs w:val="24"/>
        </w:rPr>
        <w:t>I</w:t>
      </w:r>
      <w:r w:rsidR="005D1F8A" w:rsidRPr="00A37F42">
        <w:rPr>
          <w:rFonts w:ascii="Sylfaen" w:hAnsi="Sylfaen"/>
          <w:sz w:val="24"/>
          <w:szCs w:val="24"/>
        </w:rPr>
        <w:t>.</w:t>
      </w:r>
      <w:r w:rsidRPr="00A37F42">
        <w:rPr>
          <w:rFonts w:ascii="Sylfaen" w:hAnsi="Sylfaen"/>
          <w:sz w:val="24"/>
          <w:szCs w:val="24"/>
        </w:rPr>
        <w:t xml:space="preserve"> Կիրառության ոլորտ</w:t>
      </w:r>
      <w:r w:rsidR="00B96AC7" w:rsidRPr="00A37F42">
        <w:rPr>
          <w:rFonts w:ascii="Sylfaen" w:hAnsi="Sylfaen"/>
          <w:sz w:val="24"/>
          <w:szCs w:val="24"/>
        </w:rPr>
        <w:t>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1.</w:t>
      </w:r>
      <w:r w:rsidR="00045523" w:rsidRPr="00A37F42">
        <w:rPr>
          <w:rFonts w:ascii="Sylfaen" w:hAnsi="Sylfaen"/>
          <w:sz w:val="24"/>
          <w:szCs w:val="24"/>
        </w:rPr>
        <w:tab/>
      </w:r>
      <w:r w:rsidRPr="00A37F42">
        <w:rPr>
          <w:rFonts w:ascii="Sylfaen" w:hAnsi="Sylfaen"/>
          <w:sz w:val="24"/>
          <w:szCs w:val="24"/>
        </w:rPr>
        <w:t>Սույն տեխնիկական կանոնակարգը մշակվել է «Եվրասիական տնտեսական միության մասին» 2014 թվականի մայիսի 29-ի պայմանագրի 52-րդ հոդվածին համապատասխան, ու դրանով սահմանվում են Եվրասիական տնտեսական միության (այսուհետ՝ Միություն) մաքսային տարածքում կիրառման եւ կատարման համար պարտադիր՝ նավթի անվտանգության</w:t>
      </w:r>
      <w:r w:rsidR="00640328" w:rsidRPr="00A37F42">
        <w:rPr>
          <w:rFonts w:ascii="Sylfaen" w:hAnsi="Sylfaen"/>
          <w:sz w:val="24"/>
          <w:szCs w:val="24"/>
        </w:rPr>
        <w:t xml:space="preserve"> </w:t>
      </w:r>
      <w:r w:rsidRPr="00A37F42">
        <w:rPr>
          <w:rFonts w:ascii="Sylfaen" w:hAnsi="Sylfaen"/>
          <w:sz w:val="24"/>
          <w:szCs w:val="24"/>
        </w:rPr>
        <w:t>պահանջները՝ մարդու կյանքի եւ (կամ) առողջության պաշտպանության, գույքի, շրջակա միջավայրի պահպանության ապահովման եւ սպառողներին մոլորության մեջ գցող գործողությունների կանխման, ինչպես նաեւ էներգետիկ արդյունավետության եւ ռեսուրսախնայողության ապահովման նպատակով։</w:t>
      </w:r>
    </w:p>
    <w:p w:rsidR="007B2CDA" w:rsidRPr="001F03E7"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2.</w:t>
      </w:r>
      <w:r w:rsidR="00045523" w:rsidRPr="00A37F42">
        <w:rPr>
          <w:rFonts w:ascii="Sylfaen" w:hAnsi="Sylfaen"/>
          <w:sz w:val="24"/>
          <w:szCs w:val="24"/>
        </w:rPr>
        <w:tab/>
      </w:r>
      <w:r w:rsidRPr="00A37F42">
        <w:rPr>
          <w:rFonts w:ascii="Sylfaen" w:hAnsi="Sylfaen"/>
          <w:sz w:val="24"/>
          <w:szCs w:val="24"/>
        </w:rPr>
        <w:t>Սույն տեխնիկական կանոնակարգի տեխնիկական կարգավորման օբյեկտը տրանսպորտային փոխադրման եւ (կամ) օգտագործման համար նախապատրաստված</w:t>
      </w:r>
      <w:r w:rsidR="00AA050A" w:rsidRPr="00A37F42">
        <w:rPr>
          <w:rFonts w:ascii="Sylfaen" w:hAnsi="Sylfaen"/>
          <w:sz w:val="24"/>
          <w:szCs w:val="24"/>
        </w:rPr>
        <w:t>՝ Միության շուկայում շրջանառության մեջ բաց թողնվող եւ շրջանառության մեջ գտնվող</w:t>
      </w:r>
      <w:r w:rsidRPr="00A37F42">
        <w:rPr>
          <w:rFonts w:ascii="Sylfaen" w:hAnsi="Sylfaen"/>
          <w:sz w:val="24"/>
          <w:szCs w:val="24"/>
        </w:rPr>
        <w:t xml:space="preserve"> նավթն է։</w:t>
      </w:r>
    </w:p>
    <w:p w:rsidR="00045523" w:rsidRPr="001F03E7" w:rsidRDefault="00045523" w:rsidP="00045523">
      <w:pPr>
        <w:pStyle w:val="Bodytext20"/>
        <w:shd w:val="clear" w:color="auto" w:fill="auto"/>
        <w:tabs>
          <w:tab w:val="left" w:pos="1134"/>
        </w:tabs>
        <w:spacing w:before="0" w:after="160" w:line="360" w:lineRule="auto"/>
        <w:ind w:firstLine="567"/>
        <w:rPr>
          <w:rFonts w:ascii="Sylfaen" w:hAnsi="Sylfaen"/>
          <w:sz w:val="24"/>
          <w:szCs w:val="24"/>
        </w:rPr>
      </w:pP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lastRenderedPageBreak/>
        <w:t>3.</w:t>
      </w:r>
      <w:r w:rsidR="00045523" w:rsidRPr="00A37F42">
        <w:rPr>
          <w:rFonts w:ascii="Sylfaen" w:hAnsi="Sylfaen"/>
          <w:sz w:val="24"/>
          <w:szCs w:val="24"/>
        </w:rPr>
        <w:tab/>
      </w:r>
      <w:r w:rsidRPr="00A37F42">
        <w:rPr>
          <w:rFonts w:ascii="Sylfaen" w:hAnsi="Sylfaen"/>
          <w:sz w:val="24"/>
          <w:szCs w:val="24"/>
        </w:rPr>
        <w:t>Սույն տեխնիկական կանոնակարգը չի տարածվում այն նավթի վրա, որը մատակարարվում է՝ Միության մաքսային տարածքից դուրս արտահանման համար, մատակարվում է պետական պաշտպանության պատվերով, պահվում է պետական նյութական պահուստի պահպանվածությունն ապահովող կազմակերպություններում, ինչպես նաեւ նավթ պատրաստողի (արտադրողի) կողմից օգտագործվում է բացառապես սեփական կարիքների համար։</w:t>
      </w:r>
    </w:p>
    <w:p w:rsidR="007B2CDA" w:rsidRPr="00A37F42" w:rsidRDefault="007B2CDA" w:rsidP="006F399F">
      <w:pPr>
        <w:spacing w:after="160" w:line="360" w:lineRule="auto"/>
        <w:ind w:firstLine="567"/>
        <w:jc w:val="both"/>
      </w:pPr>
    </w:p>
    <w:p w:rsidR="007B2CDA" w:rsidRPr="00A37F42" w:rsidRDefault="001D7E39" w:rsidP="00045523">
      <w:pPr>
        <w:pStyle w:val="Bodytext20"/>
        <w:shd w:val="clear" w:color="auto" w:fill="auto"/>
        <w:spacing w:before="0" w:after="160" w:line="360" w:lineRule="auto"/>
        <w:jc w:val="center"/>
        <w:rPr>
          <w:rFonts w:ascii="Sylfaen" w:hAnsi="Sylfaen"/>
          <w:sz w:val="24"/>
          <w:szCs w:val="24"/>
        </w:rPr>
      </w:pPr>
      <w:r w:rsidRPr="00A37F42">
        <w:rPr>
          <w:rFonts w:ascii="Sylfaen" w:hAnsi="Sylfaen"/>
          <w:sz w:val="24"/>
          <w:szCs w:val="24"/>
        </w:rPr>
        <w:t>II. Հիմնական հասկացությունները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4.</w:t>
      </w:r>
      <w:r w:rsidR="00045523" w:rsidRPr="00A37F42">
        <w:rPr>
          <w:rFonts w:ascii="Sylfaen" w:hAnsi="Sylfaen"/>
          <w:sz w:val="24"/>
          <w:szCs w:val="24"/>
        </w:rPr>
        <w:tab/>
      </w:r>
      <w:r w:rsidRPr="00A37F42">
        <w:rPr>
          <w:rFonts w:ascii="Sylfaen" w:hAnsi="Sylfaen"/>
          <w:sz w:val="24"/>
          <w:szCs w:val="24"/>
        </w:rPr>
        <w:t>Սույն տեխնիկական կանոնակարգի կիրառման նպատակներով օգտագործվում են հասկացություններ, որոնք ունեն հետ</w:t>
      </w:r>
      <w:r w:rsidR="006F399F" w:rsidRPr="00A37F42">
        <w:rPr>
          <w:rFonts w:ascii="Sylfaen" w:hAnsi="Sylfaen"/>
          <w:sz w:val="24"/>
          <w:szCs w:val="24"/>
        </w:rPr>
        <w:t>եւ</w:t>
      </w:r>
      <w:r w:rsidRPr="00A37F42">
        <w:rPr>
          <w:rFonts w:ascii="Sylfaen" w:hAnsi="Sylfaen"/>
          <w:sz w:val="24"/>
          <w:szCs w:val="24"/>
        </w:rPr>
        <w:t>յալ իմաստը՝</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«նավթի անվտանգություն»՝ նավթի վիճակ, որի դեպքում բացակայում են վնաս հասցնելու հետ կապված անթույլատրելի ռիսկերը.</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«նավթի բացթողումը շրջանառության մեջ»՝ նավթ պատրաստողից (արտադրողից) նավթի առաջնային փոխանցումը վաճառողին եւ (կամ) սպառողին (այդ թվում՝ նավթ պատրաստողի (արտադրողի) պահեստից ուղարկումը կամ առանց պահեստավորման բեռնումը) կամ նավթի ներմուծումը՝ Միության մաքսային տարածքում առեւտրային գործունեության ընթացքում վճարովի կամ անհատույց հիմքով տարածելու նպատակով.</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 xml:space="preserve">«նավթ պատրաստողը (արտադրողը)»՝ իրավաբանական, այդ թվում՝ օտարերկրյա անձ, որն իր անունից իրականացնում է նավթի արդյունահանում կամ դրա արդյունահանում ու իրացում եւ որը պատասխանատու է սույն տեխնիկական կանոնակարգի, ինչպես նաեւ Միության </w:t>
      </w:r>
      <w:r w:rsidR="000E2DF8" w:rsidRPr="00A37F42">
        <w:rPr>
          <w:rFonts w:ascii="Sylfaen" w:hAnsi="Sylfaen"/>
          <w:sz w:val="24"/>
          <w:szCs w:val="24"/>
        </w:rPr>
        <w:t xml:space="preserve">մյուս </w:t>
      </w:r>
      <w:r w:rsidR="0097554F" w:rsidRPr="00A37F42">
        <w:rPr>
          <w:rFonts w:ascii="Sylfaen" w:hAnsi="Sylfaen"/>
          <w:sz w:val="24"/>
          <w:szCs w:val="24"/>
        </w:rPr>
        <w:t>այն տեխնիկական</w:t>
      </w:r>
      <w:r w:rsidRPr="00A37F42">
        <w:rPr>
          <w:rFonts w:ascii="Sylfaen" w:hAnsi="Sylfaen"/>
          <w:sz w:val="24"/>
          <w:szCs w:val="24"/>
        </w:rPr>
        <w:t xml:space="preserve"> կանոնակարգերի պահանջներին նավթի համապատասխանության համար, </w:t>
      </w:r>
      <w:r w:rsidR="0097554F" w:rsidRPr="00A37F42">
        <w:rPr>
          <w:rFonts w:ascii="Sylfaen" w:hAnsi="Sylfaen"/>
          <w:sz w:val="24"/>
          <w:szCs w:val="24"/>
        </w:rPr>
        <w:t>որոնց գործողությունը դրա վրա տարածվում է.</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 xml:space="preserve">«նավթ»՝ մայրուղային խողովակաշարերով, երկաթուղային, ավտոմոբիլային եւ ջրային տրանսպորտով փոխադրման եւ (կամ) նավթավերամշակման եւ նավթաքիմիական արտադրություններում որպես հումք օգտագործման համար </w:t>
      </w:r>
      <w:r w:rsidRPr="00A37F42">
        <w:rPr>
          <w:rFonts w:ascii="Sylfaen" w:hAnsi="Sylfaen"/>
          <w:sz w:val="24"/>
          <w:szCs w:val="24"/>
        </w:rPr>
        <w:lastRenderedPageBreak/>
        <w:t>նախապատրաստված՝ ֆիզիկաքիմիական լայն կազմ ունեցող ածխաջրածինների բնական հանածո հեղուկ խառնուրդ.</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«նավթի շրջանառությունը շուկայում»՝ նավթի շարժը նավթ պատրաստողից (արտադրողից) դեպի սպառողը.</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«նավթի խմբաքանակ»՝ նավթ</w:t>
      </w:r>
      <w:r w:rsidR="00926839" w:rsidRPr="00A37F42">
        <w:rPr>
          <w:rFonts w:ascii="Sylfaen" w:hAnsi="Sylfaen"/>
          <w:sz w:val="24"/>
          <w:szCs w:val="24"/>
        </w:rPr>
        <w:t>ի</w:t>
      </w:r>
      <w:r w:rsidRPr="00A37F42">
        <w:rPr>
          <w:rFonts w:ascii="Sylfaen" w:hAnsi="Sylfaen"/>
          <w:sz w:val="24"/>
          <w:szCs w:val="24"/>
        </w:rPr>
        <w:t xml:space="preserve"> քանակի վերաբերյալ մեկ փաստաթղթով (երթուղային հանձնարարագիր, կամ նավթի ընդունման հանձնման ակտ, կամ բեռնագիր, կամ կոնոսամենտ) եւ մեկ անձնագրով ուղեկցվող նավթի քանակ.</w:t>
      </w:r>
    </w:p>
    <w:p w:rsidR="007B2CDA" w:rsidRPr="00A37F42" w:rsidRDefault="00022D33" w:rsidP="006F399F">
      <w:pPr>
        <w:pStyle w:val="Bodytext20"/>
        <w:shd w:val="clear" w:color="auto" w:fill="auto"/>
        <w:spacing w:before="0" w:after="160" w:line="360" w:lineRule="auto"/>
        <w:ind w:firstLine="567"/>
        <w:rPr>
          <w:rFonts w:ascii="Sylfaen" w:hAnsi="Sylfaen"/>
          <w:sz w:val="24"/>
          <w:szCs w:val="24"/>
        </w:rPr>
      </w:pPr>
      <w:r w:rsidRPr="00A37F42">
        <w:rPr>
          <w:rFonts w:ascii="Sylfaen" w:hAnsi="Sylfaen"/>
          <w:sz w:val="24"/>
          <w:szCs w:val="24"/>
        </w:rPr>
        <w:t>«սպառող»՝ նավթ պատվիրելու կամ ձեռք բերելու մտադրություն ունեցող կամ նավթ պատվիրող, ձեռք բերող կամ օգտագործող՝ իրա</w:t>
      </w:r>
      <w:r w:rsidR="00A24FEE" w:rsidRPr="00A37F42">
        <w:rPr>
          <w:rFonts w:ascii="Sylfaen" w:hAnsi="Sylfaen"/>
          <w:sz w:val="24"/>
          <w:szCs w:val="24"/>
        </w:rPr>
        <w:t>վա</w:t>
      </w:r>
      <w:r w:rsidRPr="00A37F42">
        <w:rPr>
          <w:rFonts w:ascii="Sylfaen" w:hAnsi="Sylfaen"/>
          <w:sz w:val="24"/>
          <w:szCs w:val="24"/>
        </w:rPr>
        <w:t>բանական անձ կամ որպես անհատ ձեռնարկատեր գրանցված ֆիզիկական անձ.</w:t>
      </w:r>
    </w:p>
    <w:p w:rsidR="007B2CDA" w:rsidRPr="00A37F42" w:rsidRDefault="00022D33" w:rsidP="00045523">
      <w:pPr>
        <w:pStyle w:val="Bodytext20"/>
        <w:shd w:val="clear" w:color="auto" w:fill="auto"/>
        <w:spacing w:before="0" w:after="160" w:line="336" w:lineRule="auto"/>
        <w:ind w:firstLine="567"/>
        <w:rPr>
          <w:rFonts w:ascii="Sylfaen" w:hAnsi="Sylfaen"/>
          <w:sz w:val="24"/>
          <w:szCs w:val="24"/>
        </w:rPr>
      </w:pPr>
      <w:r w:rsidRPr="00A37F42">
        <w:rPr>
          <w:rFonts w:ascii="Sylfaen" w:hAnsi="Sylfaen"/>
          <w:sz w:val="24"/>
          <w:szCs w:val="24"/>
        </w:rPr>
        <w:t>«վաճառող (այդ թվում՝ ներմուծող)»՝ իրա</w:t>
      </w:r>
      <w:r w:rsidR="002F1E26" w:rsidRPr="00A37F42">
        <w:rPr>
          <w:rFonts w:ascii="Sylfaen" w:hAnsi="Sylfaen"/>
          <w:sz w:val="24"/>
          <w:szCs w:val="24"/>
        </w:rPr>
        <w:t>վա</w:t>
      </w:r>
      <w:r w:rsidRPr="00A37F42">
        <w:rPr>
          <w:rFonts w:ascii="Sylfaen" w:hAnsi="Sylfaen"/>
          <w:sz w:val="24"/>
          <w:szCs w:val="24"/>
        </w:rPr>
        <w:t xml:space="preserve">բանական անձ կամ որպես անհատ ձեռնարկատեր գրանցված ֆիզիկական անձ, </w:t>
      </w:r>
      <w:r w:rsidR="0097554F" w:rsidRPr="00A37F42">
        <w:rPr>
          <w:rFonts w:ascii="Sylfaen" w:hAnsi="Sylfaen"/>
          <w:sz w:val="24"/>
          <w:szCs w:val="24"/>
        </w:rPr>
        <w:t>որը Մ</w:t>
      </w:r>
      <w:r w:rsidRPr="00A37F42">
        <w:rPr>
          <w:rFonts w:ascii="Sylfaen" w:hAnsi="Sylfaen"/>
          <w:sz w:val="24"/>
          <w:szCs w:val="24"/>
        </w:rPr>
        <w:t>իության անդամ պետության ռեզիդե</w:t>
      </w:r>
      <w:r w:rsidR="00B3222D" w:rsidRPr="00A37F42">
        <w:rPr>
          <w:rFonts w:ascii="Sylfaen" w:hAnsi="Sylfaen"/>
          <w:sz w:val="24"/>
          <w:szCs w:val="24"/>
        </w:rPr>
        <w:t>ն</w:t>
      </w:r>
      <w:r w:rsidRPr="00A37F42">
        <w:rPr>
          <w:rFonts w:ascii="Sylfaen" w:hAnsi="Sylfaen"/>
          <w:sz w:val="24"/>
          <w:szCs w:val="24"/>
        </w:rPr>
        <w:t>տ</w:t>
      </w:r>
      <w:r w:rsidR="000E2DF8" w:rsidRPr="00A37F42">
        <w:rPr>
          <w:rFonts w:ascii="Sylfaen" w:hAnsi="Sylfaen"/>
          <w:sz w:val="24"/>
          <w:szCs w:val="24"/>
        </w:rPr>
        <w:t xml:space="preserve"> է</w:t>
      </w:r>
      <w:r w:rsidR="0097554F" w:rsidRPr="00A37F42">
        <w:rPr>
          <w:rFonts w:ascii="Sylfaen" w:hAnsi="Sylfaen"/>
          <w:sz w:val="24"/>
          <w:szCs w:val="24"/>
        </w:rPr>
        <w:t>,</w:t>
      </w:r>
      <w:r w:rsidRPr="00A37F42">
        <w:rPr>
          <w:rFonts w:ascii="Sylfaen" w:hAnsi="Sylfaen"/>
          <w:sz w:val="24"/>
          <w:szCs w:val="24"/>
        </w:rPr>
        <w:t xml:space="preserve"> Միության անդամ պետության օրենսդրությանը համապատասխան իրականացնում </w:t>
      </w:r>
      <w:r w:rsidR="000E2DF8" w:rsidRPr="00A37F42">
        <w:rPr>
          <w:rFonts w:ascii="Sylfaen" w:hAnsi="Sylfaen"/>
          <w:sz w:val="24"/>
          <w:szCs w:val="24"/>
        </w:rPr>
        <w:t xml:space="preserve">է </w:t>
      </w:r>
      <w:r w:rsidR="0097554F" w:rsidRPr="00A37F42">
        <w:rPr>
          <w:rFonts w:ascii="Sylfaen" w:hAnsi="Sylfaen"/>
          <w:sz w:val="24"/>
          <w:szCs w:val="24"/>
        </w:rPr>
        <w:t>ն</w:t>
      </w:r>
      <w:r w:rsidRPr="00A37F42">
        <w:rPr>
          <w:rFonts w:ascii="Sylfaen" w:hAnsi="Sylfaen"/>
          <w:sz w:val="24"/>
          <w:szCs w:val="24"/>
        </w:rPr>
        <w:t xml:space="preserve">ավթի իրացում սպառողին եւ պատասխանատու </w:t>
      </w:r>
      <w:r w:rsidR="000E2DF8" w:rsidRPr="00A37F42">
        <w:rPr>
          <w:rFonts w:ascii="Sylfaen" w:hAnsi="Sylfaen"/>
          <w:sz w:val="24"/>
          <w:szCs w:val="24"/>
        </w:rPr>
        <w:t>է</w:t>
      </w:r>
      <w:r w:rsidRPr="00A37F42">
        <w:rPr>
          <w:rFonts w:ascii="Sylfaen" w:hAnsi="Sylfaen"/>
          <w:sz w:val="24"/>
          <w:szCs w:val="24"/>
        </w:rPr>
        <w:t xml:space="preserve"> Միության շուկայում նավթի տեղաբաշխման եւ սույն տեխնիկական կանոնակարգի, ինչպես նաեւ Միության </w:t>
      </w:r>
      <w:r w:rsidR="0097554F" w:rsidRPr="00A37F42">
        <w:rPr>
          <w:rFonts w:ascii="Sylfaen" w:hAnsi="Sylfaen"/>
          <w:sz w:val="24"/>
          <w:szCs w:val="24"/>
        </w:rPr>
        <w:t xml:space="preserve">այն </w:t>
      </w:r>
      <w:r w:rsidR="00E7711E" w:rsidRPr="00A37F42">
        <w:rPr>
          <w:rFonts w:ascii="Sylfaen" w:hAnsi="Sylfaen"/>
          <w:sz w:val="24"/>
          <w:szCs w:val="24"/>
        </w:rPr>
        <w:t xml:space="preserve">մյուս </w:t>
      </w:r>
      <w:r w:rsidR="0097554F" w:rsidRPr="00A37F42">
        <w:rPr>
          <w:rFonts w:ascii="Sylfaen" w:hAnsi="Sylfaen"/>
          <w:sz w:val="24"/>
          <w:szCs w:val="24"/>
        </w:rPr>
        <w:t>տեխնիկական կանոնակարգերի պահանջներին նավթի հ</w:t>
      </w:r>
      <w:r w:rsidR="00726984" w:rsidRPr="00A37F42">
        <w:rPr>
          <w:rFonts w:ascii="Sylfaen" w:hAnsi="Sylfaen"/>
          <w:sz w:val="24"/>
          <w:szCs w:val="24"/>
        </w:rPr>
        <w:t>ամապատասխանության համար, որոնց գործողությունը դրա վրա տարածվում է.</w:t>
      </w:r>
    </w:p>
    <w:p w:rsidR="007B2CDA" w:rsidRPr="00A37F42" w:rsidRDefault="00022D33" w:rsidP="00045523">
      <w:pPr>
        <w:pStyle w:val="Bodytext20"/>
        <w:shd w:val="clear" w:color="auto" w:fill="auto"/>
        <w:spacing w:before="0" w:after="160" w:line="336" w:lineRule="auto"/>
        <w:ind w:firstLine="567"/>
        <w:rPr>
          <w:rFonts w:ascii="Sylfaen" w:hAnsi="Sylfaen"/>
          <w:sz w:val="24"/>
          <w:szCs w:val="24"/>
        </w:rPr>
      </w:pPr>
      <w:r w:rsidRPr="00A37F42">
        <w:rPr>
          <w:rFonts w:ascii="Sylfaen" w:hAnsi="Sylfaen"/>
          <w:sz w:val="24"/>
          <w:szCs w:val="24"/>
        </w:rPr>
        <w:t>«նավթ պատրաստողի (արտադրողի) կողմից լիազորված անձ</w:t>
      </w:r>
      <w:r w:rsidR="004144AC" w:rsidRPr="00A37F42">
        <w:rPr>
          <w:rFonts w:ascii="Sylfaen" w:hAnsi="Sylfaen"/>
          <w:sz w:val="24"/>
          <w:szCs w:val="24"/>
        </w:rPr>
        <w:t>»</w:t>
      </w:r>
      <w:r w:rsidRPr="00A37F42">
        <w:rPr>
          <w:rFonts w:ascii="Sylfaen" w:hAnsi="Sylfaen"/>
          <w:sz w:val="24"/>
          <w:szCs w:val="24"/>
        </w:rPr>
        <w:t xml:space="preserve">՝ Միության անդամ պետության օրենսդրությամբ սահմանված կարգով դրա տարածքում գրանցված իրավաբանական անձ կամ որպես անհատ ձեռնարկատեր գրանցված ֆիզիկական անձ, </w:t>
      </w:r>
      <w:r w:rsidR="0097554F" w:rsidRPr="00A37F42">
        <w:rPr>
          <w:rFonts w:ascii="Sylfaen" w:hAnsi="Sylfaen"/>
          <w:sz w:val="24"/>
          <w:szCs w:val="24"/>
        </w:rPr>
        <w:t>որ</w:t>
      </w:r>
      <w:r w:rsidR="00E7711E" w:rsidRPr="00A37F42">
        <w:rPr>
          <w:rFonts w:ascii="Sylfaen" w:hAnsi="Sylfaen"/>
          <w:sz w:val="24"/>
          <w:szCs w:val="24"/>
        </w:rPr>
        <w:t>ը</w:t>
      </w:r>
      <w:r w:rsidRPr="00A37F42">
        <w:rPr>
          <w:rFonts w:ascii="Sylfaen" w:hAnsi="Sylfaen"/>
          <w:sz w:val="24"/>
          <w:szCs w:val="24"/>
        </w:rPr>
        <w:t xml:space="preserve"> </w:t>
      </w:r>
      <w:r w:rsidR="00B95FE0" w:rsidRPr="00A37F42">
        <w:rPr>
          <w:rFonts w:ascii="Sylfaen" w:hAnsi="Sylfaen"/>
          <w:sz w:val="24"/>
          <w:szCs w:val="24"/>
        </w:rPr>
        <w:t xml:space="preserve">նավթի համապատասխանությունը գնահատելիս </w:t>
      </w:r>
      <w:r w:rsidR="006F399F" w:rsidRPr="00A37F42">
        <w:rPr>
          <w:rFonts w:ascii="Sylfaen" w:hAnsi="Sylfaen"/>
          <w:sz w:val="24"/>
          <w:szCs w:val="24"/>
        </w:rPr>
        <w:t>եւ</w:t>
      </w:r>
      <w:r w:rsidR="00B95FE0" w:rsidRPr="00A37F42">
        <w:rPr>
          <w:rFonts w:ascii="Sylfaen" w:hAnsi="Sylfaen"/>
          <w:sz w:val="24"/>
          <w:szCs w:val="24"/>
        </w:rPr>
        <w:t xml:space="preserve"> Միության շուկայում այն շրջանառության մեջ բաց թողնելիս </w:t>
      </w:r>
      <w:r w:rsidRPr="00A37F42">
        <w:rPr>
          <w:rFonts w:ascii="Sylfaen" w:hAnsi="Sylfaen"/>
          <w:sz w:val="24"/>
          <w:szCs w:val="24"/>
        </w:rPr>
        <w:t xml:space="preserve">նավթ պատրաստողի (արտադրողի), այդ </w:t>
      </w:r>
      <w:r w:rsidR="00053CF4" w:rsidRPr="00A37F42">
        <w:rPr>
          <w:rFonts w:ascii="Sylfaen" w:hAnsi="Sylfaen"/>
          <w:sz w:val="24"/>
          <w:szCs w:val="24"/>
        </w:rPr>
        <w:t xml:space="preserve">թվում՝ </w:t>
      </w:r>
      <w:r w:rsidRPr="00A37F42">
        <w:rPr>
          <w:rFonts w:ascii="Sylfaen" w:hAnsi="Sylfaen"/>
          <w:sz w:val="24"/>
          <w:szCs w:val="24"/>
        </w:rPr>
        <w:t>օտարերկրյա նավթ պատրաստողի (արտադրողի) հետ կնքված պայմանագրի հիման վրա այդ նավթ պատրաստողի (արտադրողի) անունից իրականացնում</w:t>
      </w:r>
      <w:r w:rsidR="00CC4A98" w:rsidRPr="00A37F42">
        <w:rPr>
          <w:rFonts w:ascii="Sylfaen" w:hAnsi="Sylfaen"/>
          <w:sz w:val="24"/>
          <w:szCs w:val="24"/>
        </w:rPr>
        <w:t xml:space="preserve"> </w:t>
      </w:r>
      <w:r w:rsidR="00E7711E" w:rsidRPr="00A37F42">
        <w:rPr>
          <w:rFonts w:ascii="Sylfaen" w:hAnsi="Sylfaen"/>
          <w:sz w:val="24"/>
          <w:szCs w:val="24"/>
        </w:rPr>
        <w:t xml:space="preserve">է </w:t>
      </w:r>
      <w:r w:rsidR="00CC4A98" w:rsidRPr="00A37F42">
        <w:rPr>
          <w:rFonts w:ascii="Sylfaen" w:hAnsi="Sylfaen"/>
          <w:sz w:val="24"/>
          <w:szCs w:val="24"/>
        </w:rPr>
        <w:t>գործողություններ</w:t>
      </w:r>
      <w:r w:rsidRPr="00A37F42">
        <w:rPr>
          <w:rFonts w:ascii="Sylfaen" w:hAnsi="Sylfaen"/>
          <w:sz w:val="24"/>
          <w:szCs w:val="24"/>
        </w:rPr>
        <w:t>, ինչպես նա</w:t>
      </w:r>
      <w:r w:rsidR="006F399F" w:rsidRPr="00A37F42">
        <w:rPr>
          <w:rFonts w:ascii="Sylfaen" w:hAnsi="Sylfaen"/>
          <w:sz w:val="24"/>
          <w:szCs w:val="24"/>
        </w:rPr>
        <w:t>եւ</w:t>
      </w:r>
      <w:r w:rsidRPr="00A37F42">
        <w:rPr>
          <w:rFonts w:ascii="Sylfaen" w:hAnsi="Sylfaen"/>
          <w:sz w:val="24"/>
          <w:szCs w:val="24"/>
        </w:rPr>
        <w:t xml:space="preserve"> կրում </w:t>
      </w:r>
      <w:r w:rsidR="001732BA" w:rsidRPr="00A37F42">
        <w:rPr>
          <w:rFonts w:ascii="Sylfaen" w:hAnsi="Sylfaen"/>
          <w:sz w:val="24"/>
          <w:szCs w:val="24"/>
        </w:rPr>
        <w:t xml:space="preserve">պատասխանատվություն </w:t>
      </w:r>
      <w:r w:rsidRPr="00A37F42">
        <w:rPr>
          <w:rFonts w:ascii="Sylfaen" w:hAnsi="Sylfaen"/>
          <w:sz w:val="24"/>
          <w:szCs w:val="24"/>
        </w:rPr>
        <w:t xml:space="preserve">սույն տեխնիկական կանոնակարգի, ինչպես նաեւ Միության </w:t>
      </w:r>
      <w:r w:rsidR="00241F97" w:rsidRPr="00A37F42">
        <w:rPr>
          <w:rFonts w:ascii="Sylfaen" w:hAnsi="Sylfaen"/>
          <w:sz w:val="24"/>
          <w:szCs w:val="24"/>
        </w:rPr>
        <w:t xml:space="preserve">այն </w:t>
      </w:r>
      <w:r w:rsidR="009E2F08" w:rsidRPr="00A37F42">
        <w:rPr>
          <w:rFonts w:ascii="Sylfaen" w:hAnsi="Sylfaen"/>
          <w:sz w:val="24"/>
          <w:szCs w:val="24"/>
        </w:rPr>
        <w:t xml:space="preserve">մյուս </w:t>
      </w:r>
      <w:r w:rsidRPr="00A37F42">
        <w:rPr>
          <w:rFonts w:ascii="Sylfaen" w:hAnsi="Sylfaen"/>
          <w:sz w:val="24"/>
          <w:szCs w:val="24"/>
        </w:rPr>
        <w:t xml:space="preserve">տեխնիկական կանոնակարգերի պահանջներին նավթի համապատասխանության համար, </w:t>
      </w:r>
      <w:r w:rsidR="0097554F" w:rsidRPr="00A37F42">
        <w:rPr>
          <w:rFonts w:ascii="Sylfaen" w:hAnsi="Sylfaen"/>
          <w:sz w:val="24"/>
          <w:szCs w:val="24"/>
        </w:rPr>
        <w:t>որոնց</w:t>
      </w:r>
      <w:r w:rsidRPr="00A37F42">
        <w:rPr>
          <w:rFonts w:ascii="Sylfaen" w:hAnsi="Sylfaen"/>
          <w:sz w:val="24"/>
          <w:szCs w:val="24"/>
        </w:rPr>
        <w:t xml:space="preserve"> գործողությունը դրա վրա տարածվում է։</w:t>
      </w:r>
    </w:p>
    <w:p w:rsidR="007B2CDA" w:rsidRPr="00A37F42" w:rsidRDefault="001D7E39" w:rsidP="00045523">
      <w:pPr>
        <w:pStyle w:val="Bodytext20"/>
        <w:shd w:val="clear" w:color="auto" w:fill="auto"/>
        <w:spacing w:before="0" w:after="160" w:line="360" w:lineRule="auto"/>
        <w:jc w:val="center"/>
        <w:rPr>
          <w:rFonts w:ascii="Sylfaen" w:hAnsi="Sylfaen"/>
          <w:sz w:val="24"/>
          <w:szCs w:val="24"/>
        </w:rPr>
      </w:pPr>
      <w:r w:rsidRPr="00A37F42">
        <w:rPr>
          <w:rFonts w:ascii="Sylfaen" w:hAnsi="Sylfaen"/>
          <w:sz w:val="24"/>
          <w:szCs w:val="24"/>
        </w:rPr>
        <w:lastRenderedPageBreak/>
        <w:t>III. Միության շուկայում նավթի շրջանառության կանոնները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5.</w:t>
      </w:r>
      <w:r w:rsidR="00045523" w:rsidRPr="00A37F42">
        <w:rPr>
          <w:rFonts w:ascii="Sylfaen" w:hAnsi="Sylfaen"/>
          <w:sz w:val="24"/>
          <w:szCs w:val="24"/>
        </w:rPr>
        <w:tab/>
      </w:r>
      <w:r w:rsidRPr="00A37F42">
        <w:rPr>
          <w:rFonts w:ascii="Sylfaen" w:hAnsi="Sylfaen"/>
          <w:sz w:val="24"/>
          <w:szCs w:val="24"/>
        </w:rPr>
        <w:t xml:space="preserve">Միության շուկայում շրջանառության մեջ բաց թողնվող եւ շրջանառության մեջ գտնվող նավթը պետք է համապատասխանի սույն տեխնիկական կանոնակարգի, ինչպես նաեւ Միության </w:t>
      </w:r>
      <w:r w:rsidR="009E2F08" w:rsidRPr="00A37F42">
        <w:rPr>
          <w:rFonts w:ascii="Sylfaen" w:hAnsi="Sylfaen"/>
          <w:sz w:val="24"/>
          <w:szCs w:val="24"/>
        </w:rPr>
        <w:t>այն մյուս</w:t>
      </w:r>
      <w:r w:rsidRPr="00A37F42">
        <w:rPr>
          <w:rFonts w:ascii="Sylfaen" w:hAnsi="Sylfaen"/>
          <w:sz w:val="24"/>
          <w:szCs w:val="24"/>
        </w:rPr>
        <w:t xml:space="preserve"> տեխնիկական կանոնակարգերի </w:t>
      </w:r>
      <w:r w:rsidR="0097554F" w:rsidRPr="00A37F42">
        <w:rPr>
          <w:rFonts w:ascii="Sylfaen" w:hAnsi="Sylfaen"/>
          <w:sz w:val="24"/>
          <w:szCs w:val="24"/>
        </w:rPr>
        <w:t>պահանջներին, որոնց</w:t>
      </w:r>
      <w:r w:rsidR="00726984" w:rsidRPr="00A37F42">
        <w:rPr>
          <w:rFonts w:ascii="Sylfaen" w:hAnsi="Sylfaen"/>
          <w:sz w:val="24"/>
          <w:szCs w:val="24"/>
        </w:rPr>
        <w:t xml:space="preserve"> գործողությունը</w:t>
      </w:r>
      <w:r w:rsidR="00045523" w:rsidRPr="00A37F42">
        <w:rPr>
          <w:rFonts w:ascii="Sylfaen" w:hAnsi="Sylfaen"/>
          <w:sz w:val="24"/>
          <w:szCs w:val="24"/>
        </w:rPr>
        <w:t xml:space="preserve"> դրա վրա տարածվում է։</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6.</w:t>
      </w:r>
      <w:r w:rsidR="00045523" w:rsidRPr="00A37F42">
        <w:rPr>
          <w:rFonts w:ascii="Sylfaen" w:hAnsi="Sylfaen"/>
          <w:sz w:val="24"/>
          <w:szCs w:val="24"/>
        </w:rPr>
        <w:tab/>
      </w:r>
      <w:r w:rsidRPr="00A37F42">
        <w:rPr>
          <w:rFonts w:ascii="Sylfaen" w:hAnsi="Sylfaen"/>
          <w:sz w:val="24"/>
          <w:szCs w:val="24"/>
        </w:rPr>
        <w:t>Միության շուկայում շրջանառության մեջ բաց թողնվող եւ շրջանառության մեջ գտնվող նավթի յուրաքանչյուր խմբաքանակ պետք է ուղեկցվի անձնագրով, որը պարունակում է հետեւյալ տեղեկությունները՝</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ա)</w:t>
      </w:r>
      <w:r w:rsidR="00045523" w:rsidRPr="00A37F42">
        <w:rPr>
          <w:rFonts w:ascii="Sylfaen" w:hAnsi="Sylfaen"/>
          <w:sz w:val="24"/>
          <w:szCs w:val="24"/>
        </w:rPr>
        <w:tab/>
      </w:r>
      <w:r w:rsidRPr="00A37F42">
        <w:rPr>
          <w:rFonts w:ascii="Sylfaen" w:hAnsi="Sylfaen"/>
          <w:sz w:val="24"/>
          <w:szCs w:val="24"/>
        </w:rPr>
        <w:t>այն իրավաբանական անձի անվանումը, գտնվելու վայրը (հասցեն) կամ որպես անհատ ձեռնարկատեր գրանցված այն ֆիզիկական անձի ազգանունը, անունն ու հայրանունը (առկայության դեպքում), բնակության վայրը, որ</w:t>
      </w:r>
      <w:r w:rsidR="0067643C" w:rsidRPr="00A37F42">
        <w:rPr>
          <w:rFonts w:ascii="Sylfaen" w:hAnsi="Sylfaen"/>
          <w:sz w:val="24"/>
          <w:szCs w:val="24"/>
        </w:rPr>
        <w:t>ը</w:t>
      </w:r>
      <w:r w:rsidRPr="00A37F42">
        <w:rPr>
          <w:rFonts w:ascii="Sylfaen" w:hAnsi="Sylfaen"/>
          <w:sz w:val="24"/>
          <w:szCs w:val="24"/>
        </w:rPr>
        <w:t xml:space="preserve"> նավթ պատրաստող (արտադրող) կամ վաճառող (այդ թվում՝ ներմուծող) կամ նավթ պատրաստողի (արտադրողի) կողմից լիազորված՝ անձագիրը ձեւակերպած անձ</w:t>
      </w:r>
      <w:r w:rsidR="0067643C" w:rsidRPr="00A37F42">
        <w:rPr>
          <w:rFonts w:ascii="Sylfaen" w:hAnsi="Sylfaen"/>
          <w:sz w:val="24"/>
          <w:szCs w:val="24"/>
        </w:rPr>
        <w:t xml:space="preserve"> է</w:t>
      </w:r>
      <w:r w:rsidRPr="00A37F42">
        <w:rPr>
          <w:rFonts w:ascii="Sylfaen" w:hAnsi="Sylfaen"/>
          <w:sz w:val="24"/>
          <w:szCs w:val="24"/>
        </w:rPr>
        <w:t>.</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բ)</w:t>
      </w:r>
      <w:r w:rsidR="00045523" w:rsidRPr="00A37F42">
        <w:rPr>
          <w:rFonts w:ascii="Sylfaen" w:hAnsi="Sylfaen"/>
          <w:sz w:val="24"/>
          <w:szCs w:val="24"/>
        </w:rPr>
        <w:tab/>
      </w:r>
      <w:r w:rsidRPr="00A37F42">
        <w:rPr>
          <w:rFonts w:ascii="Sylfaen" w:hAnsi="Sylfaen"/>
          <w:sz w:val="24"/>
          <w:szCs w:val="24"/>
        </w:rPr>
        <w:t>նավթ պատրաստողի (արտադրողի) ապրանքային նշանը (առկայության դեպքում)</w:t>
      </w:r>
      <w:r w:rsidR="0067643C" w:rsidRPr="00A37F42">
        <w:rPr>
          <w:rFonts w:ascii="Sylfaen" w:hAnsi="Sylfaen"/>
          <w:sz w:val="24"/>
          <w:szCs w:val="24"/>
        </w:rPr>
        <w:t>.</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գ)</w:t>
      </w:r>
      <w:r w:rsidR="00045523" w:rsidRPr="00A37F42">
        <w:rPr>
          <w:rFonts w:ascii="Sylfaen" w:hAnsi="Sylfaen"/>
          <w:sz w:val="24"/>
          <w:szCs w:val="24"/>
        </w:rPr>
        <w:tab/>
      </w:r>
      <w:r w:rsidRPr="00A37F42">
        <w:rPr>
          <w:rFonts w:ascii="Sylfaen" w:hAnsi="Sylfaen"/>
          <w:sz w:val="24"/>
          <w:szCs w:val="24"/>
        </w:rPr>
        <w:t>այն փաստաթղթի</w:t>
      </w:r>
      <w:r w:rsidR="002E78E8" w:rsidRPr="00A37F42">
        <w:rPr>
          <w:rFonts w:ascii="Sylfaen" w:hAnsi="Sylfaen"/>
          <w:sz w:val="24"/>
          <w:szCs w:val="24"/>
        </w:rPr>
        <w:t xml:space="preserve"> (առկայության դեպքում)</w:t>
      </w:r>
      <w:r w:rsidRPr="00A37F42">
        <w:rPr>
          <w:rFonts w:ascii="Sylfaen" w:hAnsi="Sylfaen"/>
          <w:sz w:val="24"/>
          <w:szCs w:val="24"/>
        </w:rPr>
        <w:t xml:space="preserve"> նշագիրը եւ անվանումը, որին համապատասխան նավթը պատրաստվել (արտադրվել) է, եւ դրա անվանումն ու նշագիր</w:t>
      </w:r>
      <w:r w:rsidR="00045523" w:rsidRPr="00A37F42">
        <w:rPr>
          <w:rFonts w:ascii="Sylfaen" w:hAnsi="Sylfaen"/>
          <w:sz w:val="24"/>
          <w:szCs w:val="24"/>
        </w:rPr>
        <w:t>ը՝ այդ փաստաթղթին համապատասխան.</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pacing w:val="-6"/>
          <w:sz w:val="24"/>
          <w:szCs w:val="24"/>
        </w:rPr>
        <w:t>դ)</w:t>
      </w:r>
      <w:r w:rsidR="00045523" w:rsidRPr="00A37F42">
        <w:rPr>
          <w:rFonts w:ascii="Sylfaen" w:hAnsi="Sylfaen"/>
          <w:spacing w:val="-6"/>
          <w:sz w:val="24"/>
          <w:szCs w:val="24"/>
        </w:rPr>
        <w:tab/>
      </w:r>
      <w:r w:rsidRPr="00A37F42">
        <w:rPr>
          <w:rFonts w:ascii="Sylfaen" w:hAnsi="Sylfaen"/>
          <w:spacing w:val="-6"/>
          <w:sz w:val="24"/>
          <w:szCs w:val="24"/>
        </w:rPr>
        <w:t>նավթի ցուցանիշների նորմատիվ արժեքները, որոնք սահմանվել են նավթի ցուցանիշներին ներկայացվող պահանջներում՝ հավելվածի համաձայն, եւ այն փաստաթղթում, որին</w:t>
      </w:r>
      <w:r w:rsidRPr="00A37F42">
        <w:rPr>
          <w:rFonts w:ascii="Sylfaen" w:hAnsi="Sylfaen"/>
          <w:sz w:val="24"/>
          <w:szCs w:val="24"/>
        </w:rPr>
        <w:t xml:space="preserve"> համապատասխան նավթը պատրաստվել (արտադրվել) է, ինչպես նաեւ լաբորատոր փորձարկումների փաստացի արդյունքները՝ նշելով սեփական փորձարկման լաբորատորիայի կամ Եվրասիական տնտեսական միության՝ համապատասխանության գնահատման հարցերով մարմինների միասնական ռեեստրում (այսուհետ՝ Միասնական ռեեստր) </w:t>
      </w:r>
      <w:r w:rsidR="006B04C8" w:rsidRPr="00A37F42">
        <w:rPr>
          <w:rFonts w:ascii="Sylfaen" w:hAnsi="Sylfaen"/>
          <w:sz w:val="24"/>
          <w:szCs w:val="24"/>
        </w:rPr>
        <w:t>ընդգրկված</w:t>
      </w:r>
      <w:r w:rsidRPr="00A37F42">
        <w:rPr>
          <w:rFonts w:ascii="Sylfaen" w:hAnsi="Sylfaen"/>
          <w:sz w:val="24"/>
          <w:szCs w:val="24"/>
        </w:rPr>
        <w:t>՝ հավատարմագրված փորձարկման լաբորատորիայի անվանումը.</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ե)</w:t>
      </w:r>
      <w:r w:rsidR="00045523" w:rsidRPr="00A37F42">
        <w:rPr>
          <w:rFonts w:ascii="Sylfaen" w:hAnsi="Sylfaen"/>
          <w:sz w:val="24"/>
          <w:szCs w:val="24"/>
        </w:rPr>
        <w:tab/>
      </w:r>
      <w:r w:rsidRPr="00A37F42">
        <w:rPr>
          <w:rFonts w:ascii="Sylfaen" w:hAnsi="Sylfaen"/>
          <w:sz w:val="24"/>
          <w:szCs w:val="24"/>
        </w:rPr>
        <w:t>խմբաքանակի համարը.</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lastRenderedPageBreak/>
        <w:t>զ)</w:t>
      </w:r>
      <w:r w:rsidR="00045523" w:rsidRPr="00A37F42">
        <w:rPr>
          <w:rFonts w:ascii="Sylfaen" w:hAnsi="Sylfaen"/>
          <w:sz w:val="24"/>
          <w:szCs w:val="24"/>
        </w:rPr>
        <w:tab/>
      </w:r>
      <w:r w:rsidRPr="00A37F42">
        <w:rPr>
          <w:rFonts w:ascii="Sylfaen" w:hAnsi="Sylfaen"/>
          <w:sz w:val="24"/>
          <w:szCs w:val="24"/>
        </w:rPr>
        <w:t>Միության շուկայում արտադրանքի շրջանառության միասնական նշանը.</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է)</w:t>
      </w:r>
      <w:r w:rsidR="00045523" w:rsidRPr="00A37F42">
        <w:rPr>
          <w:rFonts w:ascii="Sylfaen" w:hAnsi="Sylfaen"/>
          <w:sz w:val="24"/>
          <w:szCs w:val="24"/>
        </w:rPr>
        <w:tab/>
      </w:r>
      <w:r w:rsidRPr="00A37F42">
        <w:rPr>
          <w:rFonts w:ascii="Sylfaen" w:hAnsi="Sylfaen"/>
          <w:sz w:val="24"/>
          <w:szCs w:val="24"/>
        </w:rPr>
        <w:t xml:space="preserve">անձնագրի համարը </w:t>
      </w:r>
      <w:r w:rsidR="006F399F" w:rsidRPr="00A37F42">
        <w:rPr>
          <w:rFonts w:ascii="Sylfaen" w:hAnsi="Sylfaen"/>
          <w:sz w:val="24"/>
          <w:szCs w:val="24"/>
        </w:rPr>
        <w:t>եւ</w:t>
      </w:r>
      <w:r w:rsidRPr="00A37F42">
        <w:rPr>
          <w:rFonts w:ascii="Sylfaen" w:hAnsi="Sylfaen"/>
          <w:sz w:val="24"/>
          <w:szCs w:val="24"/>
        </w:rPr>
        <w:t xml:space="preserve"> տրման ամսաթիվը.</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ը)</w:t>
      </w:r>
      <w:r w:rsidR="00045523" w:rsidRPr="00A37F42">
        <w:rPr>
          <w:rFonts w:ascii="Sylfaen" w:hAnsi="Sylfaen"/>
          <w:sz w:val="24"/>
          <w:szCs w:val="24"/>
        </w:rPr>
        <w:tab/>
      </w:r>
      <w:r w:rsidRPr="00A37F42">
        <w:rPr>
          <w:rFonts w:ascii="Sylfaen" w:hAnsi="Sylfaen"/>
          <w:sz w:val="24"/>
          <w:szCs w:val="24"/>
        </w:rPr>
        <w:t>անձնագիրը ձեւակերպած անձի ազգանունը, անվան սկզբնատառերը եւ ստորագրությունը։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7.</w:t>
      </w:r>
      <w:r w:rsidR="00045523" w:rsidRPr="00A37F42">
        <w:rPr>
          <w:rFonts w:ascii="Sylfaen" w:hAnsi="Sylfaen"/>
          <w:sz w:val="24"/>
          <w:szCs w:val="24"/>
        </w:rPr>
        <w:tab/>
      </w:r>
      <w:r w:rsidRPr="00A37F42">
        <w:rPr>
          <w:rFonts w:ascii="Sylfaen" w:hAnsi="Sylfaen"/>
          <w:sz w:val="24"/>
          <w:szCs w:val="24"/>
        </w:rPr>
        <w:t>Անձնագիրը ձ</w:t>
      </w:r>
      <w:r w:rsidR="006F399F" w:rsidRPr="00A37F42">
        <w:rPr>
          <w:rFonts w:ascii="Sylfaen" w:hAnsi="Sylfaen"/>
          <w:sz w:val="24"/>
          <w:szCs w:val="24"/>
        </w:rPr>
        <w:t>եւ</w:t>
      </w:r>
      <w:r w:rsidRPr="00A37F42">
        <w:rPr>
          <w:rFonts w:ascii="Sylfaen" w:hAnsi="Sylfaen"/>
          <w:sz w:val="24"/>
          <w:szCs w:val="24"/>
        </w:rPr>
        <w:t>ակերպվում է ռուսերենով եւ Միության անդամ պետության օրենսդրության մեջ համապատասխան պահանջների առկայության դեպքում՝ Միության այն անդամ պետության պետական լեզվով (պետական լեզուներով), որի տարածքում իրացվում է նավթը։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8.</w:t>
      </w:r>
      <w:r w:rsidR="00045523" w:rsidRPr="00A37F42">
        <w:rPr>
          <w:rFonts w:ascii="Sylfaen" w:hAnsi="Sylfaen"/>
          <w:sz w:val="24"/>
          <w:szCs w:val="24"/>
        </w:rPr>
        <w:tab/>
      </w:r>
      <w:r w:rsidRPr="00A37F42">
        <w:rPr>
          <w:rFonts w:ascii="Sylfaen" w:hAnsi="Sylfaen"/>
          <w:sz w:val="24"/>
          <w:szCs w:val="24"/>
        </w:rPr>
        <w:t xml:space="preserve">Նավթն իրացնելիս վաճառողը (այդ թվում՝ ներմուծողը) պարտավոր է սպառողի պահանջով ներկայացնել անձնագրի պատճենը։ </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9.</w:t>
      </w:r>
      <w:r w:rsidR="00045523" w:rsidRPr="00A37F42">
        <w:rPr>
          <w:rFonts w:ascii="Sylfaen" w:hAnsi="Sylfaen"/>
          <w:sz w:val="24"/>
          <w:szCs w:val="24"/>
        </w:rPr>
        <w:tab/>
      </w:r>
      <w:r w:rsidRPr="00A37F42">
        <w:rPr>
          <w:rFonts w:ascii="Sylfaen" w:hAnsi="Sylfaen"/>
          <w:sz w:val="24"/>
          <w:szCs w:val="24"/>
        </w:rPr>
        <w:t>Անձագիրը ձեւակերպվում է նավթի տրանսպորտային փոխադրման, պահպանման, վերամշակման եւ իրացման նպատակների համար նավթն ընդունելիս (հանձնելիս)։</w:t>
      </w:r>
    </w:p>
    <w:p w:rsidR="007B2CDA" w:rsidRPr="00A37F42" w:rsidRDefault="007B2CDA" w:rsidP="006F399F">
      <w:pPr>
        <w:spacing w:after="160" w:line="360" w:lineRule="auto"/>
        <w:ind w:firstLine="567"/>
        <w:jc w:val="both"/>
      </w:pPr>
    </w:p>
    <w:p w:rsidR="007B2CDA" w:rsidRPr="00A37F42" w:rsidRDefault="001D7E39" w:rsidP="00045523">
      <w:pPr>
        <w:pStyle w:val="Bodytext20"/>
        <w:shd w:val="clear" w:color="auto" w:fill="auto"/>
        <w:spacing w:before="0" w:after="160" w:line="360" w:lineRule="auto"/>
        <w:jc w:val="center"/>
        <w:rPr>
          <w:rFonts w:ascii="Sylfaen" w:hAnsi="Sylfaen"/>
          <w:sz w:val="24"/>
          <w:szCs w:val="24"/>
        </w:rPr>
      </w:pPr>
      <w:r w:rsidRPr="00A37F42">
        <w:rPr>
          <w:rFonts w:ascii="Sylfaen" w:hAnsi="Sylfaen"/>
          <w:sz w:val="24"/>
          <w:szCs w:val="24"/>
        </w:rPr>
        <w:t>IV. Նավթի անվտանգության պահանջները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10.</w:t>
      </w:r>
      <w:r w:rsidR="00045523" w:rsidRPr="00A37F42">
        <w:rPr>
          <w:rFonts w:ascii="Sylfaen" w:hAnsi="Sylfaen"/>
          <w:sz w:val="24"/>
          <w:szCs w:val="24"/>
        </w:rPr>
        <w:tab/>
      </w:r>
      <w:r w:rsidRPr="00A37F42">
        <w:rPr>
          <w:rFonts w:ascii="Sylfaen" w:hAnsi="Sylfaen"/>
          <w:sz w:val="24"/>
          <w:szCs w:val="24"/>
        </w:rPr>
        <w:t>Միության շուկայում շրջանառության մեջ բաց թողնվող եւ շրջանառության մեջ գտնվող նավթը պետք է համապատասխանի սույն տեխնիկական կանոնակարգի հավելվածում նշված ցուցանիշներին ներկ</w:t>
      </w:r>
      <w:r w:rsidR="00607741" w:rsidRPr="00A37F42">
        <w:rPr>
          <w:rFonts w:ascii="Sylfaen" w:hAnsi="Sylfaen"/>
          <w:sz w:val="24"/>
          <w:szCs w:val="24"/>
        </w:rPr>
        <w:t>ա</w:t>
      </w:r>
      <w:r w:rsidRPr="00A37F42">
        <w:rPr>
          <w:rFonts w:ascii="Sylfaen" w:hAnsi="Sylfaen"/>
          <w:sz w:val="24"/>
          <w:szCs w:val="24"/>
        </w:rPr>
        <w:t>յացվող պահանջներին։</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11.</w:t>
      </w:r>
      <w:r w:rsidR="00045523" w:rsidRPr="00A37F42">
        <w:rPr>
          <w:rFonts w:ascii="Sylfaen" w:hAnsi="Sylfaen"/>
          <w:sz w:val="24"/>
          <w:szCs w:val="24"/>
        </w:rPr>
        <w:tab/>
      </w:r>
      <w:r w:rsidRPr="00A37F42">
        <w:rPr>
          <w:rFonts w:ascii="Sylfaen" w:hAnsi="Sylfaen"/>
          <w:sz w:val="24"/>
          <w:szCs w:val="24"/>
        </w:rPr>
        <w:t xml:space="preserve">Նավթի պատրաստման (արտադրման) եւ տրանսպորտային փոխադրման ժամանակ չի թույլատրվում քլորօրգանական միացություններ պարունակող </w:t>
      </w:r>
      <w:r w:rsidR="00045523" w:rsidRPr="00A37F42">
        <w:rPr>
          <w:rFonts w:ascii="Sylfaen" w:hAnsi="Sylfaen"/>
          <w:sz w:val="24"/>
          <w:szCs w:val="24"/>
        </w:rPr>
        <w:t>քիմիական ռեագենտների կիրառումը։</w:t>
      </w:r>
    </w:p>
    <w:p w:rsidR="00D87153" w:rsidRPr="00A37F42" w:rsidRDefault="00D87153" w:rsidP="006F399F">
      <w:pPr>
        <w:pStyle w:val="Bodytext20"/>
        <w:shd w:val="clear" w:color="auto" w:fill="auto"/>
        <w:spacing w:before="0" w:after="160" w:line="360" w:lineRule="auto"/>
        <w:ind w:firstLine="567"/>
        <w:rPr>
          <w:rFonts w:ascii="Sylfaen" w:hAnsi="Sylfaen"/>
          <w:sz w:val="24"/>
          <w:szCs w:val="24"/>
        </w:rPr>
      </w:pPr>
    </w:p>
    <w:p w:rsidR="00045523" w:rsidRPr="00A37F42" w:rsidRDefault="00045523" w:rsidP="006F399F">
      <w:pPr>
        <w:pStyle w:val="Bodytext20"/>
        <w:shd w:val="clear" w:color="auto" w:fill="auto"/>
        <w:spacing w:before="0" w:after="160" w:line="360" w:lineRule="auto"/>
        <w:ind w:firstLine="567"/>
        <w:rPr>
          <w:rFonts w:ascii="Sylfaen" w:hAnsi="Sylfaen"/>
          <w:sz w:val="24"/>
          <w:szCs w:val="24"/>
        </w:rPr>
      </w:pPr>
    </w:p>
    <w:p w:rsidR="007B2CDA" w:rsidRPr="00A37F42" w:rsidRDefault="001D7E39" w:rsidP="002B514F">
      <w:pPr>
        <w:pStyle w:val="Bodytext20"/>
        <w:shd w:val="clear" w:color="auto" w:fill="auto"/>
        <w:spacing w:before="0" w:after="160" w:line="336" w:lineRule="auto"/>
        <w:jc w:val="center"/>
        <w:rPr>
          <w:rFonts w:ascii="Sylfaen" w:hAnsi="Sylfaen"/>
          <w:sz w:val="24"/>
          <w:szCs w:val="24"/>
        </w:rPr>
      </w:pPr>
      <w:r w:rsidRPr="00A37F42">
        <w:rPr>
          <w:rFonts w:ascii="Sylfaen" w:hAnsi="Sylfaen"/>
          <w:sz w:val="24"/>
          <w:szCs w:val="24"/>
        </w:rPr>
        <w:lastRenderedPageBreak/>
        <w:t>V. Անվտանգության պահանջներին նավթի համապատասխանության ապահովումը</w:t>
      </w:r>
    </w:p>
    <w:p w:rsidR="007B2CDA" w:rsidRPr="00A37F42" w:rsidRDefault="001D7E39" w:rsidP="002B514F">
      <w:pPr>
        <w:pStyle w:val="Bodytext20"/>
        <w:shd w:val="clear" w:color="auto" w:fill="auto"/>
        <w:tabs>
          <w:tab w:val="left" w:pos="1134"/>
        </w:tabs>
        <w:spacing w:before="0" w:after="160" w:line="336" w:lineRule="auto"/>
        <w:ind w:firstLine="567"/>
        <w:rPr>
          <w:rFonts w:ascii="Sylfaen" w:hAnsi="Sylfaen"/>
          <w:sz w:val="24"/>
          <w:szCs w:val="24"/>
        </w:rPr>
      </w:pPr>
      <w:r w:rsidRPr="00A37F42">
        <w:rPr>
          <w:rFonts w:ascii="Sylfaen" w:hAnsi="Sylfaen"/>
          <w:sz w:val="24"/>
          <w:szCs w:val="24"/>
        </w:rPr>
        <w:t>12.</w:t>
      </w:r>
      <w:r w:rsidR="00045523" w:rsidRPr="00A37F42">
        <w:rPr>
          <w:rFonts w:ascii="Sylfaen" w:hAnsi="Sylfaen"/>
          <w:sz w:val="24"/>
          <w:szCs w:val="24"/>
        </w:rPr>
        <w:tab/>
      </w:r>
      <w:r w:rsidRPr="00A37F42">
        <w:rPr>
          <w:rFonts w:ascii="Sylfaen" w:hAnsi="Sylfaen"/>
          <w:sz w:val="24"/>
          <w:szCs w:val="24"/>
        </w:rPr>
        <w:t>Նավթի անվտանգությունն ապահովվում է սույն տեխնիկական կանոնակարգով սահմանված պահանջների, ինչպես նաեւ Միության այլ տեխնիկական կանոնակարգերի պահանջների պահպանմամբ, որոնց գործողությունը դրա վրա տարածվում է։</w:t>
      </w:r>
    </w:p>
    <w:p w:rsidR="007B2CDA" w:rsidRPr="00A37F42" w:rsidRDefault="001D7E39" w:rsidP="002B514F">
      <w:pPr>
        <w:pStyle w:val="Bodytext20"/>
        <w:shd w:val="clear" w:color="auto" w:fill="auto"/>
        <w:tabs>
          <w:tab w:val="left" w:pos="1134"/>
        </w:tabs>
        <w:spacing w:before="0" w:after="160" w:line="336" w:lineRule="auto"/>
        <w:ind w:firstLine="567"/>
        <w:rPr>
          <w:rFonts w:ascii="Sylfaen" w:hAnsi="Sylfaen"/>
          <w:sz w:val="24"/>
          <w:szCs w:val="24"/>
        </w:rPr>
      </w:pPr>
      <w:r w:rsidRPr="00A37F42">
        <w:rPr>
          <w:rFonts w:ascii="Sylfaen" w:hAnsi="Sylfaen"/>
          <w:sz w:val="24"/>
          <w:szCs w:val="24"/>
        </w:rPr>
        <w:t>13.</w:t>
      </w:r>
      <w:r w:rsidR="00045523" w:rsidRPr="00A37F42">
        <w:rPr>
          <w:rFonts w:ascii="Sylfaen" w:hAnsi="Sylfaen"/>
          <w:sz w:val="24"/>
          <w:szCs w:val="24"/>
        </w:rPr>
        <w:tab/>
      </w:r>
      <w:r w:rsidRPr="00A37F42">
        <w:rPr>
          <w:rFonts w:ascii="Sylfaen" w:hAnsi="Sylfaen"/>
          <w:sz w:val="24"/>
          <w:szCs w:val="24"/>
        </w:rPr>
        <w:t xml:space="preserve">Սույն տեխնիկական կանոնակարգի պահանջներին նավթի համապատասխանության գնահատման ժամանակ անցկացվող փորձարկումների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w:t>
      </w:r>
      <w:r w:rsidR="006B04C8" w:rsidRPr="00A37F42">
        <w:rPr>
          <w:rFonts w:ascii="Sylfaen" w:hAnsi="Sylfaen"/>
          <w:sz w:val="24"/>
          <w:szCs w:val="24"/>
        </w:rPr>
        <w:t>ընդգրկված</w:t>
      </w:r>
      <w:r w:rsidRPr="00A37F42">
        <w:rPr>
          <w:rFonts w:ascii="Sylfaen" w:hAnsi="Sylfaen"/>
          <w:sz w:val="24"/>
          <w:szCs w:val="24"/>
        </w:rPr>
        <w:t xml:space="preserve"> ստանդարտներով, որոնք պարունակում են հետազոտությունների (փորձարկումների) եւ չափումների կանոններն ու մեթոդները, այդ թվում՝ սույն տեխնիկական կանոնակարգի պահանջների կիրառման ու կատարման եւ տեխնիկական կարգավորման օբյեկտների համապատասխանության գնահատումն իրականացնելու համար անհրաժեշտ նմուշառման կանոնները:</w:t>
      </w:r>
    </w:p>
    <w:p w:rsidR="007B2CDA" w:rsidRPr="00A37F42" w:rsidRDefault="007B2CDA" w:rsidP="002B514F">
      <w:pPr>
        <w:spacing w:after="160" w:line="336" w:lineRule="auto"/>
        <w:ind w:firstLine="567"/>
        <w:jc w:val="both"/>
      </w:pPr>
    </w:p>
    <w:p w:rsidR="007B2CDA" w:rsidRPr="00A37F42" w:rsidRDefault="001D7E39" w:rsidP="002B514F">
      <w:pPr>
        <w:pStyle w:val="Bodytext20"/>
        <w:shd w:val="clear" w:color="auto" w:fill="auto"/>
        <w:spacing w:before="0" w:after="160" w:line="336" w:lineRule="auto"/>
        <w:jc w:val="center"/>
        <w:rPr>
          <w:rFonts w:ascii="Sylfaen" w:hAnsi="Sylfaen"/>
          <w:sz w:val="24"/>
          <w:szCs w:val="24"/>
        </w:rPr>
      </w:pPr>
      <w:r w:rsidRPr="00A37F42">
        <w:rPr>
          <w:rFonts w:ascii="Sylfaen" w:hAnsi="Sylfaen"/>
          <w:sz w:val="24"/>
          <w:szCs w:val="24"/>
        </w:rPr>
        <w:t>VI. Նավթի համապատասխանության գնահատումը</w:t>
      </w:r>
    </w:p>
    <w:p w:rsidR="007B2CDA" w:rsidRPr="00A37F42" w:rsidRDefault="001D7E39" w:rsidP="002B514F">
      <w:pPr>
        <w:pStyle w:val="Bodytext20"/>
        <w:shd w:val="clear" w:color="auto" w:fill="auto"/>
        <w:tabs>
          <w:tab w:val="left" w:pos="1134"/>
        </w:tabs>
        <w:spacing w:before="0" w:after="160" w:line="336" w:lineRule="auto"/>
        <w:ind w:firstLine="567"/>
        <w:rPr>
          <w:rFonts w:ascii="Sylfaen" w:hAnsi="Sylfaen"/>
          <w:sz w:val="24"/>
          <w:szCs w:val="24"/>
        </w:rPr>
      </w:pPr>
      <w:r w:rsidRPr="00A37F42">
        <w:rPr>
          <w:rFonts w:ascii="Sylfaen" w:hAnsi="Sylfaen"/>
          <w:sz w:val="24"/>
          <w:szCs w:val="24"/>
        </w:rPr>
        <w:t>14.</w:t>
      </w:r>
      <w:r w:rsidR="00045523" w:rsidRPr="00A37F42">
        <w:rPr>
          <w:rFonts w:ascii="Sylfaen" w:hAnsi="Sylfaen"/>
          <w:sz w:val="24"/>
          <w:szCs w:val="24"/>
        </w:rPr>
        <w:tab/>
      </w:r>
      <w:r w:rsidRPr="00A37F42">
        <w:rPr>
          <w:rFonts w:ascii="Sylfaen" w:hAnsi="Sylfaen"/>
          <w:sz w:val="24"/>
          <w:szCs w:val="24"/>
        </w:rPr>
        <w:t>Միության շուկայում շրջանառության մեջ բաց թողն</w:t>
      </w:r>
      <w:r w:rsidR="00541F96" w:rsidRPr="00A37F42">
        <w:rPr>
          <w:rFonts w:ascii="Sylfaen" w:hAnsi="Sylfaen"/>
          <w:sz w:val="24"/>
          <w:szCs w:val="24"/>
        </w:rPr>
        <w:t>վ</w:t>
      </w:r>
      <w:r w:rsidRPr="00A37F42">
        <w:rPr>
          <w:rFonts w:ascii="Sylfaen" w:hAnsi="Sylfaen"/>
          <w:sz w:val="24"/>
          <w:szCs w:val="24"/>
        </w:rPr>
        <w:t>ելուց առաջ նավթը ենթակա է սույն տեխնիկական կանոնակարգի պահանջներին համապատասխանության մասով գնահատման, որն իրականացվում է փորձարկումների տեսքով՝ անձնագրի ձեւակերպմամբ։</w:t>
      </w:r>
    </w:p>
    <w:p w:rsidR="007B2CDA" w:rsidRPr="00A37F42" w:rsidRDefault="001D7E39" w:rsidP="002B514F">
      <w:pPr>
        <w:pStyle w:val="Bodytext20"/>
        <w:shd w:val="clear" w:color="auto" w:fill="auto"/>
        <w:tabs>
          <w:tab w:val="left" w:pos="1134"/>
        </w:tabs>
        <w:spacing w:before="0" w:after="160" w:line="336" w:lineRule="auto"/>
        <w:ind w:firstLine="567"/>
        <w:rPr>
          <w:rFonts w:ascii="Sylfaen" w:hAnsi="Sylfaen"/>
          <w:sz w:val="24"/>
          <w:szCs w:val="24"/>
        </w:rPr>
      </w:pPr>
      <w:r w:rsidRPr="00A37F42">
        <w:rPr>
          <w:rFonts w:ascii="Sylfaen" w:hAnsi="Sylfaen"/>
          <w:sz w:val="24"/>
          <w:szCs w:val="24"/>
        </w:rPr>
        <w:t>15.</w:t>
      </w:r>
      <w:r w:rsidR="00045523" w:rsidRPr="00A37F42">
        <w:rPr>
          <w:rFonts w:ascii="Sylfaen" w:hAnsi="Sylfaen"/>
          <w:sz w:val="24"/>
          <w:szCs w:val="24"/>
        </w:rPr>
        <w:tab/>
      </w:r>
      <w:r w:rsidRPr="00A37F42">
        <w:rPr>
          <w:rFonts w:ascii="Sylfaen" w:hAnsi="Sylfaen"/>
          <w:sz w:val="24"/>
          <w:szCs w:val="24"/>
        </w:rPr>
        <w:t>Սույն տեխնիկական կանոնակարգի պահանջներին նավթի համապատասխանության գնահատումն իրականացվում է Միության անդամ պետության տարածքում դրա օրենսդրությանը համապատասխան գրանցված՝ նավթ պատրաստող (արտադրող) կամ վաճառող (այդ թվում՝ ներմուծող) կամ նավթ պատրաստողի (արտադրողի) կողմից լիազորված անձ հանդիսացող դիմումատուի (իրա</w:t>
      </w:r>
      <w:r w:rsidR="009752AB" w:rsidRPr="00A37F42">
        <w:rPr>
          <w:rFonts w:ascii="Sylfaen" w:hAnsi="Sylfaen"/>
          <w:sz w:val="24"/>
          <w:szCs w:val="24"/>
        </w:rPr>
        <w:t>վա</w:t>
      </w:r>
      <w:r w:rsidRPr="00A37F42">
        <w:rPr>
          <w:rFonts w:ascii="Sylfaen" w:hAnsi="Sylfaen"/>
          <w:sz w:val="24"/>
          <w:szCs w:val="24"/>
        </w:rPr>
        <w:t xml:space="preserve">բանական անձի կամ որպես անհատ ձեռնարկատեր գրանցված ֆիզիկական անձի) կողմից՝ չափումների միասնականության </w:t>
      </w:r>
      <w:r w:rsidRPr="00A37F42">
        <w:rPr>
          <w:rFonts w:ascii="Sylfaen" w:hAnsi="Sylfaen"/>
          <w:sz w:val="24"/>
          <w:szCs w:val="24"/>
        </w:rPr>
        <w:lastRenderedPageBreak/>
        <w:t>ապահովման բնագավառում Միության անդամ պետությունների օրենսդրությամբ սահմանված պահանջները բավարարող չափման միջոցների օգտագործմամբ։</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16.</w:t>
      </w:r>
      <w:r w:rsidR="00045523" w:rsidRPr="00A37F42">
        <w:rPr>
          <w:rFonts w:ascii="Sylfaen" w:hAnsi="Sylfaen"/>
          <w:sz w:val="24"/>
          <w:szCs w:val="24"/>
        </w:rPr>
        <w:tab/>
      </w:r>
      <w:r w:rsidRPr="00A37F42">
        <w:rPr>
          <w:rFonts w:ascii="Sylfaen" w:hAnsi="Sylfaen"/>
          <w:sz w:val="24"/>
          <w:szCs w:val="24"/>
        </w:rPr>
        <w:t>Փորձարկումների անցկացման կարգը ներառում է՝</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ա)</w:t>
      </w:r>
      <w:r w:rsidR="00045523" w:rsidRPr="00A37F42">
        <w:rPr>
          <w:rFonts w:ascii="Sylfaen" w:hAnsi="Sylfaen"/>
          <w:sz w:val="24"/>
          <w:szCs w:val="24"/>
        </w:rPr>
        <w:tab/>
      </w:r>
      <w:r w:rsidRPr="00A37F42">
        <w:rPr>
          <w:rFonts w:ascii="Sylfaen" w:hAnsi="Sylfaen"/>
          <w:sz w:val="24"/>
          <w:szCs w:val="24"/>
        </w:rPr>
        <w:t>նավթի փորձանմուշների (նմուշների) ընտրությունը.</w:t>
      </w:r>
    </w:p>
    <w:p w:rsidR="007B2CDA" w:rsidRPr="00A37F42" w:rsidRDefault="00022D3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բ)</w:t>
      </w:r>
      <w:r w:rsidR="00045523" w:rsidRPr="00A37F42">
        <w:rPr>
          <w:rFonts w:ascii="Sylfaen" w:hAnsi="Sylfaen"/>
          <w:sz w:val="24"/>
          <w:szCs w:val="24"/>
        </w:rPr>
        <w:tab/>
      </w:r>
      <w:r w:rsidRPr="00A37F42">
        <w:rPr>
          <w:rFonts w:ascii="Sylfaen" w:hAnsi="Sylfaen"/>
          <w:sz w:val="24"/>
          <w:szCs w:val="24"/>
        </w:rPr>
        <w:t xml:space="preserve">սեփական փորձարկման լաբորատորիայի կամ Միասնական ռեեստրում </w:t>
      </w:r>
      <w:r w:rsidR="006B04C8" w:rsidRPr="00A37F42">
        <w:rPr>
          <w:rFonts w:ascii="Sylfaen" w:hAnsi="Sylfaen"/>
          <w:sz w:val="24"/>
          <w:szCs w:val="24"/>
        </w:rPr>
        <w:t>ընդգրկված</w:t>
      </w:r>
      <w:r w:rsidRPr="00A37F42">
        <w:rPr>
          <w:rFonts w:ascii="Sylfaen" w:hAnsi="Sylfaen"/>
          <w:sz w:val="24"/>
          <w:szCs w:val="24"/>
        </w:rPr>
        <w:t>՝ հավատարմագրված փորձարկման լաբորատորիայի կողմից նավթի փորձանմուշների (նմուշների) փորձարկումների անցկացում</w:t>
      </w:r>
      <w:r w:rsidR="00B35DD6" w:rsidRPr="00A37F42">
        <w:rPr>
          <w:rFonts w:ascii="Sylfaen" w:hAnsi="Sylfaen"/>
          <w:sz w:val="24"/>
          <w:szCs w:val="24"/>
        </w:rPr>
        <w:t>ը</w:t>
      </w:r>
      <w:r w:rsidRPr="00A37F42">
        <w:rPr>
          <w:rFonts w:ascii="Sylfaen" w:hAnsi="Sylfaen"/>
          <w:sz w:val="24"/>
          <w:szCs w:val="24"/>
        </w:rPr>
        <w:t>.</w:t>
      </w:r>
    </w:p>
    <w:p w:rsidR="007B2CDA" w:rsidRPr="00A37F42" w:rsidRDefault="00045523"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գ</w:t>
      </w:r>
      <w:r w:rsidR="00022D33" w:rsidRPr="00A37F42">
        <w:rPr>
          <w:rFonts w:ascii="Sylfaen" w:hAnsi="Sylfaen"/>
          <w:sz w:val="24"/>
          <w:szCs w:val="24"/>
        </w:rPr>
        <w:t>)</w:t>
      </w:r>
      <w:r w:rsidRPr="00A37F42">
        <w:rPr>
          <w:rFonts w:ascii="Sylfaen" w:hAnsi="Sylfaen"/>
          <w:sz w:val="24"/>
          <w:szCs w:val="24"/>
        </w:rPr>
        <w:tab/>
      </w:r>
      <w:r w:rsidR="00022D33" w:rsidRPr="00A37F42">
        <w:rPr>
          <w:rFonts w:ascii="Sylfaen" w:hAnsi="Sylfaen"/>
          <w:sz w:val="24"/>
          <w:szCs w:val="24"/>
        </w:rPr>
        <w:t>փորձարկումների արդյունքները եւ սույն տեխնիկական կանոնակարգի պահանջներին նավթի համապատասխանության մասին եզրակա</w:t>
      </w:r>
      <w:r w:rsidR="00F57C74" w:rsidRPr="00A37F42">
        <w:rPr>
          <w:rFonts w:ascii="Sylfaen" w:hAnsi="Sylfaen"/>
          <w:sz w:val="24"/>
          <w:szCs w:val="24"/>
        </w:rPr>
        <w:t>ցությունն անձնագրի մեջ գրանցել</w:t>
      </w:r>
      <w:r w:rsidRPr="00A37F42">
        <w:rPr>
          <w:rFonts w:ascii="Sylfaen" w:hAnsi="Sylfaen"/>
          <w:sz w:val="24"/>
          <w:szCs w:val="24"/>
        </w:rPr>
        <w:t>ը։</w:t>
      </w:r>
    </w:p>
    <w:p w:rsidR="007B2CDA" w:rsidRPr="00A37F42" w:rsidRDefault="001D7E39" w:rsidP="00045523">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17.</w:t>
      </w:r>
      <w:r w:rsidR="00045523" w:rsidRPr="00A37F42">
        <w:rPr>
          <w:rFonts w:ascii="Sylfaen" w:hAnsi="Sylfaen"/>
          <w:sz w:val="24"/>
          <w:szCs w:val="24"/>
        </w:rPr>
        <w:tab/>
      </w:r>
      <w:r w:rsidRPr="00A37F42">
        <w:rPr>
          <w:rFonts w:ascii="Sylfaen" w:hAnsi="Sylfaen"/>
          <w:sz w:val="24"/>
          <w:szCs w:val="24"/>
        </w:rPr>
        <w:t>Փորձարկումներն իրականացվում են սույն տեխնիկական կանոնակարգի 13-րդ կետում նշ</w:t>
      </w:r>
      <w:r w:rsidR="00045523" w:rsidRPr="00A37F42">
        <w:rPr>
          <w:rFonts w:ascii="Sylfaen" w:hAnsi="Sylfaen"/>
          <w:sz w:val="24"/>
          <w:szCs w:val="24"/>
        </w:rPr>
        <w:t>ված ստանդարտներին համապատասխան։</w:t>
      </w:r>
    </w:p>
    <w:p w:rsidR="007B2CDA" w:rsidRPr="00A37F42" w:rsidRDefault="007B2CDA" w:rsidP="002B514F">
      <w:pPr>
        <w:spacing w:after="120"/>
        <w:ind w:firstLine="567"/>
        <w:jc w:val="both"/>
      </w:pPr>
    </w:p>
    <w:p w:rsidR="007B2CDA" w:rsidRPr="00A37F42" w:rsidRDefault="001D7E39" w:rsidP="007873AD">
      <w:pPr>
        <w:pStyle w:val="Bodytext20"/>
        <w:shd w:val="clear" w:color="auto" w:fill="auto"/>
        <w:spacing w:before="0" w:after="160" w:line="360" w:lineRule="auto"/>
        <w:ind w:left="567" w:right="559"/>
        <w:jc w:val="center"/>
        <w:rPr>
          <w:rFonts w:ascii="Sylfaen" w:hAnsi="Sylfaen"/>
          <w:sz w:val="24"/>
          <w:szCs w:val="24"/>
        </w:rPr>
      </w:pPr>
      <w:r w:rsidRPr="00A37F42">
        <w:rPr>
          <w:rFonts w:ascii="Sylfaen" w:hAnsi="Sylfaen"/>
          <w:sz w:val="24"/>
          <w:szCs w:val="24"/>
        </w:rPr>
        <w:t>VII. Միության շուկայում արտադրանքի շրջանառության միասնական նշանով նավթի մակնշումը</w:t>
      </w:r>
    </w:p>
    <w:p w:rsidR="007B2CDA" w:rsidRPr="00A37F42" w:rsidRDefault="001D7E39" w:rsidP="007873AD">
      <w:pPr>
        <w:pStyle w:val="Bodytext20"/>
        <w:shd w:val="clear" w:color="auto" w:fill="auto"/>
        <w:tabs>
          <w:tab w:val="left" w:pos="1134"/>
        </w:tabs>
        <w:spacing w:before="0" w:after="160" w:line="360" w:lineRule="auto"/>
        <w:ind w:firstLine="567"/>
        <w:rPr>
          <w:rFonts w:ascii="Sylfaen" w:hAnsi="Sylfaen"/>
          <w:sz w:val="24"/>
          <w:szCs w:val="24"/>
        </w:rPr>
      </w:pPr>
      <w:r w:rsidRPr="00A37F42">
        <w:rPr>
          <w:rFonts w:ascii="Sylfaen" w:hAnsi="Sylfaen"/>
          <w:sz w:val="24"/>
          <w:szCs w:val="24"/>
        </w:rPr>
        <w:t>18.</w:t>
      </w:r>
      <w:r w:rsidR="007873AD" w:rsidRPr="00A37F42">
        <w:rPr>
          <w:rFonts w:ascii="Sylfaen" w:hAnsi="Sylfaen"/>
          <w:sz w:val="24"/>
          <w:szCs w:val="24"/>
        </w:rPr>
        <w:tab/>
      </w:r>
      <w:r w:rsidRPr="00A37F42">
        <w:rPr>
          <w:rFonts w:ascii="Sylfaen" w:hAnsi="Sylfaen"/>
          <w:sz w:val="24"/>
          <w:szCs w:val="24"/>
        </w:rPr>
        <w:t xml:space="preserve">Նավթը, որը համապատասխանում է սույն տեխնիկական կանոնակարգի պահանջներին, ինչպես նաեւ Միության </w:t>
      </w:r>
      <w:r w:rsidR="007D71AE" w:rsidRPr="00A37F42">
        <w:rPr>
          <w:rFonts w:ascii="Sylfaen" w:hAnsi="Sylfaen"/>
          <w:sz w:val="24"/>
          <w:szCs w:val="24"/>
        </w:rPr>
        <w:t>այն մյուս</w:t>
      </w:r>
      <w:r w:rsidRPr="00A37F42">
        <w:rPr>
          <w:rFonts w:ascii="Sylfaen" w:hAnsi="Sylfaen"/>
          <w:sz w:val="24"/>
          <w:szCs w:val="24"/>
        </w:rPr>
        <w:t xml:space="preserve"> տեխնիկական կանոնակարգերի պահանջներին, </w:t>
      </w:r>
      <w:r w:rsidR="0097554F" w:rsidRPr="00A37F42">
        <w:rPr>
          <w:rFonts w:ascii="Sylfaen" w:hAnsi="Sylfaen"/>
          <w:sz w:val="24"/>
          <w:szCs w:val="24"/>
        </w:rPr>
        <w:t>որոնց</w:t>
      </w:r>
      <w:r w:rsidR="00726984" w:rsidRPr="00A37F42">
        <w:rPr>
          <w:rFonts w:ascii="Sylfaen" w:hAnsi="Sylfaen"/>
          <w:sz w:val="24"/>
          <w:szCs w:val="24"/>
        </w:rPr>
        <w:t xml:space="preserve"> գործողությունը</w:t>
      </w:r>
      <w:r w:rsidRPr="00A37F42">
        <w:rPr>
          <w:rFonts w:ascii="Sylfaen" w:hAnsi="Sylfaen"/>
          <w:sz w:val="24"/>
          <w:szCs w:val="24"/>
        </w:rPr>
        <w:t xml:space="preserve"> դրա վրա տարածվում է, եւ որը</w:t>
      </w:r>
      <w:r w:rsidR="009752AB" w:rsidRPr="00A37F42">
        <w:rPr>
          <w:rFonts w:ascii="Sylfaen" w:hAnsi="Sylfaen"/>
          <w:sz w:val="24"/>
          <w:szCs w:val="24"/>
        </w:rPr>
        <w:t>,</w:t>
      </w:r>
      <w:r w:rsidRPr="00A37F42">
        <w:rPr>
          <w:rFonts w:ascii="Sylfaen" w:hAnsi="Sylfaen"/>
          <w:sz w:val="24"/>
          <w:szCs w:val="24"/>
        </w:rPr>
        <w:t xml:space="preserve"> սույն տեխնիկական կանոնակարգի VI բաժնի համաձայն</w:t>
      </w:r>
      <w:r w:rsidR="009752AB" w:rsidRPr="00A37F42">
        <w:rPr>
          <w:rFonts w:ascii="Sylfaen" w:hAnsi="Sylfaen"/>
          <w:sz w:val="24"/>
          <w:szCs w:val="24"/>
        </w:rPr>
        <w:t>,</w:t>
      </w:r>
      <w:r w:rsidRPr="00A37F42">
        <w:rPr>
          <w:rFonts w:ascii="Sylfaen" w:hAnsi="Sylfaen"/>
          <w:sz w:val="24"/>
          <w:szCs w:val="24"/>
        </w:rPr>
        <w:t xml:space="preserve"> անցել է համապատասխանության գնահատման ընթացակարգը, մակնշվում է Միության շուկայում արտադրանքի շրջանառության միասնական նշանով։</w:t>
      </w:r>
    </w:p>
    <w:p w:rsidR="007B2CDA" w:rsidRPr="00A37F42" w:rsidRDefault="001D7E39" w:rsidP="002B514F">
      <w:pPr>
        <w:pStyle w:val="Bodytext20"/>
        <w:shd w:val="clear" w:color="auto" w:fill="auto"/>
        <w:tabs>
          <w:tab w:val="left" w:pos="1134"/>
        </w:tabs>
        <w:spacing w:before="0" w:after="160" w:line="336" w:lineRule="auto"/>
        <w:ind w:firstLine="567"/>
        <w:rPr>
          <w:rFonts w:ascii="Sylfaen" w:hAnsi="Sylfaen"/>
          <w:sz w:val="24"/>
          <w:szCs w:val="24"/>
        </w:rPr>
      </w:pPr>
      <w:r w:rsidRPr="00A37F42">
        <w:rPr>
          <w:rFonts w:ascii="Sylfaen" w:hAnsi="Sylfaen"/>
          <w:sz w:val="24"/>
          <w:szCs w:val="24"/>
        </w:rPr>
        <w:t>19.</w:t>
      </w:r>
      <w:r w:rsidR="002B514F" w:rsidRPr="00A37F42">
        <w:rPr>
          <w:rFonts w:ascii="Sylfaen" w:hAnsi="Sylfaen"/>
          <w:sz w:val="24"/>
          <w:szCs w:val="24"/>
        </w:rPr>
        <w:tab/>
      </w:r>
      <w:r w:rsidRPr="00A37F42">
        <w:rPr>
          <w:rFonts w:ascii="Sylfaen" w:hAnsi="Sylfaen"/>
          <w:sz w:val="24"/>
          <w:szCs w:val="24"/>
        </w:rPr>
        <w:t>Միության շուկայում արտադրանքի շրջանառության միասնական նշանով մակնշումն իրականացվում է նախքան նավթը Միության շուկայում շրջանառության մեջ բաց թողնելը։</w:t>
      </w:r>
    </w:p>
    <w:p w:rsidR="00BB0F98" w:rsidRPr="00A37F42" w:rsidRDefault="001D7E39" w:rsidP="002B514F">
      <w:pPr>
        <w:pStyle w:val="Bodytext20"/>
        <w:shd w:val="clear" w:color="auto" w:fill="auto"/>
        <w:tabs>
          <w:tab w:val="left" w:pos="1134"/>
        </w:tabs>
        <w:spacing w:before="0" w:after="160" w:line="336" w:lineRule="auto"/>
        <w:ind w:firstLine="567"/>
        <w:rPr>
          <w:rFonts w:ascii="Sylfaen" w:hAnsi="Sylfaen"/>
          <w:sz w:val="24"/>
          <w:szCs w:val="24"/>
        </w:rPr>
      </w:pPr>
      <w:r w:rsidRPr="00A37F42">
        <w:rPr>
          <w:rFonts w:ascii="Sylfaen" w:hAnsi="Sylfaen"/>
          <w:sz w:val="24"/>
          <w:szCs w:val="24"/>
        </w:rPr>
        <w:t>20.</w:t>
      </w:r>
      <w:r w:rsidR="002B514F" w:rsidRPr="00A37F42">
        <w:rPr>
          <w:rFonts w:ascii="Sylfaen" w:hAnsi="Sylfaen"/>
          <w:sz w:val="24"/>
          <w:szCs w:val="24"/>
        </w:rPr>
        <w:tab/>
      </w:r>
      <w:r w:rsidRPr="00A37F42">
        <w:rPr>
          <w:rFonts w:ascii="Sylfaen" w:hAnsi="Sylfaen"/>
          <w:sz w:val="24"/>
          <w:szCs w:val="24"/>
        </w:rPr>
        <w:t>Միության շուկայում արտադրանքի շրջանառության միասնական նշանը դրվում է անձնագրում:</w:t>
      </w:r>
    </w:p>
    <w:p w:rsidR="002B514F" w:rsidRPr="00A37F42" w:rsidRDefault="002B514F" w:rsidP="002B514F">
      <w:pPr>
        <w:pStyle w:val="Bodytext20"/>
        <w:shd w:val="clear" w:color="auto" w:fill="auto"/>
        <w:tabs>
          <w:tab w:val="left" w:pos="1134"/>
        </w:tabs>
        <w:spacing w:before="0" w:after="160" w:line="360" w:lineRule="auto"/>
        <w:ind w:firstLine="567"/>
        <w:jc w:val="center"/>
        <w:rPr>
          <w:rFonts w:ascii="Sylfaen" w:hAnsi="Sylfaen"/>
          <w:sz w:val="24"/>
          <w:szCs w:val="24"/>
        </w:rPr>
      </w:pPr>
      <w:r w:rsidRPr="00A37F42">
        <w:rPr>
          <w:rFonts w:ascii="Sylfaen" w:hAnsi="Sylfaen"/>
          <w:sz w:val="24"/>
          <w:szCs w:val="24"/>
        </w:rPr>
        <w:t>———————</w:t>
      </w:r>
    </w:p>
    <w:p w:rsidR="002B514F" w:rsidRPr="00A37F42" w:rsidRDefault="002B514F" w:rsidP="006F399F">
      <w:pPr>
        <w:pStyle w:val="Bodytext20"/>
        <w:shd w:val="clear" w:color="auto" w:fill="auto"/>
        <w:spacing w:before="0" w:after="160" w:line="360" w:lineRule="auto"/>
        <w:ind w:left="4536"/>
        <w:rPr>
          <w:rStyle w:val="Headerorfooter"/>
          <w:rFonts w:ascii="Sylfaen" w:hAnsi="Sylfaen"/>
          <w:sz w:val="24"/>
          <w:szCs w:val="24"/>
        </w:rPr>
        <w:sectPr w:rsidR="002B514F" w:rsidRPr="00A37F42" w:rsidSect="009E48FD">
          <w:footerReference w:type="default" r:id="rId8"/>
          <w:pgSz w:w="11900" w:h="16840" w:code="9"/>
          <w:pgMar w:top="1418" w:right="1418" w:bottom="1418" w:left="1418" w:header="0" w:footer="786" w:gutter="0"/>
          <w:pgNumType w:start="1"/>
          <w:cols w:space="720"/>
          <w:noEndnote/>
          <w:titlePg/>
          <w:docGrid w:linePitch="360"/>
        </w:sectPr>
      </w:pPr>
    </w:p>
    <w:p w:rsidR="007B2CDA" w:rsidRPr="00A37F42" w:rsidRDefault="00022D33" w:rsidP="002B514F">
      <w:pPr>
        <w:pStyle w:val="Bodytext20"/>
        <w:shd w:val="clear" w:color="auto" w:fill="auto"/>
        <w:spacing w:before="0" w:after="160" w:line="360" w:lineRule="auto"/>
        <w:ind w:left="4536"/>
        <w:jc w:val="center"/>
        <w:rPr>
          <w:rFonts w:ascii="Sylfaen" w:hAnsi="Sylfaen"/>
          <w:sz w:val="24"/>
          <w:szCs w:val="24"/>
        </w:rPr>
      </w:pPr>
      <w:r w:rsidRPr="00A37F42">
        <w:rPr>
          <w:rStyle w:val="Headerorfooter"/>
          <w:rFonts w:ascii="Sylfaen" w:hAnsi="Sylfaen"/>
          <w:sz w:val="24"/>
          <w:szCs w:val="24"/>
        </w:rPr>
        <w:lastRenderedPageBreak/>
        <w:t>ՀԱՎԵԼՎԱԾ</w:t>
      </w:r>
    </w:p>
    <w:p w:rsidR="007B2CDA" w:rsidRPr="00A37F42" w:rsidRDefault="00022D33" w:rsidP="002B514F">
      <w:pPr>
        <w:pStyle w:val="Bodytext20"/>
        <w:shd w:val="clear" w:color="auto" w:fill="auto"/>
        <w:spacing w:before="0" w:after="160" w:line="360" w:lineRule="auto"/>
        <w:ind w:left="4536"/>
        <w:jc w:val="center"/>
        <w:rPr>
          <w:rFonts w:ascii="Sylfaen" w:hAnsi="Sylfaen"/>
          <w:sz w:val="24"/>
          <w:szCs w:val="24"/>
        </w:rPr>
      </w:pPr>
      <w:r w:rsidRPr="00A37F42">
        <w:rPr>
          <w:rFonts w:ascii="Sylfaen" w:hAnsi="Sylfaen"/>
          <w:sz w:val="24"/>
          <w:szCs w:val="24"/>
        </w:rPr>
        <w:t>Եվրասիական տնտեսական միության «Տրանսպորտային փոխադրման եւ (կամ) օգտագործման համար նախապատրաստված նավթի անվտանգության մասին» տեխնիկական կանոնակարգի (ԵԱՏՄ ՏԿ 045/2017)</w:t>
      </w:r>
    </w:p>
    <w:p w:rsidR="00BB0F98" w:rsidRPr="00A37F42" w:rsidRDefault="00BB0F98" w:rsidP="006F399F">
      <w:pPr>
        <w:pStyle w:val="Bodytext40"/>
        <w:shd w:val="clear" w:color="auto" w:fill="auto"/>
        <w:spacing w:before="0" w:after="160" w:line="360" w:lineRule="auto"/>
        <w:jc w:val="both"/>
        <w:rPr>
          <w:rStyle w:val="Bodytext4Spacing2pt"/>
          <w:rFonts w:ascii="Sylfaen" w:hAnsi="Sylfaen"/>
          <w:b/>
          <w:bCs/>
          <w:spacing w:val="0"/>
          <w:sz w:val="24"/>
          <w:szCs w:val="24"/>
        </w:rPr>
      </w:pPr>
    </w:p>
    <w:p w:rsidR="007B2CDA" w:rsidRPr="00A37F42" w:rsidRDefault="00022D33" w:rsidP="002B514F">
      <w:pPr>
        <w:pStyle w:val="Bodytext40"/>
        <w:shd w:val="clear" w:color="auto" w:fill="auto"/>
        <w:spacing w:before="0" w:after="160" w:line="360" w:lineRule="auto"/>
        <w:rPr>
          <w:rFonts w:ascii="Sylfaen" w:hAnsi="Sylfaen"/>
          <w:sz w:val="24"/>
          <w:szCs w:val="24"/>
        </w:rPr>
      </w:pPr>
      <w:r w:rsidRPr="00A37F42">
        <w:rPr>
          <w:rStyle w:val="Bodytext4Spacing2pt"/>
          <w:rFonts w:ascii="Sylfaen" w:hAnsi="Sylfaen"/>
          <w:b/>
          <w:spacing w:val="0"/>
          <w:sz w:val="24"/>
          <w:szCs w:val="24"/>
        </w:rPr>
        <w:t>ՊԱՀԱՆՋՆԵՐ</w:t>
      </w:r>
    </w:p>
    <w:p w:rsidR="007B2CDA" w:rsidRPr="00A37F42" w:rsidRDefault="00022D33" w:rsidP="002B514F">
      <w:pPr>
        <w:pStyle w:val="Bodytext40"/>
        <w:shd w:val="clear" w:color="auto" w:fill="auto"/>
        <w:spacing w:before="0" w:after="160" w:line="360" w:lineRule="auto"/>
        <w:rPr>
          <w:rFonts w:ascii="Sylfaen" w:hAnsi="Sylfaen"/>
          <w:sz w:val="24"/>
          <w:szCs w:val="24"/>
        </w:rPr>
      </w:pPr>
      <w:r w:rsidRPr="00A37F42">
        <w:rPr>
          <w:rFonts w:ascii="Sylfaen" w:hAnsi="Sylfaen"/>
          <w:sz w:val="24"/>
          <w:szCs w:val="24"/>
        </w:rPr>
        <w:t>նավթի ցուցանիշներին ներկայացվող</w:t>
      </w:r>
    </w:p>
    <w:tbl>
      <w:tblPr>
        <w:tblOverlap w:val="never"/>
        <w:tblW w:w="9298" w:type="dxa"/>
        <w:jc w:val="center"/>
        <w:tblLayout w:type="fixed"/>
        <w:tblCellMar>
          <w:left w:w="10" w:type="dxa"/>
          <w:right w:w="10" w:type="dxa"/>
        </w:tblCellMar>
        <w:tblLook w:val="04A0" w:firstRow="1" w:lastRow="0" w:firstColumn="1" w:lastColumn="0" w:noHBand="0" w:noVBand="1"/>
      </w:tblPr>
      <w:tblGrid>
        <w:gridCol w:w="4722"/>
        <w:gridCol w:w="4576"/>
      </w:tblGrid>
      <w:tr w:rsidR="007B2CDA" w:rsidRPr="00A37F42" w:rsidTr="00014F84">
        <w:trPr>
          <w:jc w:val="center"/>
        </w:trPr>
        <w:tc>
          <w:tcPr>
            <w:tcW w:w="4722" w:type="dxa"/>
            <w:tcBorders>
              <w:top w:val="single" w:sz="4" w:space="0" w:color="auto"/>
              <w:left w:val="single" w:sz="4" w:space="0" w:color="auto"/>
            </w:tcBorders>
            <w:shd w:val="clear" w:color="auto" w:fill="FFFFFF"/>
            <w:vAlign w:val="center"/>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Ցուցանիշի անվանումը</w:t>
            </w:r>
          </w:p>
        </w:tc>
        <w:tc>
          <w:tcPr>
            <w:tcW w:w="4576" w:type="dxa"/>
            <w:tcBorders>
              <w:top w:val="single" w:sz="4" w:space="0" w:color="auto"/>
              <w:left w:val="single" w:sz="4" w:space="0" w:color="auto"/>
              <w:right w:val="single" w:sz="4" w:space="0" w:color="auto"/>
            </w:tcBorders>
            <w:shd w:val="clear" w:color="auto" w:fill="FFFFFF"/>
            <w:vAlign w:val="center"/>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Նորմատիվ արժեքները</w:t>
            </w:r>
          </w:p>
        </w:tc>
      </w:tr>
      <w:tr w:rsidR="007B2CDA" w:rsidRPr="00A37F42" w:rsidTr="002B514F">
        <w:trPr>
          <w:jc w:val="center"/>
        </w:trPr>
        <w:tc>
          <w:tcPr>
            <w:tcW w:w="4722" w:type="dxa"/>
            <w:tcBorders>
              <w:top w:val="single" w:sz="4" w:space="0" w:color="auto"/>
            </w:tcBorders>
            <w:shd w:val="clear" w:color="auto" w:fill="FFFFFF"/>
            <w:vAlign w:val="center"/>
          </w:tcPr>
          <w:p w:rsidR="007B2CDA" w:rsidRPr="00A37F42" w:rsidRDefault="00022D33" w:rsidP="002B514F">
            <w:pPr>
              <w:pStyle w:val="Bodytext20"/>
              <w:shd w:val="clear" w:color="auto" w:fill="auto"/>
              <w:spacing w:before="0" w:after="120" w:line="240" w:lineRule="auto"/>
              <w:ind w:left="107"/>
              <w:jc w:val="left"/>
              <w:rPr>
                <w:rFonts w:ascii="Sylfaen" w:hAnsi="Sylfaen"/>
                <w:sz w:val="22"/>
                <w:szCs w:val="22"/>
              </w:rPr>
            </w:pPr>
            <w:r w:rsidRPr="00A37F42">
              <w:rPr>
                <w:rFonts w:ascii="Sylfaen" w:hAnsi="Sylfaen"/>
                <w:sz w:val="22"/>
                <w:szCs w:val="22"/>
              </w:rPr>
              <w:t>Ծծմբաջրածնի զանգվածային մասը, մլն</w:t>
            </w:r>
            <w:r w:rsidRPr="00A37F42">
              <w:rPr>
                <w:rFonts w:ascii="Sylfaen" w:hAnsi="Sylfaen"/>
                <w:sz w:val="22"/>
                <w:szCs w:val="22"/>
                <w:vertAlign w:val="superscript"/>
              </w:rPr>
              <w:t>-1</w:t>
            </w:r>
            <w:r w:rsidRPr="00A37F42">
              <w:rPr>
                <w:rFonts w:ascii="Sylfaen" w:hAnsi="Sylfaen"/>
                <w:sz w:val="22"/>
                <w:szCs w:val="22"/>
              </w:rPr>
              <w:t xml:space="preserve"> (ppm), ոչ ավելի</w:t>
            </w:r>
          </w:p>
        </w:tc>
        <w:tc>
          <w:tcPr>
            <w:tcW w:w="4576" w:type="dxa"/>
            <w:tcBorders>
              <w:top w:val="single" w:sz="4" w:space="0" w:color="auto"/>
            </w:tcBorders>
            <w:shd w:val="clear" w:color="auto" w:fill="FFFFFF"/>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100 (20</w:t>
            </w:r>
            <w:r w:rsidR="002B514F" w:rsidRPr="00A37F42">
              <w:rPr>
                <w:rStyle w:val="FootnoteReference"/>
                <w:rFonts w:ascii="Sylfaen" w:hAnsi="Sylfaen"/>
                <w:sz w:val="22"/>
                <w:szCs w:val="22"/>
              </w:rPr>
              <w:footnoteReference w:customMarkFollows="1" w:id="1"/>
              <w:sym w:font="Symbol" w:char="F02A"/>
            </w:r>
            <w:r w:rsidRPr="00A37F42">
              <w:rPr>
                <w:rFonts w:ascii="Sylfaen" w:hAnsi="Sylfaen"/>
                <w:sz w:val="22"/>
                <w:szCs w:val="22"/>
              </w:rPr>
              <w:t>)</w:t>
            </w:r>
          </w:p>
        </w:tc>
      </w:tr>
      <w:tr w:rsidR="007B2CDA" w:rsidRPr="00A37F42" w:rsidTr="002B514F">
        <w:trPr>
          <w:jc w:val="center"/>
        </w:trPr>
        <w:tc>
          <w:tcPr>
            <w:tcW w:w="4722" w:type="dxa"/>
            <w:shd w:val="clear" w:color="auto" w:fill="FFFFFF"/>
            <w:vAlign w:val="center"/>
          </w:tcPr>
          <w:p w:rsidR="007B2CDA" w:rsidRPr="00A37F42" w:rsidRDefault="00022D33" w:rsidP="002B514F">
            <w:pPr>
              <w:pStyle w:val="Bodytext20"/>
              <w:shd w:val="clear" w:color="auto" w:fill="auto"/>
              <w:spacing w:before="0" w:after="120" w:line="240" w:lineRule="auto"/>
              <w:ind w:left="107"/>
              <w:jc w:val="left"/>
              <w:rPr>
                <w:rFonts w:ascii="Sylfaen" w:hAnsi="Sylfaen"/>
                <w:sz w:val="22"/>
                <w:szCs w:val="22"/>
              </w:rPr>
            </w:pPr>
            <w:r w:rsidRPr="00A37F42">
              <w:rPr>
                <w:rFonts w:ascii="Sylfaen" w:hAnsi="Sylfaen"/>
                <w:sz w:val="22"/>
                <w:szCs w:val="22"/>
              </w:rPr>
              <w:footnoteReference w:customMarkFollows="1" w:id="2"/>
              <w:t>Մեթիլ- եւ էթիլմերկապտանների գումարային զանգվածային մասը, մլն</w:t>
            </w:r>
            <w:r w:rsidRPr="00A37F42">
              <w:rPr>
                <w:rFonts w:ascii="Sylfaen" w:hAnsi="Sylfaen"/>
                <w:sz w:val="22"/>
                <w:szCs w:val="22"/>
                <w:vertAlign w:val="superscript"/>
              </w:rPr>
              <w:t>-1</w:t>
            </w:r>
            <w:r w:rsidRPr="00A37F42">
              <w:rPr>
                <w:rFonts w:ascii="Sylfaen" w:hAnsi="Sylfaen"/>
                <w:sz w:val="22"/>
                <w:szCs w:val="22"/>
              </w:rPr>
              <w:t xml:space="preserve"> (ppm), ոչ ավելի</w:t>
            </w:r>
          </w:p>
        </w:tc>
        <w:tc>
          <w:tcPr>
            <w:tcW w:w="4576" w:type="dxa"/>
            <w:shd w:val="clear" w:color="auto" w:fill="FFFFFF"/>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100 (40*)</w:t>
            </w:r>
          </w:p>
        </w:tc>
      </w:tr>
      <w:tr w:rsidR="007B2CDA" w:rsidRPr="00A37F42" w:rsidTr="002B514F">
        <w:trPr>
          <w:jc w:val="center"/>
        </w:trPr>
        <w:tc>
          <w:tcPr>
            <w:tcW w:w="4722" w:type="dxa"/>
            <w:shd w:val="clear" w:color="auto" w:fill="FFFFFF"/>
            <w:vAlign w:val="center"/>
          </w:tcPr>
          <w:p w:rsidR="007B2CDA" w:rsidRPr="00A37F42" w:rsidRDefault="00022D33" w:rsidP="002B514F">
            <w:pPr>
              <w:pStyle w:val="Bodytext20"/>
              <w:shd w:val="clear" w:color="auto" w:fill="auto"/>
              <w:spacing w:before="0" w:after="120" w:line="240" w:lineRule="auto"/>
              <w:ind w:left="107"/>
              <w:jc w:val="left"/>
              <w:rPr>
                <w:rFonts w:ascii="Sylfaen" w:hAnsi="Sylfaen"/>
                <w:sz w:val="22"/>
                <w:szCs w:val="22"/>
              </w:rPr>
            </w:pPr>
            <w:r w:rsidRPr="00A37F42">
              <w:rPr>
                <w:rFonts w:ascii="Sylfaen" w:hAnsi="Sylfaen"/>
                <w:sz w:val="22"/>
                <w:szCs w:val="22"/>
              </w:rPr>
              <w:t>Ջրի զանգվածային մասը, %, ոչ ավելի</w:t>
            </w:r>
          </w:p>
        </w:tc>
        <w:tc>
          <w:tcPr>
            <w:tcW w:w="4576" w:type="dxa"/>
            <w:shd w:val="clear" w:color="auto" w:fill="FFFFFF"/>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1 (0,5*)</w:t>
            </w:r>
          </w:p>
        </w:tc>
      </w:tr>
      <w:tr w:rsidR="007B2CDA" w:rsidRPr="00A37F42" w:rsidTr="002B514F">
        <w:trPr>
          <w:jc w:val="center"/>
        </w:trPr>
        <w:tc>
          <w:tcPr>
            <w:tcW w:w="4722" w:type="dxa"/>
            <w:shd w:val="clear" w:color="auto" w:fill="FFFFFF"/>
            <w:vAlign w:val="center"/>
          </w:tcPr>
          <w:p w:rsidR="007B2CDA" w:rsidRPr="00A37F42" w:rsidRDefault="00022D33" w:rsidP="002B514F">
            <w:pPr>
              <w:pStyle w:val="Bodytext20"/>
              <w:shd w:val="clear" w:color="auto" w:fill="auto"/>
              <w:spacing w:before="0" w:after="120" w:line="240" w:lineRule="auto"/>
              <w:ind w:left="107"/>
              <w:jc w:val="left"/>
              <w:rPr>
                <w:rFonts w:ascii="Sylfaen" w:hAnsi="Sylfaen"/>
                <w:sz w:val="22"/>
                <w:szCs w:val="22"/>
              </w:rPr>
            </w:pPr>
            <w:r w:rsidRPr="00A37F42">
              <w:rPr>
                <w:rFonts w:ascii="Sylfaen" w:hAnsi="Sylfaen"/>
                <w:sz w:val="22"/>
                <w:szCs w:val="22"/>
              </w:rPr>
              <w:t>Քլորային աղերի զանգվածային կոնցենտրացիան, մգ/դմ</w:t>
            </w:r>
            <w:r w:rsidRPr="00A37F42">
              <w:rPr>
                <w:rFonts w:ascii="Sylfaen" w:hAnsi="Sylfaen"/>
                <w:sz w:val="22"/>
                <w:szCs w:val="22"/>
                <w:vertAlign w:val="superscript"/>
              </w:rPr>
              <w:t>3</w:t>
            </w:r>
            <w:r w:rsidRPr="00A37F42">
              <w:rPr>
                <w:rFonts w:ascii="Sylfaen" w:hAnsi="Sylfaen"/>
                <w:sz w:val="22"/>
                <w:szCs w:val="22"/>
              </w:rPr>
              <w:t>, ոչ ավելի</w:t>
            </w:r>
          </w:p>
        </w:tc>
        <w:tc>
          <w:tcPr>
            <w:tcW w:w="4576" w:type="dxa"/>
            <w:shd w:val="clear" w:color="auto" w:fill="FFFFFF"/>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900 (100*)</w:t>
            </w:r>
          </w:p>
        </w:tc>
      </w:tr>
      <w:tr w:rsidR="007B2CDA" w:rsidRPr="00A37F42" w:rsidTr="002B514F">
        <w:trPr>
          <w:jc w:val="center"/>
        </w:trPr>
        <w:tc>
          <w:tcPr>
            <w:tcW w:w="4722" w:type="dxa"/>
            <w:shd w:val="clear" w:color="auto" w:fill="FFFFFF"/>
            <w:vAlign w:val="center"/>
          </w:tcPr>
          <w:p w:rsidR="007B2CDA" w:rsidRPr="00A37F42" w:rsidRDefault="00022D33" w:rsidP="002B514F">
            <w:pPr>
              <w:pStyle w:val="Bodytext20"/>
              <w:shd w:val="clear" w:color="auto" w:fill="auto"/>
              <w:spacing w:before="0" w:after="120" w:line="240" w:lineRule="auto"/>
              <w:ind w:left="107"/>
              <w:jc w:val="left"/>
              <w:rPr>
                <w:rFonts w:ascii="Sylfaen" w:hAnsi="Sylfaen"/>
                <w:sz w:val="22"/>
                <w:szCs w:val="22"/>
              </w:rPr>
            </w:pPr>
            <w:r w:rsidRPr="00A37F42">
              <w:rPr>
                <w:rFonts w:ascii="Sylfaen" w:hAnsi="Sylfaen"/>
                <w:sz w:val="22"/>
                <w:szCs w:val="22"/>
              </w:rPr>
              <w:t>Հագեցած գոլորշիների ճնշումը, կՊա</w:t>
            </w:r>
            <w:r w:rsidR="002B514F" w:rsidRPr="00A37F42">
              <w:rPr>
                <w:rFonts w:ascii="Sylfaen" w:hAnsi="Sylfaen"/>
                <w:sz w:val="22"/>
                <w:szCs w:val="22"/>
              </w:rPr>
              <w:br/>
            </w:r>
            <w:r w:rsidRPr="00A37F42">
              <w:rPr>
                <w:rFonts w:ascii="Sylfaen" w:hAnsi="Sylfaen"/>
                <w:sz w:val="22"/>
                <w:szCs w:val="22"/>
              </w:rPr>
              <w:t>(մմ ս. ս.), ոչ ավելի</w:t>
            </w:r>
          </w:p>
        </w:tc>
        <w:tc>
          <w:tcPr>
            <w:tcW w:w="4576" w:type="dxa"/>
            <w:shd w:val="clear" w:color="auto" w:fill="FFFFFF"/>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66,7 (500)</w:t>
            </w:r>
            <w:r w:rsidRPr="00A37F42">
              <w:rPr>
                <w:rStyle w:val="FootnoteReference"/>
                <w:rFonts w:ascii="Sylfaen" w:hAnsi="Sylfaen"/>
                <w:sz w:val="22"/>
                <w:szCs w:val="22"/>
              </w:rPr>
              <w:t xml:space="preserve"> </w:t>
            </w:r>
            <w:r w:rsidR="002B514F" w:rsidRPr="00A37F42">
              <w:rPr>
                <w:rStyle w:val="FootnoteReference"/>
                <w:rFonts w:ascii="Sylfaen" w:hAnsi="Sylfaen"/>
                <w:sz w:val="22"/>
                <w:szCs w:val="22"/>
              </w:rPr>
              <w:footnoteReference w:customMarkFollows="1" w:id="3"/>
              <w:sym w:font="Symbol" w:char="F02A"/>
            </w:r>
            <w:r w:rsidR="002B514F" w:rsidRPr="00A37F42">
              <w:rPr>
                <w:rStyle w:val="FootnoteReference"/>
                <w:rFonts w:ascii="Sylfaen" w:hAnsi="Sylfaen"/>
                <w:sz w:val="22"/>
                <w:szCs w:val="22"/>
              </w:rPr>
              <w:sym w:font="Symbol" w:char="F02A"/>
            </w:r>
          </w:p>
        </w:tc>
      </w:tr>
      <w:tr w:rsidR="007B2CDA" w:rsidRPr="00A37F42" w:rsidTr="002B514F">
        <w:trPr>
          <w:jc w:val="center"/>
        </w:trPr>
        <w:tc>
          <w:tcPr>
            <w:tcW w:w="4722" w:type="dxa"/>
            <w:shd w:val="clear" w:color="auto" w:fill="FFFFFF"/>
            <w:vAlign w:val="bottom"/>
          </w:tcPr>
          <w:p w:rsidR="007B2CDA" w:rsidRPr="00A37F42" w:rsidRDefault="00022D33" w:rsidP="002B514F">
            <w:pPr>
              <w:pStyle w:val="Bodytext20"/>
              <w:shd w:val="clear" w:color="auto" w:fill="auto"/>
              <w:spacing w:before="0" w:after="120" w:line="240" w:lineRule="auto"/>
              <w:ind w:left="107"/>
              <w:jc w:val="left"/>
              <w:rPr>
                <w:rFonts w:ascii="Sylfaen" w:hAnsi="Sylfaen"/>
                <w:sz w:val="22"/>
                <w:szCs w:val="22"/>
              </w:rPr>
            </w:pPr>
            <w:r w:rsidRPr="00A37F42">
              <w:rPr>
                <w:rFonts w:ascii="Sylfaen" w:hAnsi="Sylfaen"/>
                <w:sz w:val="22"/>
                <w:szCs w:val="22"/>
              </w:rPr>
              <w:footnoteReference w:customMarkFollows="1" w:id="4"/>
              <w:t>Օրգանական քլորիդների զանգվածային մասը՝ մինչեւ 204°С ջերմաստիճանը եռալով գոլորշիացող չափամասում, մլն</w:t>
            </w:r>
            <w:r w:rsidRPr="00A37F42">
              <w:rPr>
                <w:rFonts w:ascii="Sylfaen" w:hAnsi="Sylfaen"/>
                <w:sz w:val="22"/>
                <w:szCs w:val="22"/>
                <w:vertAlign w:val="superscript"/>
              </w:rPr>
              <w:t>-1</w:t>
            </w:r>
            <w:r w:rsidRPr="00A37F42">
              <w:rPr>
                <w:rFonts w:ascii="Sylfaen" w:hAnsi="Sylfaen"/>
                <w:sz w:val="22"/>
                <w:szCs w:val="22"/>
              </w:rPr>
              <w:t xml:space="preserve"> (ppm), ոչ</w:t>
            </w:r>
            <w:r w:rsidR="002B514F" w:rsidRPr="00A37F42">
              <w:rPr>
                <w:rFonts w:ascii="Sylfaen" w:hAnsi="Sylfaen"/>
                <w:sz w:val="22"/>
                <w:szCs w:val="22"/>
              </w:rPr>
              <w:t> </w:t>
            </w:r>
            <w:r w:rsidRPr="00A37F42">
              <w:rPr>
                <w:rFonts w:ascii="Sylfaen" w:hAnsi="Sylfaen"/>
                <w:sz w:val="22"/>
                <w:szCs w:val="22"/>
              </w:rPr>
              <w:t>ավելի</w:t>
            </w:r>
          </w:p>
        </w:tc>
        <w:tc>
          <w:tcPr>
            <w:tcW w:w="4576" w:type="dxa"/>
            <w:shd w:val="clear" w:color="auto" w:fill="FFFFFF"/>
          </w:tcPr>
          <w:p w:rsidR="007B2CDA" w:rsidRPr="00A37F42" w:rsidRDefault="00022D33" w:rsidP="002B514F">
            <w:pPr>
              <w:pStyle w:val="Bodytext20"/>
              <w:shd w:val="clear" w:color="auto" w:fill="auto"/>
              <w:spacing w:before="0" w:after="120" w:line="240" w:lineRule="auto"/>
              <w:jc w:val="center"/>
              <w:rPr>
                <w:rFonts w:ascii="Sylfaen" w:hAnsi="Sylfaen"/>
                <w:sz w:val="22"/>
                <w:szCs w:val="22"/>
              </w:rPr>
            </w:pPr>
            <w:r w:rsidRPr="00A37F42">
              <w:rPr>
                <w:rFonts w:ascii="Sylfaen" w:hAnsi="Sylfaen"/>
                <w:sz w:val="22"/>
                <w:szCs w:val="22"/>
              </w:rPr>
              <w:t>6</w:t>
            </w:r>
          </w:p>
        </w:tc>
      </w:tr>
    </w:tbl>
    <w:p w:rsidR="007B2CDA" w:rsidRPr="00A37F42" w:rsidRDefault="007B2CDA" w:rsidP="006F399F">
      <w:pPr>
        <w:spacing w:after="160" w:line="360" w:lineRule="auto"/>
        <w:jc w:val="both"/>
      </w:pPr>
    </w:p>
    <w:p w:rsidR="009E48FD" w:rsidRPr="006F399F" w:rsidRDefault="009E48FD" w:rsidP="009E48FD">
      <w:pPr>
        <w:spacing w:after="160" w:line="360" w:lineRule="auto"/>
        <w:jc w:val="center"/>
      </w:pPr>
      <w:r w:rsidRPr="00A37F42">
        <w:t>————————</w:t>
      </w:r>
    </w:p>
    <w:sectPr w:rsidR="009E48FD" w:rsidRPr="006F399F" w:rsidSect="009E48FD">
      <w:pgSz w:w="11900" w:h="16840"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960" w:rsidRDefault="00570960" w:rsidP="007B2CDA">
      <w:r>
        <w:separator/>
      </w:r>
    </w:p>
  </w:endnote>
  <w:endnote w:type="continuationSeparator" w:id="0">
    <w:p w:rsidR="00570960" w:rsidRDefault="00570960" w:rsidP="007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5339"/>
      <w:docPartObj>
        <w:docPartGallery w:val="Page Numbers (Bottom of Page)"/>
        <w:docPartUnique/>
      </w:docPartObj>
    </w:sdtPr>
    <w:sdtEndPr/>
    <w:sdtContent>
      <w:p w:rsidR="009E48FD" w:rsidRDefault="00570960" w:rsidP="009E48FD">
        <w:pPr>
          <w:pStyle w:val="Footer"/>
          <w:jc w:val="center"/>
        </w:pPr>
        <w:r>
          <w:rPr>
            <w:noProof/>
          </w:rPr>
          <w:fldChar w:fldCharType="begin"/>
        </w:r>
        <w:r>
          <w:rPr>
            <w:noProof/>
          </w:rPr>
          <w:instrText xml:space="preserve"> PAGE   \* MERGEFORMAT </w:instrText>
        </w:r>
        <w:r>
          <w:rPr>
            <w:noProof/>
          </w:rPr>
          <w:fldChar w:fldCharType="separate"/>
        </w:r>
        <w:r w:rsidR="00A37F42">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960" w:rsidRDefault="00570960">
      <w:r>
        <w:separator/>
      </w:r>
    </w:p>
  </w:footnote>
  <w:footnote w:type="continuationSeparator" w:id="0">
    <w:p w:rsidR="00570960" w:rsidRDefault="00570960">
      <w:r>
        <w:continuationSeparator/>
      </w:r>
    </w:p>
  </w:footnote>
  <w:footnote w:id="1">
    <w:p w:rsidR="002B514F" w:rsidRDefault="002B514F" w:rsidP="002B514F">
      <w:pPr>
        <w:pStyle w:val="FootnoteText"/>
        <w:jc w:val="both"/>
      </w:pPr>
      <w:r w:rsidRPr="002B514F">
        <w:rPr>
          <w:rStyle w:val="FootnoteReference"/>
        </w:rPr>
        <w:sym w:font="Symbol" w:char="F02A"/>
      </w:r>
      <w:r>
        <w:t xml:space="preserve"> Մայրուղային խողովակաշարերով տրանսպորտային փոխադրման կամ վերամշակման համար նավթի փոխանցման դեպքում։</w:t>
      </w:r>
    </w:p>
  </w:footnote>
  <w:footnote w:id="2">
    <w:p w:rsidR="00253737" w:rsidRPr="002D316B" w:rsidRDefault="00253737" w:rsidP="002B514F">
      <w:pPr>
        <w:pStyle w:val="FootnoteText"/>
        <w:jc w:val="both"/>
        <w:rPr>
          <w:sz w:val="24"/>
          <w:szCs w:val="24"/>
        </w:rPr>
      </w:pPr>
    </w:p>
  </w:footnote>
  <w:footnote w:id="3">
    <w:p w:rsidR="002B514F" w:rsidRDefault="002B514F" w:rsidP="002B514F">
      <w:pPr>
        <w:pStyle w:val="FootnoteText"/>
        <w:jc w:val="both"/>
      </w:pPr>
      <w:r w:rsidRPr="002B514F">
        <w:rPr>
          <w:rStyle w:val="FootnoteReference"/>
        </w:rPr>
        <w:sym w:font="Symbol" w:char="F02A"/>
      </w:r>
      <w:r w:rsidRPr="002B514F">
        <w:rPr>
          <w:rStyle w:val="FootnoteReference"/>
        </w:rPr>
        <w:sym w:font="Symbol" w:char="F02A"/>
      </w:r>
      <w:r>
        <w:t xml:space="preserve"> Չի որոշվում նավթի պնդացման՝ 10 °С եւ ավելի բարձր ջերմաստիճանի պայմաններում։</w:t>
      </w:r>
    </w:p>
  </w:footnote>
  <w:footnote w:id="4">
    <w:p w:rsidR="002D316B" w:rsidRPr="002D316B" w:rsidRDefault="002D316B" w:rsidP="002B514F">
      <w:pPr>
        <w:pStyle w:val="FootnoteText"/>
        <w:jc w:val="both"/>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E6339"/>
    <w:multiLevelType w:val="multilevel"/>
    <w:tmpl w:val="85C2FC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444D65"/>
    <w:multiLevelType w:val="multilevel"/>
    <w:tmpl w:val="E362E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A4260F"/>
    <w:multiLevelType w:val="multilevel"/>
    <w:tmpl w:val="8168E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B2CDA"/>
    <w:rsid w:val="00014099"/>
    <w:rsid w:val="00014F84"/>
    <w:rsid w:val="00017A88"/>
    <w:rsid w:val="00022D33"/>
    <w:rsid w:val="0002707A"/>
    <w:rsid w:val="00045523"/>
    <w:rsid w:val="00052E22"/>
    <w:rsid w:val="00053CF4"/>
    <w:rsid w:val="0006582E"/>
    <w:rsid w:val="000707DB"/>
    <w:rsid w:val="000B2AB4"/>
    <w:rsid w:val="000B6342"/>
    <w:rsid w:val="000D3CC5"/>
    <w:rsid w:val="000E2DF8"/>
    <w:rsid w:val="000F3F18"/>
    <w:rsid w:val="000F66C8"/>
    <w:rsid w:val="001119CB"/>
    <w:rsid w:val="00143344"/>
    <w:rsid w:val="001732BA"/>
    <w:rsid w:val="001745B8"/>
    <w:rsid w:val="001A2099"/>
    <w:rsid w:val="001D65F4"/>
    <w:rsid w:val="001D7E39"/>
    <w:rsid w:val="001F03E7"/>
    <w:rsid w:val="002059B2"/>
    <w:rsid w:val="0022120D"/>
    <w:rsid w:val="002362A2"/>
    <w:rsid w:val="00241F97"/>
    <w:rsid w:val="00253737"/>
    <w:rsid w:val="002537B0"/>
    <w:rsid w:val="00270C23"/>
    <w:rsid w:val="00283CFC"/>
    <w:rsid w:val="002B514F"/>
    <w:rsid w:val="002D316B"/>
    <w:rsid w:val="002E54B7"/>
    <w:rsid w:val="002E78E8"/>
    <w:rsid w:val="002F1E26"/>
    <w:rsid w:val="003536DE"/>
    <w:rsid w:val="00376199"/>
    <w:rsid w:val="003A2B81"/>
    <w:rsid w:val="003A7D14"/>
    <w:rsid w:val="003F1832"/>
    <w:rsid w:val="00400E14"/>
    <w:rsid w:val="004110F6"/>
    <w:rsid w:val="004144AC"/>
    <w:rsid w:val="00417607"/>
    <w:rsid w:val="00460BBA"/>
    <w:rsid w:val="004C0B64"/>
    <w:rsid w:val="004C6167"/>
    <w:rsid w:val="004C7659"/>
    <w:rsid w:val="00501CE0"/>
    <w:rsid w:val="00503A12"/>
    <w:rsid w:val="00517441"/>
    <w:rsid w:val="00517D75"/>
    <w:rsid w:val="0052746C"/>
    <w:rsid w:val="00541F96"/>
    <w:rsid w:val="00570960"/>
    <w:rsid w:val="005738AD"/>
    <w:rsid w:val="005805F2"/>
    <w:rsid w:val="00580E58"/>
    <w:rsid w:val="005A2FDC"/>
    <w:rsid w:val="005B4796"/>
    <w:rsid w:val="005D064F"/>
    <w:rsid w:val="005D1F8A"/>
    <w:rsid w:val="00602E3A"/>
    <w:rsid w:val="00607741"/>
    <w:rsid w:val="00610397"/>
    <w:rsid w:val="006200E8"/>
    <w:rsid w:val="00640328"/>
    <w:rsid w:val="006508BB"/>
    <w:rsid w:val="0067643C"/>
    <w:rsid w:val="00687A94"/>
    <w:rsid w:val="00687DBE"/>
    <w:rsid w:val="006B04C8"/>
    <w:rsid w:val="006B49E3"/>
    <w:rsid w:val="006C0608"/>
    <w:rsid w:val="006C0FE3"/>
    <w:rsid w:val="006E2BCF"/>
    <w:rsid w:val="006F399F"/>
    <w:rsid w:val="007019D0"/>
    <w:rsid w:val="00712458"/>
    <w:rsid w:val="00714A35"/>
    <w:rsid w:val="00716E68"/>
    <w:rsid w:val="00726984"/>
    <w:rsid w:val="007344EB"/>
    <w:rsid w:val="007377D0"/>
    <w:rsid w:val="00743766"/>
    <w:rsid w:val="007447C4"/>
    <w:rsid w:val="007873AD"/>
    <w:rsid w:val="007B2CDA"/>
    <w:rsid w:val="007D140E"/>
    <w:rsid w:val="007D71AE"/>
    <w:rsid w:val="007F125A"/>
    <w:rsid w:val="00800219"/>
    <w:rsid w:val="00822C56"/>
    <w:rsid w:val="0083027A"/>
    <w:rsid w:val="00856026"/>
    <w:rsid w:val="00861D3B"/>
    <w:rsid w:val="008666BF"/>
    <w:rsid w:val="00876DC8"/>
    <w:rsid w:val="008863BB"/>
    <w:rsid w:val="008A0E31"/>
    <w:rsid w:val="008A63C0"/>
    <w:rsid w:val="008B3280"/>
    <w:rsid w:val="008B6060"/>
    <w:rsid w:val="008C5D50"/>
    <w:rsid w:val="008D039A"/>
    <w:rsid w:val="008E0993"/>
    <w:rsid w:val="008F6AAA"/>
    <w:rsid w:val="00916D28"/>
    <w:rsid w:val="00926839"/>
    <w:rsid w:val="00934619"/>
    <w:rsid w:val="00940154"/>
    <w:rsid w:val="00970020"/>
    <w:rsid w:val="009752AB"/>
    <w:rsid w:val="0097554F"/>
    <w:rsid w:val="00990DC3"/>
    <w:rsid w:val="009A1C0C"/>
    <w:rsid w:val="009A4AFE"/>
    <w:rsid w:val="009E2F08"/>
    <w:rsid w:val="009E48FD"/>
    <w:rsid w:val="00A24FEE"/>
    <w:rsid w:val="00A37F42"/>
    <w:rsid w:val="00A46FEA"/>
    <w:rsid w:val="00A55659"/>
    <w:rsid w:val="00A631FB"/>
    <w:rsid w:val="00A835E3"/>
    <w:rsid w:val="00AA050A"/>
    <w:rsid w:val="00AB4AC5"/>
    <w:rsid w:val="00AE592C"/>
    <w:rsid w:val="00B154E5"/>
    <w:rsid w:val="00B240AF"/>
    <w:rsid w:val="00B309E6"/>
    <w:rsid w:val="00B3222D"/>
    <w:rsid w:val="00B35DD6"/>
    <w:rsid w:val="00B509C5"/>
    <w:rsid w:val="00B52312"/>
    <w:rsid w:val="00B624C0"/>
    <w:rsid w:val="00B65F29"/>
    <w:rsid w:val="00B6743A"/>
    <w:rsid w:val="00B7364D"/>
    <w:rsid w:val="00B95FE0"/>
    <w:rsid w:val="00B96AC7"/>
    <w:rsid w:val="00BB0F98"/>
    <w:rsid w:val="00BF7DA2"/>
    <w:rsid w:val="00C06FB2"/>
    <w:rsid w:val="00C13FB2"/>
    <w:rsid w:val="00C33683"/>
    <w:rsid w:val="00C3679D"/>
    <w:rsid w:val="00C46EC4"/>
    <w:rsid w:val="00C65A6F"/>
    <w:rsid w:val="00C71BFA"/>
    <w:rsid w:val="00C9307A"/>
    <w:rsid w:val="00CB706E"/>
    <w:rsid w:val="00CC4A98"/>
    <w:rsid w:val="00CD4C9B"/>
    <w:rsid w:val="00CE6B6F"/>
    <w:rsid w:val="00CE6F13"/>
    <w:rsid w:val="00CF1AA0"/>
    <w:rsid w:val="00D44EA9"/>
    <w:rsid w:val="00D50364"/>
    <w:rsid w:val="00D740B8"/>
    <w:rsid w:val="00D76175"/>
    <w:rsid w:val="00D87153"/>
    <w:rsid w:val="00DC18E6"/>
    <w:rsid w:val="00DD6840"/>
    <w:rsid w:val="00DF18A1"/>
    <w:rsid w:val="00E2233B"/>
    <w:rsid w:val="00E45C95"/>
    <w:rsid w:val="00E47C7A"/>
    <w:rsid w:val="00E53677"/>
    <w:rsid w:val="00E56C44"/>
    <w:rsid w:val="00E7105D"/>
    <w:rsid w:val="00E7711E"/>
    <w:rsid w:val="00E93508"/>
    <w:rsid w:val="00E961FC"/>
    <w:rsid w:val="00EB3C0A"/>
    <w:rsid w:val="00EC0A8E"/>
    <w:rsid w:val="00EC1B02"/>
    <w:rsid w:val="00F57C74"/>
    <w:rsid w:val="00F94067"/>
    <w:rsid w:val="00FA061F"/>
    <w:rsid w:val="00FD252A"/>
    <w:rsid w:val="00FE7D7C"/>
    <w:rsid w:val="00FF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E3A5"/>
  <w15:docId w15:val="{8933C1EB-1748-4D65-B41F-E0E9FCE8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2CD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CDA"/>
    <w:rPr>
      <w:color w:val="0066CC"/>
      <w:u w:val="single"/>
    </w:rPr>
  </w:style>
  <w:style w:type="character" w:customStyle="1" w:styleId="Footnote">
    <w:name w:val="Footnote_"/>
    <w:basedOn w:val="DefaultParagraphFont"/>
    <w:link w:val="Footnote0"/>
    <w:rsid w:val="007B2CDA"/>
    <w:rPr>
      <w:rFonts w:ascii="Times New Roman" w:eastAsia="Times New Roman" w:hAnsi="Times New Roman" w:cs="Times New Roman"/>
      <w:b w:val="0"/>
      <w:bCs w:val="0"/>
      <w:i w:val="0"/>
      <w:iCs w:val="0"/>
      <w:smallCaps w:val="0"/>
      <w:strike w:val="0"/>
      <w:sz w:val="30"/>
      <w:szCs w:val="30"/>
      <w:u w:val="none"/>
    </w:rPr>
  </w:style>
  <w:style w:type="character" w:customStyle="1" w:styleId="Bodytext4">
    <w:name w:val="Body text (4)_"/>
    <w:basedOn w:val="DefaultParagraphFont"/>
    <w:link w:val="Bodytext40"/>
    <w:rsid w:val="007B2CDA"/>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7B2CDA"/>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7B2CDA"/>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7B2CDA"/>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7B2CDA"/>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7B2CDA"/>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Spacing 2 pt"/>
    <w:basedOn w:val="Bodytext2"/>
    <w:rsid w:val="007B2CD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Bold1">
    <w:name w:val="Body text (2) + Bold"/>
    <w:basedOn w:val="Bodytext2"/>
    <w:rsid w:val="007B2CDA"/>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Spacing2pt">
    <w:name w:val="Body text (4) + Spacing 2 pt"/>
    <w:basedOn w:val="Bodytext4"/>
    <w:rsid w:val="007B2CDA"/>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erorfooter">
    <w:name w:val="Header or footer_"/>
    <w:basedOn w:val="DefaultParagraphFont"/>
    <w:link w:val="Headerorfooter0"/>
    <w:rsid w:val="007B2CDA"/>
    <w:rPr>
      <w:rFonts w:ascii="Times New Roman" w:eastAsia="Times New Roman" w:hAnsi="Times New Roman" w:cs="Times New Roman"/>
      <w:b w:val="0"/>
      <w:bCs w:val="0"/>
      <w:i w:val="0"/>
      <w:iCs w:val="0"/>
      <w:smallCaps w:val="0"/>
      <w:strike w:val="0"/>
      <w:sz w:val="30"/>
      <w:szCs w:val="30"/>
      <w:u w:val="none"/>
    </w:rPr>
  </w:style>
  <w:style w:type="paragraph" w:customStyle="1" w:styleId="Footnote0">
    <w:name w:val="Footnote"/>
    <w:basedOn w:val="Normal"/>
    <w:link w:val="Footnote"/>
    <w:rsid w:val="007B2CDA"/>
    <w:pPr>
      <w:shd w:val="clear" w:color="auto" w:fill="FFFFFF"/>
      <w:spacing w:line="320" w:lineRule="exact"/>
    </w:pPr>
    <w:rPr>
      <w:rFonts w:ascii="Times New Roman" w:eastAsia="Times New Roman" w:hAnsi="Times New Roman" w:cs="Times New Roman"/>
      <w:sz w:val="30"/>
      <w:szCs w:val="30"/>
    </w:rPr>
  </w:style>
  <w:style w:type="paragraph" w:customStyle="1" w:styleId="Bodytext40">
    <w:name w:val="Body text (4)"/>
    <w:basedOn w:val="Normal"/>
    <w:link w:val="Bodytext4"/>
    <w:rsid w:val="007B2CDA"/>
    <w:pPr>
      <w:shd w:val="clear" w:color="auto" w:fill="FFFFFF"/>
      <w:spacing w:before="120" w:after="120" w:line="0" w:lineRule="atLeast"/>
      <w:jc w:val="center"/>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7B2CDA"/>
    <w:pPr>
      <w:shd w:val="clear" w:color="auto" w:fill="FFFFFF"/>
      <w:spacing w:before="120" w:after="66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7B2CDA"/>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7B2CDA"/>
    <w:pPr>
      <w:shd w:val="clear" w:color="auto" w:fill="FFFFFF"/>
      <w:spacing w:before="420" w:after="60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7B2CDA"/>
    <w:pPr>
      <w:shd w:val="clear" w:color="auto" w:fill="FFFFFF"/>
      <w:spacing w:line="0" w:lineRule="atLeast"/>
    </w:pPr>
    <w:rPr>
      <w:rFonts w:ascii="Times New Roman" w:eastAsia="Times New Roman" w:hAnsi="Times New Roman" w:cs="Times New Roman"/>
      <w:sz w:val="30"/>
      <w:szCs w:val="30"/>
    </w:rPr>
  </w:style>
  <w:style w:type="paragraph" w:styleId="FootnoteText">
    <w:name w:val="footnote text"/>
    <w:basedOn w:val="Normal"/>
    <w:link w:val="FootnoteTextChar"/>
    <w:uiPriority w:val="99"/>
    <w:semiHidden/>
    <w:unhideWhenUsed/>
    <w:rsid w:val="00253737"/>
    <w:rPr>
      <w:sz w:val="20"/>
      <w:szCs w:val="20"/>
    </w:rPr>
  </w:style>
  <w:style w:type="character" w:customStyle="1" w:styleId="FootnoteTextChar">
    <w:name w:val="Footnote Text Char"/>
    <w:basedOn w:val="DefaultParagraphFont"/>
    <w:link w:val="FootnoteText"/>
    <w:uiPriority w:val="99"/>
    <w:semiHidden/>
    <w:rsid w:val="00253737"/>
    <w:rPr>
      <w:color w:val="000000"/>
      <w:sz w:val="20"/>
      <w:szCs w:val="20"/>
    </w:rPr>
  </w:style>
  <w:style w:type="character" w:styleId="FootnoteReference">
    <w:name w:val="footnote reference"/>
    <w:basedOn w:val="DefaultParagraphFont"/>
    <w:uiPriority w:val="99"/>
    <w:semiHidden/>
    <w:unhideWhenUsed/>
    <w:rsid w:val="00253737"/>
    <w:rPr>
      <w:vertAlign w:val="superscript"/>
    </w:rPr>
  </w:style>
  <w:style w:type="paragraph" w:styleId="BalloonText">
    <w:name w:val="Balloon Text"/>
    <w:basedOn w:val="Normal"/>
    <w:link w:val="BalloonTextChar"/>
    <w:uiPriority w:val="99"/>
    <w:semiHidden/>
    <w:unhideWhenUsed/>
    <w:rsid w:val="00E53677"/>
    <w:rPr>
      <w:rFonts w:ascii="Tahoma" w:hAnsi="Tahoma" w:cs="Tahoma"/>
      <w:sz w:val="16"/>
      <w:szCs w:val="16"/>
    </w:rPr>
  </w:style>
  <w:style w:type="character" w:customStyle="1" w:styleId="BalloonTextChar">
    <w:name w:val="Balloon Text Char"/>
    <w:basedOn w:val="DefaultParagraphFont"/>
    <w:link w:val="BalloonText"/>
    <w:uiPriority w:val="99"/>
    <w:semiHidden/>
    <w:rsid w:val="00E53677"/>
    <w:rPr>
      <w:rFonts w:ascii="Tahoma" w:hAnsi="Tahoma" w:cs="Tahoma"/>
      <w:color w:val="000000"/>
      <w:sz w:val="16"/>
      <w:szCs w:val="16"/>
    </w:rPr>
  </w:style>
  <w:style w:type="paragraph" w:styleId="Header">
    <w:name w:val="header"/>
    <w:basedOn w:val="Normal"/>
    <w:link w:val="HeaderChar"/>
    <w:uiPriority w:val="99"/>
    <w:semiHidden/>
    <w:unhideWhenUsed/>
    <w:rsid w:val="009E48FD"/>
    <w:pPr>
      <w:tabs>
        <w:tab w:val="center" w:pos="4680"/>
        <w:tab w:val="right" w:pos="9360"/>
      </w:tabs>
    </w:pPr>
  </w:style>
  <w:style w:type="character" w:customStyle="1" w:styleId="HeaderChar">
    <w:name w:val="Header Char"/>
    <w:basedOn w:val="DefaultParagraphFont"/>
    <w:link w:val="Header"/>
    <w:uiPriority w:val="99"/>
    <w:semiHidden/>
    <w:rsid w:val="009E48FD"/>
    <w:rPr>
      <w:color w:val="000000"/>
    </w:rPr>
  </w:style>
  <w:style w:type="paragraph" w:styleId="Footer">
    <w:name w:val="footer"/>
    <w:basedOn w:val="Normal"/>
    <w:link w:val="FooterChar"/>
    <w:uiPriority w:val="99"/>
    <w:unhideWhenUsed/>
    <w:rsid w:val="009E48FD"/>
    <w:pPr>
      <w:tabs>
        <w:tab w:val="center" w:pos="4680"/>
        <w:tab w:val="right" w:pos="9360"/>
      </w:tabs>
    </w:pPr>
  </w:style>
  <w:style w:type="character" w:customStyle="1" w:styleId="FooterChar">
    <w:name w:val="Footer Char"/>
    <w:basedOn w:val="DefaultParagraphFont"/>
    <w:link w:val="Footer"/>
    <w:uiPriority w:val="99"/>
    <w:rsid w:val="009E48F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82C7D-0D31-4275-95AF-B2A47987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36</cp:revision>
  <dcterms:created xsi:type="dcterms:W3CDTF">2018-06-04T10:50:00Z</dcterms:created>
  <dcterms:modified xsi:type="dcterms:W3CDTF">2019-07-04T10:28:00Z</dcterms:modified>
</cp:coreProperties>
</file>