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5C" w:rsidRPr="001F2939" w:rsidRDefault="00462775" w:rsidP="008D7E0F">
      <w:pPr>
        <w:pStyle w:val="Bodytext1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F2939">
        <w:rPr>
          <w:rFonts w:ascii="Sylfaen" w:hAnsi="Sylfaen"/>
          <w:sz w:val="24"/>
          <w:szCs w:val="24"/>
        </w:rPr>
        <w:t>ՀԱՎԵԼՎԱԾ</w:t>
      </w:r>
    </w:p>
    <w:p w:rsidR="0005285C" w:rsidRPr="001F2939" w:rsidRDefault="00462775" w:rsidP="008D7E0F">
      <w:pPr>
        <w:pStyle w:val="Bodytext1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8D7E0F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 xml:space="preserve">2017 թվականի նոյեմբերի 7-ի </w:t>
      </w:r>
      <w:r w:rsidR="008D7E0F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թիվ 136 որոշման</w:t>
      </w:r>
    </w:p>
    <w:p w:rsidR="00E76CBF" w:rsidRPr="001F2939" w:rsidRDefault="00E76CBF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  <w:bookmarkStart w:id="1" w:name="bookmark2"/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ind w:left="567" w:right="679"/>
        <w:outlineLvl w:val="9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ՓՈՓՈԽՈՒԹՅՈՒՆՆԵՐ</w:t>
      </w:r>
      <w:bookmarkEnd w:id="1"/>
    </w:p>
    <w:p w:rsidR="0005285C" w:rsidRPr="001F2939" w:rsidRDefault="00462775" w:rsidP="008D7E0F">
      <w:pPr>
        <w:pStyle w:val="Bodytext110"/>
        <w:shd w:val="clear" w:color="auto" w:fill="auto"/>
        <w:spacing w:before="0"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հանձնաժողովի կոլեգիայի 2012 թվականի հոկտեմբերի 18-ի </w:t>
      </w:r>
      <w:r w:rsidR="008D7E0F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թիվ 189 որոշման մեջ կատարվող</w:t>
      </w:r>
    </w:p>
    <w:p w:rsidR="00E76CBF" w:rsidRPr="001F2939" w:rsidRDefault="00E76CBF" w:rsidP="008D7E0F">
      <w:pPr>
        <w:pStyle w:val="Bodytext11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05285C" w:rsidRPr="001F2939" w:rsidRDefault="008D7E0F" w:rsidP="008D7E0F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1.</w:t>
      </w:r>
      <w:r w:rsidRPr="001F2939">
        <w:rPr>
          <w:rFonts w:ascii="Sylfaen" w:hAnsi="Sylfaen"/>
          <w:sz w:val="24"/>
          <w:szCs w:val="24"/>
        </w:rPr>
        <w:tab/>
      </w:r>
      <w:r w:rsidR="00462775" w:rsidRPr="001F2939">
        <w:rPr>
          <w:rFonts w:ascii="Sylfaen" w:hAnsi="Sylfaen"/>
          <w:sz w:val="24"/>
          <w:szCs w:val="24"/>
        </w:rPr>
        <w:t>1.1 ենթակետում «Ստանդարտացման ոլորտում փաստաթղթերի» բառերը փոխարինել «Ստանդարտների» բառերով:</w:t>
      </w:r>
    </w:p>
    <w:p w:rsidR="0005285C" w:rsidRPr="001F2939" w:rsidRDefault="00462775" w:rsidP="008D7E0F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2.</w:t>
      </w:r>
      <w:r w:rsidR="008D7E0F" w:rsidRPr="001F2939">
        <w:rPr>
          <w:rFonts w:ascii="Sylfaen" w:hAnsi="Sylfaen"/>
          <w:sz w:val="24"/>
          <w:szCs w:val="24"/>
        </w:rPr>
        <w:tab/>
      </w:r>
      <w:r w:rsidRPr="001F2939">
        <w:rPr>
          <w:rFonts w:ascii="Sylfaen" w:hAnsi="Sylfaen"/>
          <w:sz w:val="24"/>
          <w:szCs w:val="24"/>
        </w:rPr>
        <w:t>1.2 ենթակետում «կահույքագործական արտադրանքի համապատասխանության գնահատման (հաստատման)» բառերը փոխարինել «տեխնիկական կարգավորման օբյեկտների համապատասխանության» բառերով։</w:t>
      </w:r>
    </w:p>
    <w:p w:rsidR="0005285C" w:rsidRPr="001F2939" w:rsidRDefault="00462775" w:rsidP="008D7E0F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3.</w:t>
      </w:r>
      <w:r w:rsidR="008D7E0F" w:rsidRPr="001F2939">
        <w:rPr>
          <w:rFonts w:ascii="Sylfaen" w:hAnsi="Sylfaen"/>
          <w:sz w:val="24"/>
          <w:szCs w:val="24"/>
        </w:rPr>
        <w:tab/>
      </w:r>
      <w:r w:rsidRPr="001F2939">
        <w:rPr>
          <w:rFonts w:ascii="Sylfaen" w:hAnsi="Sylfaen"/>
          <w:sz w:val="24"/>
          <w:szCs w:val="24"/>
        </w:rPr>
        <w:t>Ստանդարտացման ոլորտում փաստաթղթերի ցանկը, որոնց կիրառման արդյունքում կամավոր հիմունքով ապահովվում է նշված որոշմամբ հաստատված «Կահույքագործական արտադրանքի անվտանգության մասին» Մաքսային միության տեխնիկական կանոնակարգի</w:t>
      </w:r>
      <w:r w:rsidR="00B74577" w:rsidRPr="001F2939">
        <w:rPr>
          <w:rFonts w:ascii="Sylfaen" w:hAnsi="Sylfaen"/>
          <w:sz w:val="24"/>
          <w:szCs w:val="24"/>
        </w:rPr>
        <w:t xml:space="preserve"> (ՄՄ ՏԿ 025/2012)</w:t>
      </w:r>
      <w:r w:rsidRPr="001F2939">
        <w:rPr>
          <w:rFonts w:ascii="Sylfaen" w:hAnsi="Sylfaen"/>
          <w:sz w:val="24"/>
          <w:szCs w:val="24"/>
        </w:rPr>
        <w:t xml:space="preserve"> պահանջների պահպանումը, շարադրել հետ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>յալ խմբագրությամբ.</w:t>
      </w:r>
    </w:p>
    <w:p w:rsidR="00E76CBF" w:rsidRPr="001F2939" w:rsidRDefault="00E76CBF" w:rsidP="008D7E0F">
      <w:pPr>
        <w:pStyle w:val="Bodytext120"/>
        <w:shd w:val="clear" w:color="auto" w:fill="auto"/>
        <w:spacing w:before="0" w:after="160" w:line="360" w:lineRule="auto"/>
        <w:ind w:left="8931"/>
        <w:jc w:val="center"/>
        <w:rPr>
          <w:rFonts w:ascii="Sylfaen" w:hAnsi="Sylfaen"/>
          <w:sz w:val="24"/>
          <w:szCs w:val="24"/>
        </w:rPr>
      </w:pPr>
    </w:p>
    <w:p w:rsidR="0005285C" w:rsidRPr="001F2939" w:rsidRDefault="00462775" w:rsidP="008D7E0F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lastRenderedPageBreak/>
        <w:t>«ՀԱՍՏԱՏՎԱԾ Է</w:t>
      </w:r>
    </w:p>
    <w:p w:rsidR="0045155D" w:rsidRPr="001F2939" w:rsidRDefault="00462775" w:rsidP="008D7E0F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հանձնաժողովի կոլեգիայի</w:t>
      </w:r>
      <w:r w:rsidR="008D7E0F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2012 թվականի հոկտեմբերի 18-ի թիվ 189 որոշմամբ</w:t>
      </w:r>
    </w:p>
    <w:p w:rsidR="0005285C" w:rsidRPr="001F2939" w:rsidRDefault="00462775" w:rsidP="008D7E0F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8D7E0F" w:rsidRPr="001F2939">
        <w:rPr>
          <w:rFonts w:ascii="Sylfaen" w:hAnsi="Sylfaen"/>
          <w:sz w:val="24"/>
          <w:szCs w:val="24"/>
        </w:rPr>
        <w:t xml:space="preserve">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 xml:space="preserve">2017 թվականի նոյեմբերի 7-ի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թիվ 136 որոշման խմբագրությամբ)</w:t>
      </w:r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2" w:name="bookmark3"/>
      <w:r w:rsidRPr="001F2939">
        <w:rPr>
          <w:rStyle w:val="Heading22Spacing2pt"/>
          <w:rFonts w:ascii="Sylfaen" w:hAnsi="Sylfaen"/>
          <w:b/>
          <w:spacing w:val="0"/>
          <w:sz w:val="24"/>
          <w:szCs w:val="24"/>
        </w:rPr>
        <w:t>ՑԱՆԿ</w:t>
      </w:r>
      <w:bookmarkEnd w:id="2"/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3" w:name="bookmark4"/>
      <w:r w:rsidRPr="001F2939">
        <w:rPr>
          <w:rFonts w:ascii="Sylfaen" w:hAnsi="Sylfaen"/>
          <w:sz w:val="24"/>
          <w:szCs w:val="24"/>
        </w:rPr>
        <w:t xml:space="preserve">այն ստանդարտների, որոնց կամավոր հիմունքով կիրառման արդյունքում ապահովվում է </w:t>
      </w:r>
      <w:r w:rsidR="008D7E0F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«Կահույքագործական արտադրանքի անվտանգության մասին» Մաքսային միության տեխնիկական կանոնակարգի</w:t>
      </w:r>
      <w:r w:rsidR="00B74577" w:rsidRPr="001F2939">
        <w:rPr>
          <w:rFonts w:ascii="Sylfaen" w:hAnsi="Sylfaen"/>
          <w:sz w:val="24"/>
          <w:szCs w:val="24"/>
        </w:rPr>
        <w:t xml:space="preserve"> (ՄՄ ՏԿ 025/2012)</w:t>
      </w:r>
      <w:r w:rsidR="008D7E0F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պահանջների</w:t>
      </w:r>
      <w:bookmarkEnd w:id="3"/>
      <w:r w:rsidR="00A60B05" w:rsidRPr="001F2939">
        <w:rPr>
          <w:rFonts w:ascii="Sylfaen" w:hAnsi="Sylfaen"/>
          <w:sz w:val="24"/>
          <w:szCs w:val="24"/>
        </w:rPr>
        <w:t xml:space="preserve"> պահպանումը</w:t>
      </w:r>
    </w:p>
    <w:p w:rsidR="009A1FD8" w:rsidRPr="001F2939" w:rsidRDefault="009A1FD8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4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3543"/>
        <w:gridCol w:w="3686"/>
        <w:gridCol w:w="4626"/>
        <w:gridCol w:w="6"/>
        <w:gridCol w:w="1787"/>
        <w:gridCol w:w="395"/>
      </w:tblGrid>
      <w:tr w:rsidR="0063417D" w:rsidRPr="001F2939" w:rsidTr="00536E29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Համարը՝</w:t>
            </w:r>
          </w:p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I. Ընդհանուր տեխնիկական պայմանների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տեխնիկական պահանջների ստանդարտները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2.2.29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2.2.30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2.2.4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2.2.7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2.2.8, 2.3.4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2.3.5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2.3.1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2.3.2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</w:t>
            </w:r>
            <w:r w:rsidR="00536E2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7.1 - 7.3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7.4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5.2.30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5.2.31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5.2.4 - 5.2.7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5.2.8, 5.3.4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5.3.5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5.3.1 - 5.3.3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5.4.1 - 5.4.5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5.4.6 կետ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1.5.1 - 1.5.6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1.5.23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1.5.8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1.5.9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1.3 ենթաբաժին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1.6 ենթաբաժին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Բազկաթոռներ հանդիսադահլիճների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հինգերորդ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2-րդ կետի երրորդ պարբերություն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2.2.5.1, 2.2.5.2.1, 2.2.5.3, 2.2.6.1 ենթակետեր</w:t>
            </w:r>
          </w:p>
          <w:p w:rsidR="0063417D" w:rsidRPr="001F2939" w:rsidRDefault="004A1AEC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63417D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2.2.15 </w:t>
            </w: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63417D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2.2.16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2.2.17 - 2.2.19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2.2.8 - 2.2.10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2.3 ենթաբաժին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2.4 ենթաբաժին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</w:t>
            </w:r>
            <w:r w:rsidR="00536E2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հինգերորդ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վեցերորդ պարբերություններ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5.1 կետ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5.2.5.1 - 5.2.5.3 ենթակետեր</w:t>
            </w:r>
          </w:p>
          <w:p w:rsidR="0063417D" w:rsidRPr="001F2939" w:rsidRDefault="004A1AEC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63417D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5.2.16 կետ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5.2.6.1 ենթակետ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5.2.7 - 5.2.9 կետեր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5.2.15.1 - 5.2.15.4 ենթակետեր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ind w:right="132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5.2.18, 5.2.19, 5.3.2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5.3.3 կետեր 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5.3.4 կետ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5.4 ենթաբաժին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հոդված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ԳՕՍՏ 20400-2013 (բացի 30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56 եզրույթներից)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Կահույքագործական արտադրանք: Եզրույթներ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5.2.11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5.2.14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5.2.8 - 5.2.10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5.2.12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2.19, 2.22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2.24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2.25 - 2.27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2.29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2.15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2.17 կետեր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2.20 կետ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գրավաճառային՝ պահեստային տարածքների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1.24, 1.36 - 1.39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1.41 կետեր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1.30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1.32 կետեր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 1.33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 1.4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երկրորդից</w:t>
            </w:r>
            <w:r w:rsidR="008D7E0F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չորրոդ պարբերություններ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4–րդ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5-րդ կետեր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5.1.13.1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5.1.13.2 ենթակետեր ԳՕՍՏ 6799-2005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3-րդ կետի առաջին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527-2-2016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Մաս 2: Անվտանգության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4.1.2 կետ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33095-2014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Բնափայտից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փայտանյութերից կահույքի վրա պաշտպանական–դեկորատիվ պատվածքներ: Դասակարգումը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նշագրերը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բաժին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581-1-2012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1: Անվտանգության ընդհանուր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2: Նստելու կահույքի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3: Սեղանների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1023-2-2016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գրասենյակային: Միջնորմեր: Մաս 2: Մեխանիկական անվտանգության պահանջները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42"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հինգերորդ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4.2 - 4.6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4.8 կետեր 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հավելված Ա 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ՍՏԲ 1268-2006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ձ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36E29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II. Գործառական չափերի ստանդարտներ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կետի վեցերորդ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5994-93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Դպրոցական նստարաններ: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11015-93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Սեղաններ աշակերտական: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11016-93</w:t>
            </w:r>
          </w:p>
          <w:p w:rsidR="0063417D" w:rsidRPr="001F2939" w:rsidRDefault="0063417D" w:rsidP="002C4BCB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Աթոռներ աշակերտական: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18313-93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Ուսուցիչների համար սեղաններ: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18314-93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Աշակերտական, լաբորատոր սեղաններ: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18607-93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Սեղաններ ցուցադրական: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18666-95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Ուսումնական պիտույքների համար պահարաններ: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19301.1-2016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մանկական, նախադպրոցական: Սեղանների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19301.2-2016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մանկական, նախադպրոցական: Աթոռների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19301.3-94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մանկական, նախադպրոցական: Մահճակալների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2019</w:t>
            </w:r>
            <w:r w:rsidR="005E447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19301.3-2016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մանկական, նախադպրոցական: Մահճակալների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19549-93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Գծագրության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նկարչության համար աշակերտական սեղաններ: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19550-93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Օտար լեզվի դասասենյակների համար աշակերտական սեղաններ: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20902-95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Ճաշի սեղաններ աշակերտական: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22359-93</w:t>
            </w:r>
          </w:p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Հանդիսադահլիճների համար աթոռներ: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22360-95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Ցուցադրման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արտաձգիչ լաբորատոր պահարաններ: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22361-95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Ուսուցման տեխնիկական միջոցների համար հենակալներ: Տիպեր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</w:tr>
      <w:tr w:rsidR="0063417D" w:rsidRPr="001F2939" w:rsidTr="005E4479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26682-2016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D" w:rsidRPr="001F2939" w:rsidRDefault="0063417D" w:rsidP="005E4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նախադպրոցական հաստատությունների համար: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63417D" w:rsidRPr="001F2939" w:rsidRDefault="0063417D" w:rsidP="00536E29">
            <w:pPr>
              <w:spacing w:after="120"/>
              <w:rPr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»:</w:t>
            </w:r>
          </w:p>
        </w:tc>
      </w:tr>
    </w:tbl>
    <w:p w:rsidR="0005285C" w:rsidRPr="001F2939" w:rsidRDefault="0005285C" w:rsidP="008D7E0F">
      <w:pPr>
        <w:spacing w:after="160" w:line="360" w:lineRule="auto"/>
      </w:pPr>
    </w:p>
    <w:p w:rsidR="0005285C" w:rsidRPr="001F2939" w:rsidRDefault="00462775" w:rsidP="002C4BCB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4.</w:t>
      </w:r>
      <w:r w:rsidR="002C4BCB" w:rsidRPr="001F2939">
        <w:rPr>
          <w:rFonts w:ascii="Sylfaen" w:hAnsi="Sylfaen"/>
          <w:sz w:val="24"/>
          <w:szCs w:val="24"/>
        </w:rPr>
        <w:tab/>
      </w:r>
      <w:r w:rsidRPr="001F2939">
        <w:rPr>
          <w:rFonts w:ascii="Sylfaen" w:hAnsi="Sylfaen"/>
          <w:sz w:val="24"/>
          <w:szCs w:val="24"/>
        </w:rPr>
        <w:t xml:space="preserve">«Կահույքագործական արտադրանքի անվտանգության մասին» Մաքսային միության տեխնիկական կանոնակարգի </w:t>
      </w:r>
      <w:r w:rsidR="00125BB1" w:rsidRPr="001F2939">
        <w:rPr>
          <w:rFonts w:ascii="Sylfaen" w:hAnsi="Sylfaen"/>
          <w:sz w:val="24"/>
          <w:szCs w:val="24"/>
        </w:rPr>
        <w:t xml:space="preserve">(ՄՄ ՏԿ 025/2012) </w:t>
      </w:r>
      <w:r w:rsidRPr="001F2939">
        <w:rPr>
          <w:rFonts w:ascii="Sylfaen" w:hAnsi="Sylfaen"/>
          <w:sz w:val="24"/>
          <w:szCs w:val="24"/>
        </w:rPr>
        <w:t xml:space="preserve">պահանջները կիրառելու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կատարելու ու կահույքագործական արտադրանքի համապատասխանության գնահատումը (հաստատումը) իրականացնելու համար անհրաժեշտ` հետազոտությունների (փորձարկումների)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չափումների կանոններ ու մեթոդներ, այդ թվում՝ նմուշառման կանոններ պարունակող ստանդարտների ցանկը շարադրել հետ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>յալ խմբագրությամբ.</w:t>
      </w:r>
    </w:p>
    <w:p w:rsidR="002D515D" w:rsidRPr="004A1AEC" w:rsidRDefault="002D515D" w:rsidP="008D7E0F">
      <w:pPr>
        <w:pStyle w:val="Bodytext1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2C4BCB" w:rsidRPr="004A1AEC" w:rsidRDefault="002C4BCB" w:rsidP="008D7E0F">
      <w:pPr>
        <w:pStyle w:val="Bodytext1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lastRenderedPageBreak/>
        <w:t>«ՀԱՍՏԱՏՎԱԾ Է</w:t>
      </w:r>
    </w:p>
    <w:p w:rsidR="002D515D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</w:t>
      </w:r>
      <w:r w:rsidR="002C4BCB" w:rsidRPr="004A1AEC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2012 թվականի հոկտեմբերի 18-ի թիվ 189 որոշմամբ</w:t>
      </w:r>
    </w:p>
    <w:p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 xml:space="preserve">2017 թվականի նոյեմբերի 7-ի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թիվ 136 որոշման խմբագրությամբ)</w:t>
      </w:r>
    </w:p>
    <w:p w:rsidR="0047668E" w:rsidRPr="001F2939" w:rsidRDefault="0047668E" w:rsidP="008D7E0F">
      <w:pPr>
        <w:pStyle w:val="Heading220"/>
        <w:shd w:val="clear" w:color="auto" w:fill="auto"/>
        <w:spacing w:before="0" w:after="160" w:line="360" w:lineRule="auto"/>
        <w:outlineLvl w:val="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4" w:name="bookmark6"/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  <w:r w:rsidRPr="001F2939">
        <w:rPr>
          <w:rStyle w:val="Heading22Spacing2pt"/>
          <w:rFonts w:ascii="Sylfaen" w:hAnsi="Sylfaen"/>
          <w:b/>
          <w:spacing w:val="0"/>
          <w:sz w:val="24"/>
          <w:szCs w:val="24"/>
        </w:rPr>
        <w:t>ՑԱՆԿ</w:t>
      </w:r>
      <w:bookmarkEnd w:id="4"/>
    </w:p>
    <w:p w:rsidR="0005285C" w:rsidRPr="001F2939" w:rsidRDefault="00462775" w:rsidP="008D7E0F">
      <w:pPr>
        <w:pStyle w:val="Bodytext11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այն ստանդարտների, որոնք ներառում են հետազոտությունների (փորձարկումների)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չափումների այն կանոնները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մեթոդները, այդ թվում՝ նմուշառման այն կանոնները, որոնք անհրաժեշտ են «Կահույքագործական արտադրանքի անվտանգության մասին» Մաքսային միության տեխնիկական կանոնակարգի </w:t>
      </w:r>
      <w:r w:rsidR="00125BB1" w:rsidRPr="001F2939">
        <w:rPr>
          <w:rFonts w:ascii="Sylfaen" w:hAnsi="Sylfaen"/>
          <w:sz w:val="24"/>
          <w:szCs w:val="24"/>
        </w:rPr>
        <w:t xml:space="preserve">(ՄՄ ՏԿ 025/2012) </w:t>
      </w:r>
      <w:r w:rsidRPr="001F2939">
        <w:rPr>
          <w:rFonts w:ascii="Sylfaen" w:hAnsi="Sylfaen"/>
          <w:sz w:val="24"/>
          <w:szCs w:val="24"/>
        </w:rPr>
        <w:t xml:space="preserve">պահանջները կիրառելու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կատարելու ու տեխնիկական կարգավորման օբյեկտների համապատասխանության գնահատում իրականացնելու համար</w:t>
      </w:r>
    </w:p>
    <w:p w:rsidR="0047668E" w:rsidRPr="001F2939" w:rsidRDefault="00462775" w:rsidP="008D7E0F">
      <w:pPr>
        <w:spacing w:after="160" w:line="360" w:lineRule="auto"/>
        <w:rPr>
          <w:rFonts w:eastAsia="Times New Roman" w:cs="Times New Roman"/>
          <w:b/>
          <w:bCs/>
        </w:rPr>
      </w:pPr>
      <w:r w:rsidRPr="001F2939">
        <w:br w:type="page"/>
      </w:r>
    </w:p>
    <w:tbl>
      <w:tblPr>
        <w:tblOverlap w:val="never"/>
        <w:tblW w:w="150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693"/>
        <w:gridCol w:w="3685"/>
        <w:gridCol w:w="5295"/>
        <w:gridCol w:w="1984"/>
        <w:gridCol w:w="426"/>
      </w:tblGrid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Համարը՝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</w:tr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I. Փորձարկումների համար կահույքի նմուշառման կանոնները</w:t>
            </w:r>
          </w:p>
        </w:tc>
      </w:tr>
      <w:tr w:rsidR="009F4839" w:rsidRPr="001F2939" w:rsidTr="00DE4760">
        <w:trPr>
          <w:gridAfter w:val="1"/>
          <w:wAfter w:w="426" w:type="dxa"/>
          <w:trHeight w:val="6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- չորրորդ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trHeight w:val="6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6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3.2.2 կետի երրորդ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7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9F4839" w:rsidRPr="001F2939" w:rsidTr="00DE4760">
        <w:trPr>
          <w:gridAfter w:val="1"/>
          <w:wAfter w:w="426" w:type="dxa"/>
          <w:trHeight w:val="5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2.3.2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Բազկաթոռներ հանդիսադահլիճների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3.6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3.7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</w:t>
            </w:r>
            <w:r w:rsidR="00B94948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հինգերորդ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II. Գործառական չափերի չափման մեթոդներ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III. Փորձարկումների մեթոդներ</w:t>
            </w:r>
          </w:p>
        </w:tc>
      </w:tr>
      <w:tr w:rsidR="009F4839" w:rsidRPr="001F2939" w:rsidTr="002C4BCB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4211-4-2012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ույթների փորձարկում: Մաս 4: </w:t>
            </w:r>
            <w:r w:rsidR="0028412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Հարվածի նկատմամբ դ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իմադրության գնահատում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2: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Նստելու կահույքի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3: Սեղանների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-րդ կետ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ՍՏԲ 1268-2006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ձ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12B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7.9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6799-2005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5.1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12.1.044-89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Աշխատանքի անվտանգության ստանդարտների համակարգ: Նյութերի հրդեհապայթանվտանգություն: Ցուցանիշների անվանացանկը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դրանք որոշելու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1-ին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527-3-2016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Մաս 3: Կառուցվածքի կայունությունը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մեխանիկական ամրությունը որոշելու համար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1730-2013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Սեղաններ: Ամրության, երկարակեցության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կայունության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12029-93 (ԻՍՕ 7173-89)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Աթոռներ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աթոռակներ: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19194-73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Կահույքի ոտնակների ամրացման ամրությունը որոշելու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8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19195-89 (ՍՏ ՏՓԽ 6472-88)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Ուղղահայաց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հորիզոնական պտտման առանցքով դռների ամրացման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23380-83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Սեղաններ՝ 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ուսուցիչների համար: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28102-89 (ՍՏ ՏՓԽ 6240-88)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Մետաղաձողերի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28105-89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պահախցավոր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սեղաններ: Շարժական արկղերի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կիսարկղերի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28136-89 (ՍՏ ՏՓԽ 6241-88)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ind w:right="4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Պատի պահախցավոր կահույք: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28793-90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Սեղաններ: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5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30099-93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trHeight w:val="71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30209-94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Դռներ տարաշարժվող: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30212-94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AC39B4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Լրագր</w:t>
            </w:r>
            <w:r w:rsidR="001C6D2F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ասեղաններ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1022-2013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Կենցաղային կահույք: Կահույք նստելու համար: Կայունությունը որոշելու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1728-2013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Կահույք նստելու համար: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14314-94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տարրերի երկարակեցության փորձարկման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8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17340-87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Մահճակալների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19120-93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Բազմոց-մահճակալներ, բազմոցներ, բազկաթոռ-մահճակալներ, բազկաթոռներ հանգստի համար, օթոցներ, թախտեր, նստարաններ, փափկաթոռներ: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23381-89 (ՍՏ ՏՓԽ 6474-88)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28777-90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30210-94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Երկհարկ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30211-94 (ԻՍՕ 7174-1-88)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Աթոռներ: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4-րդ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21640-91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տարրեր: Փափկության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5-րդ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19918.3-79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Ոչ զսպանակավոր փափուկ տարրերի մնացորդային դեֆորմացման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6-րդ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7-րդ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4.14 - 4.17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7.10, 7.11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7.14 - 7.16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8-րդ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 4.7 - 4.9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9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 4.4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գրավաճառային,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12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3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հավելված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30255-2014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Փայտանյութ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34039-2016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ֆոսֆորական անհիդրիդի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34040-2016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ցիանաջրածնի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657DEC">
        <w:trPr>
          <w:gridAfter w:val="1"/>
          <w:wAfter w:w="426" w:type="dxa"/>
          <w:trHeight w:val="10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քլորային 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ծծմբի երկօքսիդի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ԿՄՍ 752:2013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Փակ խցիկներում կահույքից,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նյութերից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: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26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16000-6-2016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6: Փորձանմուշների ակտիվ ընտրության եղանակով Tenax TA կլանիչը որոշելու համար փակ տարածությունների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խցիկի օդի մեջ ցնդող օրգանական միացությունների որոշում՝ ՄՍԴ/ԲԻԴ (մասսպեկտրոմետրային դետեկտորով/բոցաիոնիզացվող դետեկտոր) օգտագործմամբ,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3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16000-9-2009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9: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խցիկի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2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16000-10-2009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10: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բջջի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16017-1-2007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Աշխատանքային գոտու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մթնոլորտային օդը: Սորբման խողովակի միջոցով ցնդող օրգանական միացությունների փորձանմուշների ընտրություն,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 մազախողովակային սյունակների օգտագործմամբ: Մաս 1: Պոմպավորման մեթոդով փորձանմուշների ընտրությունը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trHeight w:val="15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4.1.3167-14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հեքսանի, բենզոլի, տոլուոլի, էթիլբենզոլի, մ-, օ-, պ-քսիլոլների, իզոպրոպիլբենզոլի, ն-պրոպիլբենզոլի, ստիրոլի, α -մեթիլստիրոլի, բենզալդեհիդի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4.1.3168-14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դիմեթիլֆտալատի, դիմեթիլտերեֆտալատի, դիէթիլֆտալատի, դիբութիլֆտալատի, բութիլբենզիլֆտալատի, բիս(2-էթիլհեքսիլ)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9F4839" w:rsidRPr="001F2939" w:rsidTr="00657DEC">
        <w:trPr>
          <w:gridAfter w:val="1"/>
          <w:wAfter w:w="426" w:type="dxa"/>
          <w:trHeight w:val="20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4.1.3170-14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ացետալդեհիդի, ացետոնի, մեթիլացետատի, էթիլացետատի, մեթանոլի, իզոպրոպանոլի, էթանոլի, ն–պրոպիլացետատի, ն–պրոպանոլի, իզոբութիլացետատի, բութիլացետատի, իզոբութանոլի, ն–բութանոլի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1615-2001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Օդում օրգանական լուծիչների գոլորշիների կոնցենտրացիաների քանակական գազաքրոմատագրական որոշման մեթոդիկա՝ դրանց համատեղ առկայության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2056-2004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մեթանոլի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2057-2004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Կլիմայական խցիկի մեջ անհիդրիդի, դիբութիլֆտալատի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2101-2004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վինիլացետատի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3121-2009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հեքսամեթիլենդիամինի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3123-2009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2,4-տոլուիլենդիիզոցիանատի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կայունության գնահատում սառը հեղուկների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0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փորձարկում: Մաս 2: Կայունության գնահատում խոնավ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ույթների փորձարկում: Մաս 3: Կայունության գնահատում չոր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16143-81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Թափանցիկ լաքի ծածկույթների փայլի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27627-88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Բծերի առաջացման նկատմամբ պաշտպանական–դեկորատիվ պատվածքների կայունության որոշման գնահատում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5.3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30877-2003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Նյութեր մանածագործական։ Ծածկեր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գորգագործական, մեքենայական արտադրության։ Անվտանգության ցուցանիշները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դրանց որոշման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հինգերորդ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33795-2016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Փայտ</w:t>
            </w:r>
            <w:r w:rsidR="00BF1BA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հումք, փայտանյութ, կիսաֆաբրիկատներ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փայտից ու փայտանյութից արտադրատեսակներ: Ռադիոնուկլիդների թույլատրելի տեսակարար ակտիվություն, նմուշառում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ռադիոնուկլիդների տեսակարար ակտիվության չափման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30108-94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Շինարարական նյութեր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արտադրատեսակներ: Բնական ռադիոնուկլիդների արդյունավետ տեսակարար ակտիվության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I: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gridAfter w:val="1"/>
          <w:wAfter w:w="426" w:type="dxa"/>
          <w:trHeight w:val="8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ՍՏ ՂՀ ԵՆ</w:t>
            </w:r>
            <w:r w:rsidRPr="001F2939">
              <w:rPr>
                <w:rFonts w:ascii="Sylfaen" w:hAnsi="Sylfaen"/>
                <w:sz w:val="20"/>
                <w:szCs w:val="20"/>
              </w:rPr>
              <w:t xml:space="preserve"> 1021-1-2015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1: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 ՂՀ ԵՆ 1021-2-2015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50810-95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Մանածագործական նյութերի հրդեհային անվտանգություն: Գործվածքներ դեկորատիվ: Բոցավառման փորձարկման մեթոդը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դասակարգումը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53294-2009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Նյութեր մանածագործական։ Անկողնային պարագաներ: Կահույքի փափուկ տարրեր: Գալարավարագույրներ: Վարագույրներ: Բոցավառման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1023-3-2016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Միջնորմեր: Մաս 3: </w:t>
            </w: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»:</w:t>
            </w:r>
          </w:p>
        </w:tc>
      </w:tr>
    </w:tbl>
    <w:p w:rsidR="00657DEC" w:rsidRPr="001F2939" w:rsidRDefault="00657DEC" w:rsidP="00657DEC">
      <w:pPr>
        <w:spacing w:after="120"/>
        <w:jc w:val="center"/>
        <w:rPr>
          <w:lang w:val="en-US"/>
        </w:rPr>
      </w:pPr>
    </w:p>
    <w:p w:rsidR="00657DEC" w:rsidRPr="00657DEC" w:rsidRDefault="00657DEC" w:rsidP="00657DEC">
      <w:pPr>
        <w:spacing w:after="160" w:line="360" w:lineRule="auto"/>
        <w:jc w:val="center"/>
        <w:rPr>
          <w:lang w:val="en-US"/>
        </w:rPr>
      </w:pPr>
      <w:r w:rsidRPr="001F2939">
        <w:rPr>
          <w:lang w:val="en-US"/>
        </w:rPr>
        <w:t>_________________</w:t>
      </w:r>
    </w:p>
    <w:sectPr w:rsidR="00657DEC" w:rsidRPr="00657DEC" w:rsidSect="00657DEC">
      <w:footerReference w:type="default" r:id="rId7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B4" w:rsidRDefault="002478B4" w:rsidP="0005285C">
      <w:r>
        <w:separator/>
      </w:r>
    </w:p>
  </w:endnote>
  <w:endnote w:type="continuationSeparator" w:id="0">
    <w:p w:rsidR="002478B4" w:rsidRDefault="002478B4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9047"/>
      <w:docPartObj>
        <w:docPartGallery w:val="Page Numbers (Bottom of Page)"/>
        <w:docPartUnique/>
      </w:docPartObj>
    </w:sdtPr>
    <w:sdtEndPr/>
    <w:sdtContent>
      <w:p w:rsidR="00657DEC" w:rsidRDefault="002478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9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B4" w:rsidRDefault="002478B4"/>
  </w:footnote>
  <w:footnote w:type="continuationSeparator" w:id="0">
    <w:p w:rsidR="002478B4" w:rsidRDefault="00247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C50"/>
    <w:multiLevelType w:val="multilevel"/>
    <w:tmpl w:val="BA1E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5447B"/>
    <w:multiLevelType w:val="multilevel"/>
    <w:tmpl w:val="E940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5C"/>
    <w:rsid w:val="000065A5"/>
    <w:rsid w:val="000322F9"/>
    <w:rsid w:val="0005285C"/>
    <w:rsid w:val="0010389E"/>
    <w:rsid w:val="001043DE"/>
    <w:rsid w:val="00106207"/>
    <w:rsid w:val="00125BB1"/>
    <w:rsid w:val="0014175D"/>
    <w:rsid w:val="00150746"/>
    <w:rsid w:val="00167137"/>
    <w:rsid w:val="001C6D2F"/>
    <w:rsid w:val="001E3675"/>
    <w:rsid w:val="001F2939"/>
    <w:rsid w:val="002478B4"/>
    <w:rsid w:val="002729F2"/>
    <w:rsid w:val="00282633"/>
    <w:rsid w:val="0028412B"/>
    <w:rsid w:val="002C4BCB"/>
    <w:rsid w:val="002C797B"/>
    <w:rsid w:val="002D2662"/>
    <w:rsid w:val="002D515D"/>
    <w:rsid w:val="002F08F4"/>
    <w:rsid w:val="003C5485"/>
    <w:rsid w:val="0045155D"/>
    <w:rsid w:val="00462775"/>
    <w:rsid w:val="0047668E"/>
    <w:rsid w:val="004936ED"/>
    <w:rsid w:val="004A1AEC"/>
    <w:rsid w:val="004B7DD0"/>
    <w:rsid w:val="004C0AE5"/>
    <w:rsid w:val="004C64C1"/>
    <w:rsid w:val="004F6DBB"/>
    <w:rsid w:val="00536E29"/>
    <w:rsid w:val="00547EB1"/>
    <w:rsid w:val="005637C0"/>
    <w:rsid w:val="00573843"/>
    <w:rsid w:val="005C1B2C"/>
    <w:rsid w:val="005C5B64"/>
    <w:rsid w:val="005E4479"/>
    <w:rsid w:val="005F278F"/>
    <w:rsid w:val="005F59E1"/>
    <w:rsid w:val="0063417D"/>
    <w:rsid w:val="00657DEC"/>
    <w:rsid w:val="007165B1"/>
    <w:rsid w:val="007B199D"/>
    <w:rsid w:val="007E74E3"/>
    <w:rsid w:val="00835C09"/>
    <w:rsid w:val="008D7E0F"/>
    <w:rsid w:val="00984A5A"/>
    <w:rsid w:val="009A1FD8"/>
    <w:rsid w:val="009F4839"/>
    <w:rsid w:val="00A21903"/>
    <w:rsid w:val="00A4643B"/>
    <w:rsid w:val="00A60B05"/>
    <w:rsid w:val="00A751F2"/>
    <w:rsid w:val="00AC39B4"/>
    <w:rsid w:val="00AC3A4E"/>
    <w:rsid w:val="00AE2AE5"/>
    <w:rsid w:val="00B74577"/>
    <w:rsid w:val="00B84DBA"/>
    <w:rsid w:val="00B94948"/>
    <w:rsid w:val="00BA3222"/>
    <w:rsid w:val="00BB73DF"/>
    <w:rsid w:val="00BF1BA9"/>
    <w:rsid w:val="00C11712"/>
    <w:rsid w:val="00CB085A"/>
    <w:rsid w:val="00CC30C0"/>
    <w:rsid w:val="00CC698A"/>
    <w:rsid w:val="00CD2D78"/>
    <w:rsid w:val="00D16B8B"/>
    <w:rsid w:val="00D63C33"/>
    <w:rsid w:val="00D977C5"/>
    <w:rsid w:val="00DA1611"/>
    <w:rsid w:val="00DE4760"/>
    <w:rsid w:val="00DE680E"/>
    <w:rsid w:val="00E61ABF"/>
    <w:rsid w:val="00E64A3A"/>
    <w:rsid w:val="00E76CBF"/>
    <w:rsid w:val="00EE415A"/>
    <w:rsid w:val="00F07637"/>
    <w:rsid w:val="00F57940"/>
    <w:rsid w:val="00FD680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2C59"/>
  <w15:docId w15:val="{C91E56E8-73DF-4806-B578-3DB5680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52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285C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0528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5285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basedOn w:val="Bodytext1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1 pt,Spacing 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05285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5285C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5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5285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sz w:val="38"/>
      <w:szCs w:val="38"/>
    </w:rPr>
  </w:style>
  <w:style w:type="paragraph" w:customStyle="1" w:styleId="Heading220">
    <w:name w:val="Heading #2 (2)"/>
    <w:basedOn w:val="Normal"/>
    <w:link w:val="Heading22"/>
    <w:rsid w:val="0005285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05285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0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B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B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7D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D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7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21</cp:revision>
  <dcterms:created xsi:type="dcterms:W3CDTF">2018-05-16T10:47:00Z</dcterms:created>
  <dcterms:modified xsi:type="dcterms:W3CDTF">2019-07-04T07:56:00Z</dcterms:modified>
</cp:coreProperties>
</file>