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2B" w:rsidRPr="00EF60E3" w:rsidRDefault="006D74A8" w:rsidP="009C119F">
      <w:pPr>
        <w:pStyle w:val="20"/>
        <w:shd w:val="clear" w:color="auto" w:fill="auto"/>
        <w:spacing w:before="0" w:after="24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>
        <w:rPr>
          <w:rFonts w:ascii="Sylfaen" w:hAnsi="Sylfaen"/>
          <w:sz w:val="24"/>
        </w:rPr>
        <w:t>ՀԱՎԵԼՎԱԾ</w:t>
      </w:r>
    </w:p>
    <w:p w:rsidR="00C40A2B" w:rsidRPr="00EF60E3" w:rsidRDefault="006D74A8" w:rsidP="009C119F">
      <w:pPr>
        <w:pStyle w:val="20"/>
        <w:shd w:val="clear" w:color="auto" w:fill="auto"/>
        <w:spacing w:before="0" w:after="240" w:line="360" w:lineRule="auto"/>
        <w:ind w:left="4536" w:right="-6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Եվրասիական տնտեսական հանձնաժողովի խորհրդի</w:t>
      </w:r>
      <w:r w:rsidR="009C119F" w:rsidRPr="009C119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2017 թվականի հունվարի 13-ի թիվ 15 որոշման</w:t>
      </w:r>
    </w:p>
    <w:p w:rsidR="00EF60E3" w:rsidRDefault="00EF60E3" w:rsidP="00571242">
      <w:pPr>
        <w:pStyle w:val="70"/>
        <w:shd w:val="clear" w:color="auto" w:fill="auto"/>
        <w:spacing w:after="240" w:line="360" w:lineRule="auto"/>
        <w:ind w:left="20"/>
        <w:rPr>
          <w:rStyle w:val="72pt"/>
          <w:rFonts w:ascii="Sylfaen" w:hAnsi="Sylfaen"/>
          <w:b/>
          <w:bCs/>
          <w:spacing w:val="0"/>
          <w:sz w:val="24"/>
          <w:szCs w:val="24"/>
        </w:rPr>
      </w:pPr>
    </w:p>
    <w:p w:rsidR="00C40A2B" w:rsidRPr="00EF60E3" w:rsidRDefault="006D74A8" w:rsidP="009C119F">
      <w:pPr>
        <w:pStyle w:val="70"/>
        <w:shd w:val="clear" w:color="auto" w:fill="auto"/>
        <w:spacing w:after="240" w:line="360" w:lineRule="auto"/>
        <w:ind w:right="-8"/>
        <w:rPr>
          <w:rFonts w:ascii="Sylfaen" w:hAnsi="Sylfaen"/>
          <w:sz w:val="24"/>
          <w:szCs w:val="24"/>
        </w:rPr>
      </w:pPr>
      <w:r>
        <w:rPr>
          <w:rStyle w:val="72pt"/>
          <w:rFonts w:ascii="Sylfaen" w:hAnsi="Sylfaen"/>
          <w:b/>
          <w:spacing w:val="0"/>
          <w:sz w:val="24"/>
        </w:rPr>
        <w:t>ՓՈՓՈԽՈՒԹՅՈՒՆ</w:t>
      </w:r>
    </w:p>
    <w:p w:rsidR="00C40A2B" w:rsidRDefault="006D74A8" w:rsidP="009C119F">
      <w:pPr>
        <w:pStyle w:val="70"/>
        <w:shd w:val="clear" w:color="auto" w:fill="auto"/>
        <w:spacing w:after="240" w:line="360" w:lineRule="auto"/>
        <w:ind w:right="-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այն ապրանքների կատեգորիաների, որոնց նկատմամբ կարող է սահմանվել հատուկ մաքսային ընթացակարգ, 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այդ մաքսային ընթացակարգով դրանց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ակերպման պայմանների ցանկում</w:t>
      </w:r>
      <w:r w:rsidR="0092434F">
        <w:rPr>
          <w:rFonts w:ascii="Sylfaen" w:hAnsi="Sylfaen"/>
          <w:sz w:val="24"/>
        </w:rPr>
        <w:t xml:space="preserve"> կատարվող</w:t>
      </w:r>
    </w:p>
    <w:p w:rsidR="00EF60E3" w:rsidRPr="00EF60E3" w:rsidRDefault="00EF60E3" w:rsidP="00571242">
      <w:pPr>
        <w:pStyle w:val="70"/>
        <w:shd w:val="clear" w:color="auto" w:fill="auto"/>
        <w:spacing w:after="240" w:line="360" w:lineRule="auto"/>
        <w:ind w:left="20"/>
        <w:rPr>
          <w:rFonts w:ascii="Sylfaen" w:hAnsi="Sylfaen"/>
          <w:sz w:val="24"/>
          <w:szCs w:val="24"/>
        </w:rPr>
      </w:pPr>
    </w:p>
    <w:p w:rsidR="00C40A2B" w:rsidRPr="00EF60E3" w:rsidRDefault="006D74A8" w:rsidP="00571242">
      <w:pPr>
        <w:pStyle w:val="20"/>
        <w:shd w:val="clear" w:color="auto" w:fill="auto"/>
        <w:spacing w:before="0" w:after="24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Լրացնել հետ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յալ բովանդակությամբ 16-րդ կետ</w:t>
      </w:r>
      <w:r w:rsidR="003B0A6D">
        <w:rPr>
          <w:rFonts w:ascii="Sylfaen" w:hAnsi="Sylfaen"/>
          <w:sz w:val="24"/>
        </w:rPr>
        <w:t>.</w:t>
      </w:r>
    </w:p>
    <w:p w:rsidR="00C40A2B" w:rsidRPr="00EF60E3" w:rsidRDefault="006D74A8" w:rsidP="00CF36BF">
      <w:pPr>
        <w:pStyle w:val="20"/>
        <w:shd w:val="clear" w:color="auto" w:fill="auto"/>
        <w:tabs>
          <w:tab w:val="left" w:pos="1134"/>
        </w:tabs>
        <w:spacing w:before="0" w:after="24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«16.</w:t>
      </w:r>
      <w:r w:rsidR="00CF36BF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Բեռների 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ուղ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որների միջազգային ավտոմոբիլային փոխադրումներ իրականացնելու թույլտվությունների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աթղթերը (այսուհետ՝ թույլտվությունների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աթղթեր), որոնք տեղափոխվում են Միության մաքսային սահմանով անդամ պետության՝ տրանսպորտի ոլորտ</w:t>
      </w:r>
      <w:r w:rsidR="00DC40C0">
        <w:rPr>
          <w:rFonts w:ascii="Sylfaen" w:hAnsi="Sylfaen"/>
          <w:sz w:val="24"/>
        </w:rPr>
        <w:t>ում</w:t>
      </w:r>
      <w:r>
        <w:rPr>
          <w:rFonts w:ascii="Sylfaen" w:hAnsi="Sylfaen"/>
          <w:sz w:val="24"/>
        </w:rPr>
        <w:t xml:space="preserve"> լիազորված մարմինների կողմից կամ նրանց </w:t>
      </w:r>
      <w:r w:rsidR="00F66FC6">
        <w:rPr>
          <w:rFonts w:ascii="Sylfaen" w:hAnsi="Sylfaen"/>
          <w:sz w:val="24"/>
        </w:rPr>
        <w:t>հանձնարարությամբ</w:t>
      </w:r>
      <w:r>
        <w:rPr>
          <w:rFonts w:ascii="Sylfaen" w:hAnsi="Sylfaen"/>
          <w:sz w:val="24"/>
        </w:rPr>
        <w:t xml:space="preserve">՝ կազմակերպությունների կողմից, անդամ պետությունների միջազգային պայմանագրերի շրջանակներում, 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ՄՃՓ գրքույկների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աթղթերը, այդ թվում՝ օգտագործված, որոնք տեղափոխվում են Միության մաքսային սահմանով «ՄՃՓ գրքույկի կիրառմամբ բեռների միջազգային փոխադրման մասին» 1975 թվականի նոյեմբերի 14-ի մաքսային կոնվենցիայի շրջանակներում (այսուհետ՝ ՄՃՓ կոնվենցիա),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ակերպվում են հատուկ մաքսային ընթացակարգով՝ առանց մաքսատուրքեր</w:t>
      </w:r>
      <w:r w:rsidR="00A84D6C" w:rsidRPr="00A84D6C">
        <w:rPr>
          <w:rFonts w:ascii="Sylfaen" w:hAnsi="Sylfaen"/>
          <w:sz w:val="24"/>
        </w:rPr>
        <w:t>ի</w:t>
      </w:r>
      <w:r>
        <w:rPr>
          <w:rFonts w:ascii="Sylfaen" w:hAnsi="Sylfaen"/>
          <w:sz w:val="24"/>
        </w:rPr>
        <w:t>, հարկեր</w:t>
      </w:r>
      <w:r w:rsidR="006746EF">
        <w:rPr>
          <w:rFonts w:ascii="Sylfaen" w:hAnsi="Sylfaen"/>
          <w:sz w:val="24"/>
        </w:rPr>
        <w:t>ի</w:t>
      </w:r>
      <w:r>
        <w:rPr>
          <w:rFonts w:ascii="Sylfaen" w:hAnsi="Sylfaen"/>
          <w:sz w:val="24"/>
        </w:rPr>
        <w:t xml:space="preserve"> վճար</w:t>
      </w:r>
      <w:r w:rsidR="006746EF">
        <w:rPr>
          <w:rFonts w:ascii="Sylfaen" w:hAnsi="Sylfaen"/>
          <w:sz w:val="24"/>
        </w:rPr>
        <w:t>ման</w:t>
      </w:r>
      <w:r>
        <w:rPr>
          <w:rFonts w:ascii="Sylfaen" w:hAnsi="Sylfaen"/>
          <w:sz w:val="24"/>
        </w:rPr>
        <w:t>:</w:t>
      </w:r>
    </w:p>
    <w:p w:rsidR="00C40A2B" w:rsidRPr="00EF60E3" w:rsidRDefault="006D74A8" w:rsidP="00571242">
      <w:pPr>
        <w:pStyle w:val="20"/>
        <w:shd w:val="clear" w:color="auto" w:fill="auto"/>
        <w:spacing w:before="0" w:after="24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Թույլտվությունների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աթղթերը հատուկ մաքսային ընթացակարգով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ակերպելու պայման է հանդիսանում անդամ պետության՝ տրանսպորտի ոլորտում լիազորված մարմնի գրավոր հաստատման ներկայացումը մաքսային </w:t>
      </w:r>
      <w:r>
        <w:rPr>
          <w:rFonts w:ascii="Sylfaen" w:hAnsi="Sylfaen"/>
          <w:sz w:val="24"/>
        </w:rPr>
        <w:lastRenderedPageBreak/>
        <w:t>մարմին, որտեղ նշվում են Միության մաքսային սահմանով տեղափոխվող՝ թույլտվությունների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աթղթերի տեսակների ցանկերը, դրանց քանակը, ինչպես նա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համարների միջակայքը:</w:t>
      </w:r>
    </w:p>
    <w:p w:rsidR="00C40A2B" w:rsidRPr="00EF60E3" w:rsidRDefault="006D74A8" w:rsidP="00571242">
      <w:pPr>
        <w:pStyle w:val="20"/>
        <w:shd w:val="clear" w:color="auto" w:fill="auto"/>
        <w:spacing w:before="0" w:after="24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մաքսային սահմանով թույլտվությունների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աթղթերը, սույն կետի առաջին մասին համապատասխան, կազմակերպության կողմից տեղափոխ</w:t>
      </w:r>
      <w:r w:rsidR="003B0A6D">
        <w:rPr>
          <w:rFonts w:ascii="Sylfaen" w:hAnsi="Sylfaen"/>
          <w:sz w:val="24"/>
        </w:rPr>
        <w:t>վ</w:t>
      </w:r>
      <w:r>
        <w:rPr>
          <w:rFonts w:ascii="Sylfaen" w:hAnsi="Sylfaen"/>
          <w:sz w:val="24"/>
        </w:rPr>
        <w:t>ելու դեպքում անդամ պետության՝ տրանսպորտի ոլորտի լիազորված մարմնի գրավոր հաստատման մեջ լրացուցիչ նշվում է այդ կազմակերպության անվանումը:</w:t>
      </w:r>
    </w:p>
    <w:p w:rsidR="00C40A2B" w:rsidRDefault="006D74A8" w:rsidP="00571242">
      <w:pPr>
        <w:pStyle w:val="20"/>
        <w:shd w:val="clear" w:color="auto" w:fill="auto"/>
        <w:spacing w:before="0" w:after="240" w:line="360" w:lineRule="auto"/>
        <w:ind w:firstLine="567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</w:rPr>
        <w:t>ՄՃՓ գրքույկների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աթղթերը հատուկ մաքսային ընթացակարգով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ակերպելու պայման է հանդիսանում Ավտոմոբիլային տրանսպորտի միջազգային միության կամ անդամ պետության </w:t>
      </w:r>
      <w:r w:rsidR="00F66FC6">
        <w:rPr>
          <w:rFonts w:ascii="Sylfaen" w:hAnsi="Sylfaen"/>
          <w:sz w:val="24"/>
        </w:rPr>
        <w:t xml:space="preserve">այն </w:t>
      </w:r>
      <w:r>
        <w:rPr>
          <w:rFonts w:ascii="Sylfaen" w:hAnsi="Sylfaen"/>
          <w:sz w:val="24"/>
        </w:rPr>
        <w:t>ՄՃՓ կոնվենցիայի շրջանակներում երաշխիքային միավորման գրավոր փաստաթղթերի ներկայացումը մաքսային մարմին, որտեղ նշվում են Միության մաքսային սահմանով տեղափոխվող՝ ՄՃՓ գրքույկների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աթղթերի տեսակների ցանկերը, դրանց քանակը, համարների միջակայքը, ՄՃՓ գրքույկների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աթղթեր ստացողը 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ուղարկողը, ինչպես նա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ՄՃՓ գրքույկների ձ</w:t>
      </w:r>
      <w:r w:rsidR="00EB143E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աթղթերը տեղափոխող կազմակերպության անվանումը:»:</w:t>
      </w:r>
    </w:p>
    <w:p w:rsidR="009C119F" w:rsidRPr="009C119F" w:rsidRDefault="009C119F" w:rsidP="009C119F">
      <w:pPr>
        <w:pStyle w:val="20"/>
        <w:shd w:val="clear" w:color="auto" w:fill="auto"/>
        <w:spacing w:before="0" w:after="240" w:line="360" w:lineRule="auto"/>
        <w:jc w:val="center"/>
        <w:rPr>
          <w:rFonts w:ascii="Sylfaen" w:hAnsi="Sylfaen"/>
          <w:sz w:val="24"/>
          <w:lang w:val="en-US"/>
        </w:rPr>
      </w:pPr>
    </w:p>
    <w:p w:rsidR="009C119F" w:rsidRPr="009C119F" w:rsidRDefault="009C119F" w:rsidP="009C119F">
      <w:pPr>
        <w:pStyle w:val="20"/>
        <w:shd w:val="clear" w:color="auto" w:fill="auto"/>
        <w:spacing w:before="0" w:after="240" w:line="36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lang w:val="en-US"/>
        </w:rPr>
        <w:t>_______________</w:t>
      </w:r>
    </w:p>
    <w:sectPr w:rsidR="009C119F" w:rsidRPr="009C119F" w:rsidSect="00CF36BF">
      <w:footerReference w:type="default" r:id="rId8"/>
      <w:pgSz w:w="11900" w:h="16840" w:code="9"/>
      <w:pgMar w:top="1418" w:right="1418" w:bottom="1418" w:left="1418" w:header="0" w:footer="64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78" w:rsidRDefault="00873F78" w:rsidP="00C40A2B">
      <w:r>
        <w:separator/>
      </w:r>
    </w:p>
  </w:endnote>
  <w:endnote w:type="continuationSeparator" w:id="0">
    <w:p w:rsidR="00873F78" w:rsidRDefault="00873F78" w:rsidP="00C4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0954"/>
      <w:docPartObj>
        <w:docPartGallery w:val="Page Numbers (Bottom of Page)"/>
        <w:docPartUnique/>
      </w:docPartObj>
    </w:sdtPr>
    <w:sdtEndPr/>
    <w:sdtContent>
      <w:p w:rsidR="00CF36BF" w:rsidRDefault="00873F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F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78" w:rsidRDefault="00873F78"/>
  </w:footnote>
  <w:footnote w:type="continuationSeparator" w:id="0">
    <w:p w:rsidR="00873F78" w:rsidRDefault="00873F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54E2E"/>
    <w:multiLevelType w:val="multilevel"/>
    <w:tmpl w:val="E6866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0A2B"/>
    <w:rsid w:val="00173FB6"/>
    <w:rsid w:val="002F4BBE"/>
    <w:rsid w:val="00342962"/>
    <w:rsid w:val="003A190B"/>
    <w:rsid w:val="003B0A6D"/>
    <w:rsid w:val="00404A0D"/>
    <w:rsid w:val="00466FB4"/>
    <w:rsid w:val="005151A3"/>
    <w:rsid w:val="00571242"/>
    <w:rsid w:val="00594EB0"/>
    <w:rsid w:val="006746EF"/>
    <w:rsid w:val="006D74A8"/>
    <w:rsid w:val="00720F3D"/>
    <w:rsid w:val="0072150D"/>
    <w:rsid w:val="00873F78"/>
    <w:rsid w:val="00896F56"/>
    <w:rsid w:val="008E3E76"/>
    <w:rsid w:val="0092434F"/>
    <w:rsid w:val="00943C4F"/>
    <w:rsid w:val="0098141A"/>
    <w:rsid w:val="0099055C"/>
    <w:rsid w:val="009C119F"/>
    <w:rsid w:val="009C28C3"/>
    <w:rsid w:val="00A84D6C"/>
    <w:rsid w:val="00B54858"/>
    <w:rsid w:val="00C40A2B"/>
    <w:rsid w:val="00C706C0"/>
    <w:rsid w:val="00CF36BF"/>
    <w:rsid w:val="00D07734"/>
    <w:rsid w:val="00D61EA0"/>
    <w:rsid w:val="00DC40C0"/>
    <w:rsid w:val="00EB143E"/>
    <w:rsid w:val="00EC44D6"/>
    <w:rsid w:val="00EF60E3"/>
    <w:rsid w:val="00F6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0A2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0A2B"/>
    <w:rPr>
      <w:color w:val="0066CC"/>
      <w:u w:val="single"/>
    </w:rPr>
  </w:style>
  <w:style w:type="character" w:customStyle="1" w:styleId="7">
    <w:name w:val="Основной текст (7)_"/>
    <w:basedOn w:val="DefaultParagraphFont"/>
    <w:link w:val="70"/>
    <w:rsid w:val="00C40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5">
    <w:name w:val="Заголовок №1 (5)_"/>
    <w:basedOn w:val="DefaultParagraphFont"/>
    <w:link w:val="150"/>
    <w:rsid w:val="00C40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74pt">
    <w:name w:val="Основной текст (7) + Интервал 4 pt"/>
    <w:basedOn w:val="7"/>
    <w:rsid w:val="00C40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">
    <w:name w:val="Основной текст (2)_"/>
    <w:basedOn w:val="DefaultParagraphFont"/>
    <w:link w:val="20"/>
    <w:rsid w:val="00C40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Tahoma14pt">
    <w:name w:val="Основной текст (2) + Tahoma;14 pt"/>
    <w:basedOn w:val="2"/>
    <w:rsid w:val="00C40A2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Tahoma13pt">
    <w:name w:val="Основной текст (2) + Tahoma;13 pt"/>
    <w:basedOn w:val="2"/>
    <w:rsid w:val="00C40A2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22pt">
    <w:name w:val="Основной текст (2) + Полужирный;Интервал 2 pt"/>
    <w:basedOn w:val="2"/>
    <w:rsid w:val="00C40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1">
    <w:name w:val="Основной текст (2) + Полужирный"/>
    <w:basedOn w:val="2"/>
    <w:rsid w:val="00C40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72pt">
    <w:name w:val="Основной текст (7) + Интервал 2 pt"/>
    <w:basedOn w:val="7"/>
    <w:rsid w:val="00C40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70">
    <w:name w:val="Основной текст (7)"/>
    <w:basedOn w:val="Normal"/>
    <w:link w:val="7"/>
    <w:rsid w:val="00C40A2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50">
    <w:name w:val="Заголовок №1 (5)"/>
    <w:basedOn w:val="Normal"/>
    <w:link w:val="15"/>
    <w:rsid w:val="00C40A2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Normal"/>
    <w:link w:val="2"/>
    <w:rsid w:val="00C40A2B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3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36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6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36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6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Lusine Khazarian</cp:lastModifiedBy>
  <cp:revision>10</cp:revision>
  <dcterms:created xsi:type="dcterms:W3CDTF">2018-05-10T13:21:00Z</dcterms:created>
  <dcterms:modified xsi:type="dcterms:W3CDTF">2018-10-27T11:00:00Z</dcterms:modified>
</cp:coreProperties>
</file>