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467" w:rsidRPr="00D924A1" w:rsidRDefault="008279EE" w:rsidP="00DA5BCC">
      <w:pPr>
        <w:pStyle w:val="Bodytext20"/>
        <w:shd w:val="clear" w:color="auto" w:fill="auto"/>
        <w:spacing w:before="0" w:after="160" w:line="360" w:lineRule="auto"/>
        <w:ind w:left="5670"/>
        <w:jc w:val="center"/>
        <w:rPr>
          <w:rFonts w:ascii="Sylfaen" w:hAnsi="Sylfaen"/>
          <w:sz w:val="24"/>
          <w:szCs w:val="24"/>
        </w:rPr>
      </w:pPr>
      <w:bookmarkStart w:id="0" w:name="_GoBack"/>
      <w:bookmarkEnd w:id="0"/>
      <w:r w:rsidRPr="00D924A1">
        <w:rPr>
          <w:rStyle w:val="Headerorfooter"/>
          <w:rFonts w:ascii="Sylfaen" w:hAnsi="Sylfaen"/>
          <w:sz w:val="24"/>
          <w:szCs w:val="24"/>
        </w:rPr>
        <w:t>ՀԱՎԵԼՎԱԾ</w:t>
      </w:r>
    </w:p>
    <w:p w:rsidR="00486467" w:rsidRPr="00D924A1" w:rsidRDefault="008279EE" w:rsidP="00DA5BCC">
      <w:pPr>
        <w:pStyle w:val="Bodytext20"/>
        <w:shd w:val="clear" w:color="auto" w:fill="auto"/>
        <w:spacing w:before="0" w:after="160" w:line="360" w:lineRule="auto"/>
        <w:ind w:left="5670"/>
        <w:jc w:val="center"/>
        <w:rPr>
          <w:rFonts w:ascii="Sylfaen" w:hAnsi="Sylfaen"/>
          <w:sz w:val="24"/>
          <w:szCs w:val="24"/>
        </w:rPr>
      </w:pPr>
      <w:r w:rsidRPr="00D924A1">
        <w:rPr>
          <w:rFonts w:ascii="Sylfaen" w:hAnsi="Sylfaen"/>
          <w:sz w:val="24"/>
          <w:szCs w:val="24"/>
        </w:rPr>
        <w:t>Եվրասիական տնտեսական հանձնաժողովի կոլեգիայի</w:t>
      </w:r>
      <w:r w:rsidR="00DA5BCC" w:rsidRPr="00D924A1">
        <w:rPr>
          <w:rFonts w:ascii="Sylfaen" w:hAnsi="Sylfaen"/>
          <w:sz w:val="24"/>
          <w:szCs w:val="24"/>
        </w:rPr>
        <w:t xml:space="preserve"> </w:t>
      </w:r>
      <w:r w:rsidRPr="00D924A1">
        <w:rPr>
          <w:rFonts w:ascii="Sylfaen" w:hAnsi="Sylfaen"/>
          <w:sz w:val="24"/>
          <w:szCs w:val="24"/>
        </w:rPr>
        <w:t>2017 թվականի մարտի 21-ի թիվ 8 հանձնարարականի</w:t>
      </w:r>
    </w:p>
    <w:p w:rsidR="00BB20DE" w:rsidRPr="00D924A1" w:rsidRDefault="00BB20DE" w:rsidP="001502CF">
      <w:pPr>
        <w:pStyle w:val="Heading20"/>
        <w:shd w:val="clear" w:color="auto" w:fill="auto"/>
        <w:spacing w:before="0" w:after="160" w:line="360" w:lineRule="auto"/>
        <w:outlineLvl w:val="9"/>
        <w:rPr>
          <w:rStyle w:val="Heading2Spacing2pt"/>
          <w:rFonts w:ascii="Sylfaen" w:hAnsi="Sylfaen"/>
          <w:b/>
          <w:bCs/>
          <w:spacing w:val="0"/>
          <w:sz w:val="24"/>
          <w:szCs w:val="24"/>
        </w:rPr>
      </w:pPr>
      <w:bookmarkStart w:id="1" w:name="bookmark1"/>
    </w:p>
    <w:p w:rsidR="00486467" w:rsidRPr="00D924A1" w:rsidRDefault="008279EE" w:rsidP="00DA5BCC">
      <w:pPr>
        <w:pStyle w:val="Heading20"/>
        <w:shd w:val="clear" w:color="auto" w:fill="auto"/>
        <w:spacing w:before="0" w:after="160" w:line="360" w:lineRule="auto"/>
        <w:ind w:right="566"/>
        <w:outlineLvl w:val="9"/>
        <w:rPr>
          <w:rFonts w:ascii="Sylfaen" w:hAnsi="Sylfaen"/>
          <w:sz w:val="24"/>
          <w:szCs w:val="24"/>
        </w:rPr>
      </w:pPr>
      <w:r w:rsidRPr="00D924A1">
        <w:rPr>
          <w:rStyle w:val="Heading2Spacing2pt"/>
          <w:rFonts w:ascii="Sylfaen" w:hAnsi="Sylfaen"/>
          <w:b/>
          <w:spacing w:val="0"/>
          <w:sz w:val="24"/>
          <w:szCs w:val="24"/>
        </w:rPr>
        <w:t>ՈՒՂԵՑՈՒՅՑ</w:t>
      </w:r>
      <w:bookmarkEnd w:id="1"/>
    </w:p>
    <w:p w:rsidR="00486467" w:rsidRPr="00D924A1" w:rsidRDefault="008279EE" w:rsidP="00DA5BCC">
      <w:pPr>
        <w:pStyle w:val="Bodytext30"/>
        <w:shd w:val="clear" w:color="auto" w:fill="auto"/>
        <w:spacing w:after="160" w:line="360" w:lineRule="auto"/>
        <w:ind w:right="566"/>
        <w:rPr>
          <w:rFonts w:ascii="Sylfaen" w:hAnsi="Sylfaen"/>
          <w:sz w:val="24"/>
          <w:szCs w:val="24"/>
        </w:rPr>
      </w:pPr>
      <w:r w:rsidRPr="00D924A1">
        <w:rPr>
          <w:rFonts w:ascii="Sylfaen" w:hAnsi="Sylfaen"/>
          <w:sz w:val="24"/>
          <w:szCs w:val="24"/>
        </w:rPr>
        <w:t xml:space="preserve">Եվրասիական տնտեսական միության անդամ պետությունների լիազորված մարմինների </w:t>
      </w:r>
      <w:r w:rsidR="001502CF" w:rsidRPr="00D924A1">
        <w:rPr>
          <w:rFonts w:ascii="Sylfaen" w:hAnsi="Sylfaen"/>
          <w:sz w:val="24"/>
          <w:szCs w:val="24"/>
        </w:rPr>
        <w:t>եւ</w:t>
      </w:r>
      <w:r w:rsidRPr="00D924A1">
        <w:rPr>
          <w:rFonts w:ascii="Sylfaen" w:hAnsi="Sylfaen"/>
          <w:sz w:val="24"/>
          <w:szCs w:val="24"/>
        </w:rPr>
        <w:t xml:space="preserve"> Եվրասիական տնտեսական հանձնաժողովի միջ</w:t>
      </w:r>
      <w:r w:rsidR="001502CF" w:rsidRPr="00D924A1">
        <w:rPr>
          <w:rFonts w:ascii="Sylfaen" w:hAnsi="Sylfaen"/>
          <w:sz w:val="24"/>
          <w:szCs w:val="24"/>
        </w:rPr>
        <w:t>եւ</w:t>
      </w:r>
      <w:r w:rsidRPr="00D924A1">
        <w:rPr>
          <w:rFonts w:ascii="Sylfaen" w:hAnsi="Sylfaen"/>
          <w:sz w:val="24"/>
          <w:szCs w:val="24"/>
        </w:rPr>
        <w:t>՝ Առ</w:t>
      </w:r>
      <w:r w:rsidR="001502CF" w:rsidRPr="00D924A1">
        <w:rPr>
          <w:rFonts w:ascii="Sylfaen" w:hAnsi="Sylfaen"/>
          <w:sz w:val="24"/>
          <w:szCs w:val="24"/>
        </w:rPr>
        <w:t>եւ</w:t>
      </w:r>
      <w:r w:rsidRPr="00D924A1">
        <w:rPr>
          <w:rFonts w:ascii="Sylfaen" w:hAnsi="Sylfaen"/>
          <w:sz w:val="24"/>
          <w:szCs w:val="24"/>
        </w:rPr>
        <w:t>տրի համաշխարհային կազմակերպություն ներկայացնելու համար ծանուցումների նախագծերի պատրաստման հարցերով փոխգործակցություն իրականացնելու մասին</w:t>
      </w:r>
    </w:p>
    <w:p w:rsidR="00BB20DE" w:rsidRPr="00D924A1" w:rsidRDefault="00BB20DE" w:rsidP="001502CF">
      <w:pPr>
        <w:pStyle w:val="Bodytext30"/>
        <w:shd w:val="clear" w:color="auto" w:fill="auto"/>
        <w:spacing w:after="160" w:line="360" w:lineRule="auto"/>
        <w:rPr>
          <w:rFonts w:ascii="Sylfaen" w:hAnsi="Sylfaen"/>
          <w:sz w:val="24"/>
          <w:szCs w:val="24"/>
        </w:rPr>
      </w:pPr>
    </w:p>
    <w:p w:rsidR="00486467" w:rsidRPr="00D924A1" w:rsidRDefault="00DA5BCC" w:rsidP="00DA5BCC">
      <w:pPr>
        <w:pStyle w:val="Bodytext20"/>
        <w:shd w:val="clear" w:color="auto" w:fill="auto"/>
        <w:tabs>
          <w:tab w:val="left" w:pos="1134"/>
        </w:tabs>
        <w:spacing w:before="0" w:after="160" w:line="372" w:lineRule="auto"/>
        <w:ind w:right="-6" w:firstLine="567"/>
        <w:rPr>
          <w:rFonts w:ascii="Sylfaen" w:hAnsi="Sylfaen"/>
          <w:sz w:val="24"/>
          <w:szCs w:val="24"/>
        </w:rPr>
      </w:pPr>
      <w:r w:rsidRPr="00D924A1">
        <w:rPr>
          <w:rFonts w:ascii="Sylfaen" w:hAnsi="Sylfaen"/>
          <w:sz w:val="24"/>
          <w:szCs w:val="24"/>
        </w:rPr>
        <w:t>1.</w:t>
      </w:r>
      <w:r w:rsidRPr="00D924A1">
        <w:rPr>
          <w:rFonts w:ascii="Sylfaen" w:hAnsi="Sylfaen"/>
          <w:sz w:val="24"/>
          <w:szCs w:val="24"/>
        </w:rPr>
        <w:tab/>
      </w:r>
      <w:r w:rsidR="00FD667B" w:rsidRPr="00D924A1">
        <w:rPr>
          <w:rFonts w:ascii="Sylfaen" w:hAnsi="Sylfaen"/>
          <w:sz w:val="24"/>
          <w:szCs w:val="24"/>
        </w:rPr>
        <w:t xml:space="preserve">Սույն </w:t>
      </w:r>
      <w:r w:rsidR="00C3183C" w:rsidRPr="00D924A1">
        <w:rPr>
          <w:rFonts w:ascii="Sylfaen" w:hAnsi="Sylfaen"/>
          <w:sz w:val="24"/>
          <w:szCs w:val="24"/>
        </w:rPr>
        <w:t>ու</w:t>
      </w:r>
      <w:r w:rsidR="00FD667B" w:rsidRPr="00D924A1">
        <w:rPr>
          <w:rFonts w:ascii="Sylfaen" w:hAnsi="Sylfaen"/>
          <w:sz w:val="24"/>
          <w:szCs w:val="24"/>
        </w:rPr>
        <w:t>ղեցույցով սահմանվում է Եվրասիական տնտեսական միության շրջանակներում ձեռնարկվող</w:t>
      </w:r>
      <w:r w:rsidR="00730DB6" w:rsidRPr="00D924A1">
        <w:rPr>
          <w:rFonts w:ascii="Sylfaen" w:hAnsi="Sylfaen"/>
          <w:sz w:val="24"/>
          <w:szCs w:val="24"/>
        </w:rPr>
        <w:t>՝</w:t>
      </w:r>
      <w:r w:rsidR="00FD667B" w:rsidRPr="00D924A1">
        <w:rPr>
          <w:rFonts w:ascii="Sylfaen" w:hAnsi="Sylfaen"/>
          <w:sz w:val="24"/>
          <w:szCs w:val="24"/>
        </w:rPr>
        <w:t xml:space="preserve"> կարգավորման միջոցների մասին ծանուցումների նախագծերի պատրաստման (այսուհետ համապատասխանաբար՝ Միություն, ծանուցումների նախագծեր) </w:t>
      </w:r>
      <w:r w:rsidR="001502CF" w:rsidRPr="00D924A1">
        <w:rPr>
          <w:rFonts w:ascii="Sylfaen" w:hAnsi="Sylfaen"/>
          <w:sz w:val="24"/>
          <w:szCs w:val="24"/>
        </w:rPr>
        <w:t>եւ</w:t>
      </w:r>
      <w:r w:rsidR="00FD667B" w:rsidRPr="00D924A1">
        <w:rPr>
          <w:rFonts w:ascii="Sylfaen" w:hAnsi="Sylfaen"/>
          <w:sz w:val="24"/>
          <w:szCs w:val="24"/>
        </w:rPr>
        <w:t xml:space="preserve"> դրանց պատրաստման հարցերով Միության անդամ պետությունների լիազորված մարմինների (այսուհետ համապատասխանաբար՝ անդամ պետություններ, լիազորված մարմիններ) ու Եվրասիական տնտեսական հանձնաժողովի (այսուհետ՝ Հանձնաժողով) միջ</w:t>
      </w:r>
      <w:r w:rsidR="001502CF" w:rsidRPr="00D924A1">
        <w:rPr>
          <w:rFonts w:ascii="Sylfaen" w:hAnsi="Sylfaen"/>
          <w:sz w:val="24"/>
          <w:szCs w:val="24"/>
        </w:rPr>
        <w:t>եւ</w:t>
      </w:r>
      <w:r w:rsidR="00FD667B" w:rsidRPr="00D924A1">
        <w:rPr>
          <w:rFonts w:ascii="Sylfaen" w:hAnsi="Sylfaen"/>
          <w:sz w:val="24"/>
          <w:szCs w:val="24"/>
        </w:rPr>
        <w:t xml:space="preserve"> փոխգործակցության իրականացման մեխանիզմը։</w:t>
      </w:r>
    </w:p>
    <w:p w:rsidR="00486467" w:rsidRPr="00D924A1" w:rsidRDefault="00DA5BCC" w:rsidP="00DA5BCC">
      <w:pPr>
        <w:pStyle w:val="Bodytext20"/>
        <w:shd w:val="clear" w:color="auto" w:fill="auto"/>
        <w:tabs>
          <w:tab w:val="left" w:pos="1134"/>
        </w:tabs>
        <w:spacing w:before="0" w:after="160" w:line="372" w:lineRule="auto"/>
        <w:ind w:right="-6" w:firstLine="567"/>
        <w:rPr>
          <w:rFonts w:ascii="Sylfaen" w:hAnsi="Sylfaen"/>
          <w:sz w:val="24"/>
          <w:szCs w:val="24"/>
        </w:rPr>
      </w:pPr>
      <w:r w:rsidRPr="00D924A1">
        <w:rPr>
          <w:rFonts w:ascii="Sylfaen" w:hAnsi="Sylfaen"/>
          <w:sz w:val="24"/>
          <w:szCs w:val="24"/>
        </w:rPr>
        <w:t>2.</w:t>
      </w:r>
      <w:r w:rsidRPr="00D924A1">
        <w:rPr>
          <w:rFonts w:ascii="Sylfaen" w:hAnsi="Sylfaen"/>
          <w:sz w:val="24"/>
          <w:szCs w:val="24"/>
        </w:rPr>
        <w:tab/>
      </w:r>
      <w:r w:rsidR="00FD667B" w:rsidRPr="00D924A1">
        <w:rPr>
          <w:rFonts w:ascii="Sylfaen" w:hAnsi="Sylfaen"/>
          <w:sz w:val="24"/>
          <w:szCs w:val="24"/>
        </w:rPr>
        <w:t xml:space="preserve">Սույն </w:t>
      </w:r>
      <w:r w:rsidR="00C3183C" w:rsidRPr="00D924A1">
        <w:rPr>
          <w:rFonts w:ascii="Sylfaen" w:hAnsi="Sylfaen"/>
          <w:sz w:val="24"/>
          <w:szCs w:val="24"/>
        </w:rPr>
        <w:t>ու</w:t>
      </w:r>
      <w:r w:rsidR="00FD667B" w:rsidRPr="00D924A1">
        <w:rPr>
          <w:rFonts w:ascii="Sylfaen" w:hAnsi="Sylfaen"/>
          <w:sz w:val="24"/>
          <w:szCs w:val="24"/>
        </w:rPr>
        <w:t xml:space="preserve">ղեցույցն ուղղված է լիազորված մարմինների </w:t>
      </w:r>
      <w:r w:rsidR="001502CF" w:rsidRPr="00D924A1">
        <w:rPr>
          <w:rFonts w:ascii="Sylfaen" w:hAnsi="Sylfaen"/>
          <w:sz w:val="24"/>
          <w:szCs w:val="24"/>
        </w:rPr>
        <w:t>եւ</w:t>
      </w:r>
      <w:r w:rsidR="00FD667B" w:rsidRPr="00D924A1">
        <w:rPr>
          <w:rFonts w:ascii="Sylfaen" w:hAnsi="Sylfaen"/>
          <w:sz w:val="24"/>
          <w:szCs w:val="24"/>
        </w:rPr>
        <w:t xml:space="preserve"> Հանձնաժողովի միջ</w:t>
      </w:r>
      <w:r w:rsidR="001502CF" w:rsidRPr="00D924A1">
        <w:rPr>
          <w:rFonts w:ascii="Sylfaen" w:hAnsi="Sylfaen"/>
          <w:sz w:val="24"/>
          <w:szCs w:val="24"/>
        </w:rPr>
        <w:t>եւ</w:t>
      </w:r>
      <w:r w:rsidR="00FD667B" w:rsidRPr="00D924A1">
        <w:rPr>
          <w:rFonts w:ascii="Sylfaen" w:hAnsi="Sylfaen"/>
          <w:sz w:val="24"/>
          <w:szCs w:val="24"/>
        </w:rPr>
        <w:t xml:space="preserve"> օպերատիվ տեղեկատվական փոխանակման ու հավելվածով նախատեսված ցանկին համապատասխան ծանուցումներ</w:t>
      </w:r>
      <w:r w:rsidR="00DC355D" w:rsidRPr="00D924A1">
        <w:rPr>
          <w:rFonts w:ascii="Sylfaen" w:hAnsi="Sylfaen"/>
          <w:sz w:val="24"/>
          <w:szCs w:val="24"/>
        </w:rPr>
        <w:t>ն</w:t>
      </w:r>
      <w:r w:rsidR="00FD667B" w:rsidRPr="00D924A1">
        <w:rPr>
          <w:rFonts w:ascii="Sylfaen" w:hAnsi="Sylfaen"/>
          <w:sz w:val="24"/>
          <w:szCs w:val="24"/>
        </w:rPr>
        <w:t xml:space="preserve"> </w:t>
      </w:r>
      <w:r w:rsidR="00F13F94" w:rsidRPr="00D924A1">
        <w:rPr>
          <w:rFonts w:ascii="Sylfaen" w:hAnsi="Sylfaen"/>
          <w:sz w:val="24"/>
          <w:szCs w:val="24"/>
        </w:rPr>
        <w:t>ԱՀԿ-ի անդամ հա</w:t>
      </w:r>
      <w:r w:rsidR="006E6845" w:rsidRPr="00D924A1">
        <w:rPr>
          <w:rFonts w:ascii="Sylfaen" w:hAnsi="Sylfaen"/>
          <w:sz w:val="24"/>
          <w:szCs w:val="24"/>
        </w:rPr>
        <w:t>նդիսաց</w:t>
      </w:r>
      <w:r w:rsidR="00F13F94" w:rsidRPr="00D924A1">
        <w:rPr>
          <w:rFonts w:ascii="Sylfaen" w:hAnsi="Sylfaen"/>
          <w:sz w:val="24"/>
          <w:szCs w:val="24"/>
        </w:rPr>
        <w:t xml:space="preserve">ող անդամ պետությունների կողմից </w:t>
      </w:r>
      <w:r w:rsidR="00FD667B" w:rsidRPr="00D924A1">
        <w:rPr>
          <w:rFonts w:ascii="Sylfaen" w:hAnsi="Sylfaen"/>
          <w:sz w:val="24"/>
          <w:szCs w:val="24"/>
        </w:rPr>
        <w:t>Առ</w:t>
      </w:r>
      <w:r w:rsidR="001502CF" w:rsidRPr="00D924A1">
        <w:rPr>
          <w:rFonts w:ascii="Sylfaen" w:hAnsi="Sylfaen"/>
          <w:sz w:val="24"/>
          <w:szCs w:val="24"/>
        </w:rPr>
        <w:t>եւ</w:t>
      </w:r>
      <w:r w:rsidR="00FD667B" w:rsidRPr="00D924A1">
        <w:rPr>
          <w:rFonts w:ascii="Sylfaen" w:hAnsi="Sylfaen"/>
          <w:sz w:val="24"/>
          <w:szCs w:val="24"/>
        </w:rPr>
        <w:t>տրի համաշխարհային կազմակերպությ</w:t>
      </w:r>
      <w:r w:rsidR="008463DC" w:rsidRPr="00D924A1">
        <w:rPr>
          <w:rFonts w:ascii="Sylfaen" w:hAnsi="Sylfaen"/>
          <w:sz w:val="24"/>
          <w:szCs w:val="24"/>
        </w:rPr>
        <w:t>ու</w:t>
      </w:r>
      <w:r w:rsidR="00FD667B" w:rsidRPr="00D924A1">
        <w:rPr>
          <w:rFonts w:ascii="Sylfaen" w:hAnsi="Sylfaen"/>
          <w:sz w:val="24"/>
          <w:szCs w:val="24"/>
        </w:rPr>
        <w:t>ն (ԱՀԿ) ներկայացն</w:t>
      </w:r>
      <w:r w:rsidR="00423947" w:rsidRPr="00D924A1">
        <w:rPr>
          <w:rFonts w:ascii="Sylfaen" w:hAnsi="Sylfaen"/>
          <w:sz w:val="24"/>
          <w:szCs w:val="24"/>
        </w:rPr>
        <w:t>ելու</w:t>
      </w:r>
      <w:r w:rsidR="00FD667B" w:rsidRPr="00D924A1">
        <w:rPr>
          <w:rFonts w:ascii="Sylfaen" w:hAnsi="Sylfaen"/>
          <w:sz w:val="24"/>
          <w:szCs w:val="24"/>
        </w:rPr>
        <w:t xml:space="preserve"> միօրինակության ապահովմանը։</w:t>
      </w:r>
    </w:p>
    <w:p w:rsidR="00486467" w:rsidRPr="00D924A1" w:rsidRDefault="00DA5BCC" w:rsidP="00DA5BCC">
      <w:pPr>
        <w:pStyle w:val="Bodytext20"/>
        <w:shd w:val="clear" w:color="auto" w:fill="auto"/>
        <w:tabs>
          <w:tab w:val="left" w:pos="1134"/>
        </w:tabs>
        <w:spacing w:before="0" w:after="160" w:line="372" w:lineRule="auto"/>
        <w:ind w:right="-6" w:firstLine="567"/>
        <w:rPr>
          <w:rFonts w:ascii="Sylfaen" w:hAnsi="Sylfaen"/>
          <w:sz w:val="24"/>
          <w:szCs w:val="24"/>
        </w:rPr>
      </w:pPr>
      <w:r w:rsidRPr="00D924A1">
        <w:rPr>
          <w:rFonts w:ascii="Sylfaen" w:hAnsi="Sylfaen"/>
          <w:sz w:val="24"/>
          <w:szCs w:val="24"/>
        </w:rPr>
        <w:lastRenderedPageBreak/>
        <w:t>3.</w:t>
      </w:r>
      <w:r w:rsidRPr="00D924A1">
        <w:rPr>
          <w:rFonts w:ascii="Sylfaen" w:hAnsi="Sylfaen"/>
          <w:sz w:val="24"/>
          <w:szCs w:val="24"/>
        </w:rPr>
        <w:tab/>
      </w:r>
      <w:r w:rsidR="00FD667B" w:rsidRPr="00D924A1">
        <w:rPr>
          <w:rFonts w:ascii="Sylfaen" w:hAnsi="Sylfaen"/>
          <w:sz w:val="24"/>
          <w:szCs w:val="24"/>
        </w:rPr>
        <w:t xml:space="preserve">Փոխգործակցությունն իրականացվում է լիազորված մարմինների կողմից որպես ԱՀԿ-ի հետ փոխգործակցության համար </w:t>
      </w:r>
      <w:r w:rsidR="005A6089" w:rsidRPr="00D924A1">
        <w:rPr>
          <w:rFonts w:ascii="Sylfaen" w:hAnsi="Sylfaen"/>
          <w:sz w:val="24"/>
          <w:szCs w:val="24"/>
        </w:rPr>
        <w:t xml:space="preserve">որպես </w:t>
      </w:r>
      <w:r w:rsidR="00FD667B" w:rsidRPr="00D924A1">
        <w:rPr>
          <w:rFonts w:ascii="Sylfaen" w:hAnsi="Sylfaen"/>
          <w:sz w:val="24"/>
          <w:szCs w:val="24"/>
        </w:rPr>
        <w:t xml:space="preserve">պատասխանատու սահմանված կառուցվածքային ստորաբաժանումների (այսուհետ՝ լիազորված մարմինների կառուցվածքային ստորաբաժանումներ) </w:t>
      </w:r>
      <w:r w:rsidR="001502CF" w:rsidRPr="00D924A1">
        <w:rPr>
          <w:rFonts w:ascii="Sylfaen" w:hAnsi="Sylfaen"/>
          <w:sz w:val="24"/>
          <w:szCs w:val="24"/>
        </w:rPr>
        <w:t>եւ</w:t>
      </w:r>
      <w:r w:rsidR="00FD667B" w:rsidRPr="00D924A1">
        <w:rPr>
          <w:rFonts w:ascii="Sylfaen" w:hAnsi="Sylfaen"/>
          <w:sz w:val="24"/>
          <w:szCs w:val="24"/>
        </w:rPr>
        <w:t xml:space="preserve"> Հանձնաժողովի՝ ծանուցումների նախագծերի պատրաստման համար պատասխանատու կառուցվածքային ստորաբաժանումների (այսուհետ՝ Հանձնաժողովի կառուցվածքային ստորաբաժանումներ) միջ</w:t>
      </w:r>
      <w:r w:rsidR="001502CF" w:rsidRPr="00D924A1">
        <w:rPr>
          <w:rFonts w:ascii="Sylfaen" w:hAnsi="Sylfaen"/>
          <w:sz w:val="24"/>
          <w:szCs w:val="24"/>
        </w:rPr>
        <w:t>եւ</w:t>
      </w:r>
      <w:r w:rsidR="00FD667B" w:rsidRPr="00D924A1">
        <w:rPr>
          <w:rFonts w:ascii="Sylfaen" w:hAnsi="Sylfaen"/>
          <w:sz w:val="24"/>
          <w:szCs w:val="24"/>
        </w:rPr>
        <w:t>։</w:t>
      </w:r>
    </w:p>
    <w:p w:rsidR="00486467" w:rsidRPr="00D924A1" w:rsidRDefault="00DA5BCC" w:rsidP="00DA5BCC">
      <w:pPr>
        <w:pStyle w:val="Bodytext20"/>
        <w:shd w:val="clear" w:color="auto" w:fill="auto"/>
        <w:tabs>
          <w:tab w:val="left" w:pos="1134"/>
        </w:tabs>
        <w:spacing w:before="0" w:after="160" w:line="360" w:lineRule="auto"/>
        <w:ind w:right="-8" w:firstLine="567"/>
        <w:rPr>
          <w:rFonts w:ascii="Sylfaen" w:hAnsi="Sylfaen"/>
          <w:sz w:val="24"/>
          <w:szCs w:val="24"/>
        </w:rPr>
      </w:pPr>
      <w:r w:rsidRPr="00D924A1">
        <w:rPr>
          <w:rFonts w:ascii="Sylfaen" w:hAnsi="Sylfaen"/>
          <w:sz w:val="24"/>
          <w:szCs w:val="24"/>
        </w:rPr>
        <w:t>4.</w:t>
      </w:r>
      <w:r w:rsidRPr="00D924A1">
        <w:rPr>
          <w:rFonts w:ascii="Sylfaen" w:hAnsi="Sylfaen"/>
          <w:sz w:val="24"/>
          <w:szCs w:val="24"/>
        </w:rPr>
        <w:tab/>
      </w:r>
      <w:r w:rsidR="00FD667B" w:rsidRPr="00D924A1">
        <w:rPr>
          <w:rFonts w:ascii="Sylfaen" w:hAnsi="Sylfaen"/>
          <w:sz w:val="24"/>
          <w:szCs w:val="24"/>
        </w:rPr>
        <w:t xml:space="preserve">Սույն </w:t>
      </w:r>
      <w:r w:rsidR="00C3183C" w:rsidRPr="00D924A1">
        <w:rPr>
          <w:rFonts w:ascii="Sylfaen" w:hAnsi="Sylfaen"/>
          <w:sz w:val="24"/>
          <w:szCs w:val="24"/>
        </w:rPr>
        <w:t>ու</w:t>
      </w:r>
      <w:r w:rsidR="00FD667B" w:rsidRPr="00D924A1">
        <w:rPr>
          <w:rFonts w:ascii="Sylfaen" w:hAnsi="Sylfaen"/>
          <w:sz w:val="24"/>
          <w:szCs w:val="24"/>
        </w:rPr>
        <w:t>ղեցույցի 3-րդ կետում նշված փոխգործակցությունն իրականացվում է էլեկտրոնային եղանակով։</w:t>
      </w:r>
    </w:p>
    <w:p w:rsidR="00486467" w:rsidRPr="00D924A1" w:rsidRDefault="00DA5BCC" w:rsidP="00DA5BCC">
      <w:pPr>
        <w:pStyle w:val="Bodytext20"/>
        <w:shd w:val="clear" w:color="auto" w:fill="auto"/>
        <w:tabs>
          <w:tab w:val="left" w:pos="1134"/>
        </w:tabs>
        <w:spacing w:before="0" w:after="160" w:line="360" w:lineRule="auto"/>
        <w:ind w:right="-8" w:firstLine="567"/>
        <w:rPr>
          <w:rFonts w:ascii="Sylfaen" w:hAnsi="Sylfaen"/>
          <w:sz w:val="24"/>
          <w:szCs w:val="24"/>
        </w:rPr>
      </w:pPr>
      <w:r w:rsidRPr="00D924A1">
        <w:rPr>
          <w:rFonts w:ascii="Sylfaen" w:hAnsi="Sylfaen"/>
          <w:sz w:val="24"/>
          <w:szCs w:val="24"/>
        </w:rPr>
        <w:t>5.</w:t>
      </w:r>
      <w:r w:rsidRPr="00D924A1">
        <w:rPr>
          <w:rFonts w:ascii="Sylfaen" w:hAnsi="Sylfaen"/>
          <w:sz w:val="24"/>
          <w:szCs w:val="24"/>
        </w:rPr>
        <w:tab/>
      </w:r>
      <w:r w:rsidR="00FD667B" w:rsidRPr="00D924A1">
        <w:rPr>
          <w:rFonts w:ascii="Sylfaen" w:hAnsi="Sylfaen"/>
          <w:sz w:val="24"/>
          <w:szCs w:val="24"/>
        </w:rPr>
        <w:t>ԱՀԿ</w:t>
      </w:r>
      <w:r w:rsidR="008C257C" w:rsidRPr="00D924A1">
        <w:rPr>
          <w:rFonts w:ascii="Sylfaen" w:hAnsi="Sylfaen"/>
          <w:sz w:val="24"/>
          <w:szCs w:val="24"/>
        </w:rPr>
        <w:t>-ին</w:t>
      </w:r>
      <w:r w:rsidR="00FD667B" w:rsidRPr="00D924A1">
        <w:rPr>
          <w:rFonts w:ascii="Sylfaen" w:hAnsi="Sylfaen"/>
          <w:sz w:val="24"/>
          <w:szCs w:val="24"/>
        </w:rPr>
        <w:t xml:space="preserve"> ներկայացման ենթակա ծանուցման նախագիծը համապատասխան ակտի (ակտի նախագծի) հակիրճ ամփոփագրի հետ պատրաստվում է Հանձնաժողովի կառուցվածքային ստորաբաժանմ</w:t>
      </w:r>
      <w:r w:rsidR="00DE6282" w:rsidRPr="00D924A1">
        <w:rPr>
          <w:rFonts w:ascii="Sylfaen" w:hAnsi="Sylfaen"/>
          <w:sz w:val="24"/>
          <w:szCs w:val="24"/>
        </w:rPr>
        <w:t>ան</w:t>
      </w:r>
      <w:r w:rsidR="00FD667B" w:rsidRPr="00D924A1">
        <w:rPr>
          <w:rFonts w:ascii="Sylfaen" w:hAnsi="Sylfaen"/>
          <w:sz w:val="24"/>
          <w:szCs w:val="24"/>
        </w:rPr>
        <w:t xml:space="preserve"> կողմից ԱՀԿ</w:t>
      </w:r>
      <w:r w:rsidR="00DE2DB7" w:rsidRPr="00D924A1">
        <w:rPr>
          <w:rFonts w:ascii="Sylfaen" w:hAnsi="Sylfaen"/>
          <w:sz w:val="24"/>
          <w:szCs w:val="24"/>
        </w:rPr>
        <w:t>-ի</w:t>
      </w:r>
      <w:r w:rsidR="00FD667B" w:rsidRPr="00D924A1">
        <w:rPr>
          <w:rFonts w:ascii="Sylfaen" w:hAnsi="Sylfaen"/>
          <w:sz w:val="24"/>
          <w:szCs w:val="24"/>
        </w:rPr>
        <w:t xml:space="preserve"> կանոններին </w:t>
      </w:r>
      <w:r w:rsidR="001502CF" w:rsidRPr="00D924A1">
        <w:rPr>
          <w:rFonts w:ascii="Sylfaen" w:hAnsi="Sylfaen"/>
          <w:sz w:val="24"/>
          <w:szCs w:val="24"/>
        </w:rPr>
        <w:t>եւ</w:t>
      </w:r>
      <w:r w:rsidR="00FD667B" w:rsidRPr="00D924A1">
        <w:rPr>
          <w:rFonts w:ascii="Sylfaen" w:hAnsi="Sylfaen"/>
          <w:sz w:val="24"/>
          <w:szCs w:val="24"/>
        </w:rPr>
        <w:t xml:space="preserve"> պրակտիկային համապատասխանող ձ</w:t>
      </w:r>
      <w:r w:rsidR="001502CF" w:rsidRPr="00D924A1">
        <w:rPr>
          <w:rFonts w:ascii="Sylfaen" w:hAnsi="Sylfaen"/>
          <w:sz w:val="24"/>
          <w:szCs w:val="24"/>
        </w:rPr>
        <w:t>եւ</w:t>
      </w:r>
      <w:r w:rsidR="00FD667B" w:rsidRPr="00D924A1">
        <w:rPr>
          <w:rFonts w:ascii="Sylfaen" w:hAnsi="Sylfaen"/>
          <w:sz w:val="24"/>
          <w:szCs w:val="24"/>
        </w:rPr>
        <w:t xml:space="preserve">աչափով, ռուսերենով ու անգլերենով </w:t>
      </w:r>
      <w:r w:rsidR="001502CF" w:rsidRPr="00D924A1">
        <w:rPr>
          <w:rFonts w:ascii="Sylfaen" w:hAnsi="Sylfaen"/>
          <w:sz w:val="24"/>
          <w:szCs w:val="24"/>
        </w:rPr>
        <w:t>եւ</w:t>
      </w:r>
      <w:r w:rsidR="00FD667B" w:rsidRPr="00D924A1">
        <w:rPr>
          <w:rFonts w:ascii="Sylfaen" w:hAnsi="Sylfaen"/>
          <w:sz w:val="24"/>
          <w:szCs w:val="24"/>
        </w:rPr>
        <w:t xml:space="preserve"> պաշտոնական նամակով ուղարկվում է լիազորված մարմիններ, ինչպես նա</w:t>
      </w:r>
      <w:r w:rsidR="001502CF" w:rsidRPr="00D924A1">
        <w:rPr>
          <w:rFonts w:ascii="Sylfaen" w:hAnsi="Sylfaen"/>
          <w:sz w:val="24"/>
          <w:szCs w:val="24"/>
        </w:rPr>
        <w:t>եւ</w:t>
      </w:r>
      <w:r w:rsidR="00FD667B" w:rsidRPr="00D924A1">
        <w:rPr>
          <w:rFonts w:ascii="Sylfaen" w:hAnsi="Sylfaen"/>
          <w:sz w:val="24"/>
          <w:szCs w:val="24"/>
        </w:rPr>
        <w:t xml:space="preserve"> լիազորված մարմինների կառուցվածքային ստորաբաժանումներ</w:t>
      </w:r>
      <w:r w:rsidR="00C3183C" w:rsidRPr="00D924A1">
        <w:rPr>
          <w:rFonts w:ascii="Sylfaen" w:hAnsi="Sylfaen"/>
          <w:sz w:val="24"/>
          <w:szCs w:val="24"/>
        </w:rPr>
        <w:t>՝</w:t>
      </w:r>
      <w:r w:rsidR="00FD667B" w:rsidRPr="00D924A1">
        <w:rPr>
          <w:rFonts w:ascii="Sylfaen" w:hAnsi="Sylfaen"/>
          <w:sz w:val="24"/>
          <w:szCs w:val="24"/>
        </w:rPr>
        <w:t xml:space="preserve"> էլեկտրոնային եղանակով՝ բացառությամբ սույն կետի երկրորդ պարբերությամբ նախատեսված դեպքի։</w:t>
      </w:r>
    </w:p>
    <w:p w:rsidR="00486467" w:rsidRPr="00D924A1" w:rsidRDefault="008279EE" w:rsidP="001502CF">
      <w:pPr>
        <w:pStyle w:val="Bodytext20"/>
        <w:shd w:val="clear" w:color="auto" w:fill="auto"/>
        <w:spacing w:before="0" w:after="160" w:line="360" w:lineRule="auto"/>
        <w:ind w:right="-8" w:firstLine="567"/>
        <w:rPr>
          <w:rFonts w:ascii="Sylfaen" w:hAnsi="Sylfaen"/>
          <w:sz w:val="24"/>
          <w:szCs w:val="24"/>
        </w:rPr>
      </w:pPr>
      <w:r w:rsidRPr="00D924A1">
        <w:rPr>
          <w:rFonts w:ascii="Sylfaen" w:hAnsi="Sylfaen"/>
          <w:sz w:val="24"/>
          <w:szCs w:val="24"/>
        </w:rPr>
        <w:t xml:space="preserve">Սույն </w:t>
      </w:r>
      <w:r w:rsidR="00C3183C" w:rsidRPr="00D924A1">
        <w:rPr>
          <w:rFonts w:ascii="Sylfaen" w:hAnsi="Sylfaen"/>
          <w:sz w:val="24"/>
          <w:szCs w:val="24"/>
        </w:rPr>
        <w:t>ու</w:t>
      </w:r>
      <w:r w:rsidRPr="00D924A1">
        <w:rPr>
          <w:rFonts w:ascii="Sylfaen" w:hAnsi="Sylfaen"/>
          <w:sz w:val="24"/>
          <w:szCs w:val="24"/>
        </w:rPr>
        <w:t xml:space="preserve">ղեցույցի հավելվածի 13-րդ </w:t>
      </w:r>
      <w:r w:rsidR="001502CF" w:rsidRPr="00D924A1">
        <w:rPr>
          <w:rFonts w:ascii="Sylfaen" w:hAnsi="Sylfaen"/>
          <w:sz w:val="24"/>
          <w:szCs w:val="24"/>
        </w:rPr>
        <w:t>եւ</w:t>
      </w:r>
      <w:r w:rsidRPr="00D924A1">
        <w:rPr>
          <w:rFonts w:ascii="Sylfaen" w:hAnsi="Sylfaen"/>
          <w:sz w:val="24"/>
          <w:szCs w:val="24"/>
        </w:rPr>
        <w:t xml:space="preserve"> 23-27-րդ կետերում նշված ծանուցումների համար Հանձնաժողովի կառուցվածքային ստորաբաժանումը ռուսերենով պատրաստում </w:t>
      </w:r>
      <w:r w:rsidR="005667B7" w:rsidRPr="00D924A1">
        <w:rPr>
          <w:rFonts w:ascii="Sylfaen" w:hAnsi="Sylfaen"/>
          <w:sz w:val="24"/>
          <w:szCs w:val="24"/>
        </w:rPr>
        <w:t>է</w:t>
      </w:r>
      <w:r w:rsidRPr="00D924A1">
        <w:rPr>
          <w:rFonts w:ascii="Sylfaen" w:hAnsi="Sylfaen"/>
          <w:sz w:val="24"/>
          <w:szCs w:val="24"/>
        </w:rPr>
        <w:t xml:space="preserve"> բազային տեղեկություններ։ Նշված բազային տեղեկությունները Հանձնաժողովի կողմից թարգմանվում են անգլերեն (բացառությամբ սույն </w:t>
      </w:r>
      <w:r w:rsidR="00C3183C" w:rsidRPr="00D924A1">
        <w:rPr>
          <w:rFonts w:ascii="Sylfaen" w:hAnsi="Sylfaen"/>
          <w:sz w:val="24"/>
          <w:szCs w:val="24"/>
        </w:rPr>
        <w:t>ու</w:t>
      </w:r>
      <w:r w:rsidRPr="00D924A1">
        <w:rPr>
          <w:rFonts w:ascii="Sylfaen" w:hAnsi="Sylfaen"/>
          <w:sz w:val="24"/>
          <w:szCs w:val="24"/>
        </w:rPr>
        <w:t xml:space="preserve">ղեցույցի հավելվածի 27-րդ կետում նշված ծանուցումների համար պատրաստված </w:t>
      </w:r>
      <w:r w:rsidR="001D1FBD" w:rsidRPr="00D924A1">
        <w:rPr>
          <w:rFonts w:ascii="Sylfaen" w:hAnsi="Sylfaen"/>
          <w:sz w:val="24"/>
          <w:szCs w:val="24"/>
        </w:rPr>
        <w:t xml:space="preserve">այն </w:t>
      </w:r>
      <w:r w:rsidRPr="00D924A1">
        <w:rPr>
          <w:rFonts w:ascii="Sylfaen" w:hAnsi="Sylfaen"/>
          <w:sz w:val="24"/>
          <w:szCs w:val="24"/>
        </w:rPr>
        <w:t>բազային տեղեկությունների, որոնք Հանձնաժողովի կողմից թարգմանվում են անգելերեն</w:t>
      </w:r>
      <w:r w:rsidR="00C3183C" w:rsidRPr="00D924A1">
        <w:rPr>
          <w:rFonts w:ascii="Sylfaen" w:hAnsi="Sylfaen"/>
          <w:sz w:val="24"/>
          <w:szCs w:val="24"/>
        </w:rPr>
        <w:t>՝</w:t>
      </w:r>
      <w:r w:rsidR="00D6297B" w:rsidRPr="00D924A1">
        <w:rPr>
          <w:rFonts w:ascii="Sylfaen" w:hAnsi="Sylfaen"/>
          <w:sz w:val="24"/>
          <w:szCs w:val="24"/>
        </w:rPr>
        <w:t xml:space="preserve"> ըստ հնարավորին</w:t>
      </w:r>
      <w:r w:rsidRPr="00D924A1">
        <w:rPr>
          <w:rFonts w:ascii="Sylfaen" w:hAnsi="Sylfaen"/>
          <w:sz w:val="24"/>
          <w:szCs w:val="24"/>
        </w:rPr>
        <w:t xml:space="preserve">) </w:t>
      </w:r>
      <w:r w:rsidR="001502CF" w:rsidRPr="00D924A1">
        <w:rPr>
          <w:rFonts w:ascii="Sylfaen" w:hAnsi="Sylfaen"/>
          <w:sz w:val="24"/>
          <w:szCs w:val="24"/>
        </w:rPr>
        <w:t>եւ</w:t>
      </w:r>
      <w:r w:rsidRPr="00D924A1">
        <w:rPr>
          <w:rFonts w:ascii="Sylfaen" w:hAnsi="Sylfaen"/>
          <w:sz w:val="24"/>
          <w:szCs w:val="24"/>
        </w:rPr>
        <w:t xml:space="preserve"> պաշտոնական նամակով ուղարկվում են լիազորված մարմիններ, ինչպես նա</w:t>
      </w:r>
      <w:r w:rsidR="001502CF" w:rsidRPr="00D924A1">
        <w:rPr>
          <w:rFonts w:ascii="Sylfaen" w:hAnsi="Sylfaen"/>
          <w:sz w:val="24"/>
          <w:szCs w:val="24"/>
        </w:rPr>
        <w:t>եւ</w:t>
      </w:r>
      <w:r w:rsidRPr="00D924A1">
        <w:rPr>
          <w:rFonts w:ascii="Sylfaen" w:hAnsi="Sylfaen"/>
          <w:sz w:val="24"/>
          <w:szCs w:val="24"/>
        </w:rPr>
        <w:t xml:space="preserve"> լիազորված մարմինների կառուցվածքային ստորաբաժանումներ</w:t>
      </w:r>
      <w:r w:rsidR="00C3183C" w:rsidRPr="00D924A1">
        <w:rPr>
          <w:rFonts w:ascii="Sylfaen" w:hAnsi="Sylfaen"/>
          <w:sz w:val="24"/>
          <w:szCs w:val="24"/>
        </w:rPr>
        <w:t>՝</w:t>
      </w:r>
      <w:r w:rsidRPr="00D924A1">
        <w:rPr>
          <w:rFonts w:ascii="Sylfaen" w:hAnsi="Sylfaen"/>
          <w:sz w:val="24"/>
          <w:szCs w:val="24"/>
        </w:rPr>
        <w:t xml:space="preserve"> էլեկտրոնային եղանակով՝ ծանուցումն ԱՀԿ ուղարկելու նպատակով անդամ պետությունների կողմից այն պատրաստելու համար։</w:t>
      </w:r>
    </w:p>
    <w:p w:rsidR="00486467" w:rsidRPr="00D924A1" w:rsidRDefault="00DA5BCC" w:rsidP="00DA5BCC">
      <w:pPr>
        <w:pStyle w:val="Bodytext20"/>
        <w:shd w:val="clear" w:color="auto" w:fill="auto"/>
        <w:tabs>
          <w:tab w:val="left" w:pos="1134"/>
        </w:tabs>
        <w:spacing w:before="0" w:after="160" w:line="341" w:lineRule="auto"/>
        <w:ind w:right="-8" w:firstLine="567"/>
        <w:rPr>
          <w:rFonts w:ascii="Sylfaen" w:hAnsi="Sylfaen"/>
          <w:sz w:val="24"/>
          <w:szCs w:val="24"/>
        </w:rPr>
      </w:pPr>
      <w:r w:rsidRPr="00D924A1">
        <w:rPr>
          <w:rFonts w:ascii="Sylfaen" w:hAnsi="Sylfaen"/>
          <w:sz w:val="24"/>
          <w:szCs w:val="24"/>
        </w:rPr>
        <w:lastRenderedPageBreak/>
        <w:t>6.</w:t>
      </w:r>
      <w:r w:rsidRPr="00D924A1">
        <w:rPr>
          <w:rFonts w:ascii="Sylfaen" w:hAnsi="Sylfaen"/>
          <w:sz w:val="24"/>
          <w:szCs w:val="24"/>
        </w:rPr>
        <w:tab/>
      </w:r>
      <w:r w:rsidR="00FD667B" w:rsidRPr="00D924A1">
        <w:rPr>
          <w:rFonts w:ascii="Sylfaen" w:hAnsi="Sylfaen"/>
          <w:sz w:val="24"/>
          <w:szCs w:val="24"/>
        </w:rPr>
        <w:t>Ծանուցումների նախագծերի պատրաստումն իրականացվում է Հանձնաժողովի կառուցվածքային ստորաբաժանմ</w:t>
      </w:r>
      <w:r w:rsidR="007B2B03" w:rsidRPr="00D924A1">
        <w:rPr>
          <w:rFonts w:ascii="Sylfaen" w:hAnsi="Sylfaen"/>
          <w:sz w:val="24"/>
          <w:szCs w:val="24"/>
        </w:rPr>
        <w:t>ա</w:t>
      </w:r>
      <w:r w:rsidR="00FD667B" w:rsidRPr="00D924A1">
        <w:rPr>
          <w:rFonts w:ascii="Sylfaen" w:hAnsi="Sylfaen"/>
          <w:sz w:val="24"/>
          <w:szCs w:val="24"/>
        </w:rPr>
        <w:t xml:space="preserve">ն կողմից՝ հաշվի առնելով սույն </w:t>
      </w:r>
      <w:r w:rsidR="00C3183C" w:rsidRPr="00D924A1">
        <w:rPr>
          <w:rFonts w:ascii="Sylfaen" w:hAnsi="Sylfaen"/>
          <w:sz w:val="24"/>
          <w:szCs w:val="24"/>
        </w:rPr>
        <w:t>ու</w:t>
      </w:r>
      <w:r w:rsidR="00FD667B" w:rsidRPr="00D924A1">
        <w:rPr>
          <w:rFonts w:ascii="Sylfaen" w:hAnsi="Sylfaen"/>
          <w:sz w:val="24"/>
          <w:szCs w:val="24"/>
        </w:rPr>
        <w:t>ղեցույցի հավելվածում նշված ժամկետները։</w:t>
      </w:r>
    </w:p>
    <w:p w:rsidR="00486467" w:rsidRPr="00D924A1" w:rsidRDefault="00DA5BCC" w:rsidP="00DA5BCC">
      <w:pPr>
        <w:pStyle w:val="Bodytext20"/>
        <w:shd w:val="clear" w:color="auto" w:fill="auto"/>
        <w:tabs>
          <w:tab w:val="left" w:pos="1134"/>
        </w:tabs>
        <w:spacing w:before="0" w:after="160" w:line="341" w:lineRule="auto"/>
        <w:ind w:right="-8" w:firstLine="567"/>
        <w:rPr>
          <w:rFonts w:ascii="Sylfaen" w:hAnsi="Sylfaen"/>
          <w:sz w:val="24"/>
          <w:szCs w:val="24"/>
        </w:rPr>
      </w:pPr>
      <w:r w:rsidRPr="00D924A1">
        <w:rPr>
          <w:rFonts w:ascii="Sylfaen" w:hAnsi="Sylfaen"/>
          <w:sz w:val="24"/>
          <w:szCs w:val="24"/>
        </w:rPr>
        <w:t>7.</w:t>
      </w:r>
      <w:r w:rsidRPr="00D924A1">
        <w:rPr>
          <w:rFonts w:ascii="Sylfaen" w:hAnsi="Sylfaen"/>
          <w:sz w:val="24"/>
          <w:szCs w:val="24"/>
        </w:rPr>
        <w:tab/>
      </w:r>
      <w:r w:rsidR="00FD667B" w:rsidRPr="00D924A1">
        <w:rPr>
          <w:rFonts w:ascii="Sylfaen" w:hAnsi="Sylfaen"/>
          <w:sz w:val="24"/>
          <w:szCs w:val="24"/>
        </w:rPr>
        <w:t xml:space="preserve">Լիազորված մարմինների կառուցվածքային ստորաբաժանումների կողմից այն ծանուցման նախագծին արված մեկնաբանությունների </w:t>
      </w:r>
      <w:r w:rsidR="001502CF" w:rsidRPr="00D924A1">
        <w:rPr>
          <w:rFonts w:ascii="Sylfaen" w:hAnsi="Sylfaen"/>
          <w:sz w:val="24"/>
          <w:szCs w:val="24"/>
        </w:rPr>
        <w:t>եւ</w:t>
      </w:r>
      <w:r w:rsidR="00FD667B" w:rsidRPr="00D924A1">
        <w:rPr>
          <w:rFonts w:ascii="Sylfaen" w:hAnsi="Sylfaen"/>
          <w:sz w:val="24"/>
          <w:szCs w:val="24"/>
        </w:rPr>
        <w:t xml:space="preserve"> դիտողությունների ներկայացումը, որն ուղարկվել է Հանձնաժողովի կառուցածքային ստորաբաժանմ</w:t>
      </w:r>
      <w:r w:rsidR="006E7ED2" w:rsidRPr="00D924A1">
        <w:rPr>
          <w:rFonts w:ascii="Sylfaen" w:hAnsi="Sylfaen"/>
          <w:sz w:val="24"/>
          <w:szCs w:val="24"/>
        </w:rPr>
        <w:t>ա</w:t>
      </w:r>
      <w:r w:rsidR="00FD667B" w:rsidRPr="00D924A1">
        <w:rPr>
          <w:rFonts w:ascii="Sylfaen" w:hAnsi="Sylfaen"/>
          <w:sz w:val="24"/>
          <w:szCs w:val="24"/>
        </w:rPr>
        <w:t>ն կողմից, իրականացվում է ծանուցման նախագիծն ուղարկելու օրվանից 5 աշխատանքային օրվա ընթացքում։</w:t>
      </w:r>
    </w:p>
    <w:p w:rsidR="00486467" w:rsidRPr="00D924A1" w:rsidRDefault="00DA5BCC" w:rsidP="00DA5BCC">
      <w:pPr>
        <w:pStyle w:val="Bodytext20"/>
        <w:shd w:val="clear" w:color="auto" w:fill="auto"/>
        <w:tabs>
          <w:tab w:val="left" w:pos="1134"/>
        </w:tabs>
        <w:spacing w:before="0" w:after="160" w:line="341" w:lineRule="auto"/>
        <w:ind w:right="-8" w:firstLine="567"/>
        <w:rPr>
          <w:rFonts w:ascii="Sylfaen" w:hAnsi="Sylfaen"/>
          <w:sz w:val="24"/>
          <w:szCs w:val="24"/>
        </w:rPr>
      </w:pPr>
      <w:r w:rsidRPr="00D924A1">
        <w:rPr>
          <w:rFonts w:ascii="Sylfaen" w:hAnsi="Sylfaen"/>
          <w:sz w:val="24"/>
          <w:szCs w:val="24"/>
        </w:rPr>
        <w:t>8.</w:t>
      </w:r>
      <w:r w:rsidRPr="00D924A1">
        <w:rPr>
          <w:rFonts w:ascii="Sylfaen" w:hAnsi="Sylfaen"/>
          <w:sz w:val="24"/>
          <w:szCs w:val="24"/>
        </w:rPr>
        <w:tab/>
      </w:r>
      <w:r w:rsidR="00FD667B" w:rsidRPr="00D924A1">
        <w:rPr>
          <w:rFonts w:ascii="Sylfaen" w:hAnsi="Sylfaen"/>
          <w:sz w:val="24"/>
          <w:szCs w:val="24"/>
        </w:rPr>
        <w:t>Լիազորված մարմինների</w:t>
      </w:r>
      <w:r w:rsidR="00AE5806" w:rsidRPr="00D924A1">
        <w:rPr>
          <w:rFonts w:ascii="Sylfaen" w:hAnsi="Sylfaen"/>
          <w:sz w:val="24"/>
          <w:szCs w:val="24"/>
        </w:rPr>
        <w:t xml:space="preserve"> կառուցվածքային ստորաբաժանումներին</w:t>
      </w:r>
      <w:r w:rsidR="00FD667B" w:rsidRPr="00D924A1">
        <w:rPr>
          <w:rFonts w:ascii="Sylfaen" w:hAnsi="Sylfaen"/>
          <w:sz w:val="24"/>
          <w:szCs w:val="24"/>
        </w:rPr>
        <w:t xml:space="preserve"> ծանուցման </w:t>
      </w:r>
      <w:r w:rsidR="00384FDC" w:rsidRPr="00D924A1">
        <w:rPr>
          <w:rFonts w:ascii="Sylfaen" w:hAnsi="Sylfaen"/>
          <w:sz w:val="24"/>
          <w:szCs w:val="24"/>
        </w:rPr>
        <w:t xml:space="preserve">այն </w:t>
      </w:r>
      <w:r w:rsidR="00FD667B" w:rsidRPr="00D924A1">
        <w:rPr>
          <w:rFonts w:ascii="Sylfaen" w:hAnsi="Sylfaen"/>
          <w:sz w:val="24"/>
          <w:szCs w:val="24"/>
        </w:rPr>
        <w:t>վերջնական նախագծի ուղարկումը, որը պատրաստվել է՝ հաշվի առնելով լիազորված մարմինների կառուցվածքային ստորաբաժանումների կողմից ներկայացված դիտողություններն ու մեկնաբանությունները, իրականացվում է Հանձնաժողովի կառուցվածքային ստորաբաժանմ</w:t>
      </w:r>
      <w:r w:rsidR="004C3269" w:rsidRPr="00D924A1">
        <w:rPr>
          <w:rFonts w:ascii="Sylfaen" w:hAnsi="Sylfaen"/>
          <w:sz w:val="24"/>
          <w:szCs w:val="24"/>
        </w:rPr>
        <w:t>ա</w:t>
      </w:r>
      <w:r w:rsidR="00FD667B" w:rsidRPr="00D924A1">
        <w:rPr>
          <w:rFonts w:ascii="Sylfaen" w:hAnsi="Sylfaen"/>
          <w:sz w:val="24"/>
          <w:szCs w:val="24"/>
        </w:rPr>
        <w:t xml:space="preserve">ն կողմից այդպիսի դիտողություններից </w:t>
      </w:r>
      <w:r w:rsidR="002C2904" w:rsidRPr="00D924A1">
        <w:rPr>
          <w:rFonts w:ascii="Sylfaen" w:hAnsi="Sylfaen"/>
          <w:sz w:val="24"/>
          <w:szCs w:val="24"/>
        </w:rPr>
        <w:t>ու</w:t>
      </w:r>
      <w:r w:rsidR="00FD667B" w:rsidRPr="00D924A1">
        <w:rPr>
          <w:rFonts w:ascii="Sylfaen" w:hAnsi="Sylfaen"/>
          <w:sz w:val="24"/>
          <w:szCs w:val="24"/>
        </w:rPr>
        <w:t xml:space="preserve"> մեկնաբանություններից առաջինները ստանալու օրվանից 3 աշխատանքային օրվա ընթացքում։</w:t>
      </w:r>
    </w:p>
    <w:p w:rsidR="00486467" w:rsidRPr="00D924A1" w:rsidRDefault="008279EE" w:rsidP="00DA5BCC">
      <w:pPr>
        <w:pStyle w:val="Bodytext20"/>
        <w:shd w:val="clear" w:color="auto" w:fill="auto"/>
        <w:spacing w:before="0" w:after="160" w:line="341" w:lineRule="auto"/>
        <w:ind w:right="-8" w:firstLine="567"/>
        <w:rPr>
          <w:rFonts w:ascii="Sylfaen" w:hAnsi="Sylfaen"/>
          <w:sz w:val="24"/>
          <w:szCs w:val="24"/>
        </w:rPr>
      </w:pPr>
      <w:r w:rsidRPr="00D924A1">
        <w:rPr>
          <w:rFonts w:ascii="Sylfaen" w:hAnsi="Sylfaen"/>
          <w:sz w:val="24"/>
          <w:szCs w:val="24"/>
        </w:rPr>
        <w:t xml:space="preserve">Այն դեպքում, երբ ակտի նախագծի </w:t>
      </w:r>
      <w:r w:rsidR="002A3FAB" w:rsidRPr="00D924A1">
        <w:rPr>
          <w:rFonts w:ascii="Sylfaen" w:hAnsi="Sylfaen"/>
          <w:sz w:val="24"/>
          <w:szCs w:val="24"/>
        </w:rPr>
        <w:t xml:space="preserve">մասով </w:t>
      </w:r>
      <w:r w:rsidRPr="00D924A1">
        <w:rPr>
          <w:rFonts w:ascii="Sylfaen" w:hAnsi="Sylfaen"/>
          <w:sz w:val="24"/>
          <w:szCs w:val="24"/>
        </w:rPr>
        <w:t>պետք է անցկացնել հանրային քննարկում, ծանուցման վերջնական նախագիծը Հանձնաժողովի կառուցվածքային ստորաբաժանմ</w:t>
      </w:r>
      <w:r w:rsidR="00143ED8" w:rsidRPr="00D924A1">
        <w:rPr>
          <w:rFonts w:ascii="Sylfaen" w:hAnsi="Sylfaen"/>
          <w:sz w:val="24"/>
          <w:szCs w:val="24"/>
        </w:rPr>
        <w:t>ա</w:t>
      </w:r>
      <w:r w:rsidRPr="00D924A1">
        <w:rPr>
          <w:rFonts w:ascii="Sylfaen" w:hAnsi="Sylfaen"/>
          <w:sz w:val="24"/>
          <w:szCs w:val="24"/>
        </w:rPr>
        <w:t>ն կողմից լիազորված մարմինների կառուցվածքային ստորաբաժանումներ է ուղարկվում Միության պաշտոնական կայքում ակտի նախագծի հրապարակման օրը։</w:t>
      </w:r>
    </w:p>
    <w:p w:rsidR="00486467" w:rsidRPr="00D924A1" w:rsidRDefault="00DA5BCC" w:rsidP="00DA5BCC">
      <w:pPr>
        <w:pStyle w:val="Bodytext20"/>
        <w:shd w:val="clear" w:color="auto" w:fill="auto"/>
        <w:tabs>
          <w:tab w:val="left" w:pos="1134"/>
        </w:tabs>
        <w:spacing w:before="0" w:after="160" w:line="341" w:lineRule="auto"/>
        <w:ind w:right="-8" w:firstLine="567"/>
        <w:rPr>
          <w:rFonts w:ascii="Sylfaen" w:hAnsi="Sylfaen"/>
          <w:sz w:val="24"/>
          <w:szCs w:val="24"/>
        </w:rPr>
      </w:pPr>
      <w:r w:rsidRPr="00D924A1">
        <w:rPr>
          <w:rFonts w:ascii="Sylfaen" w:hAnsi="Sylfaen"/>
          <w:sz w:val="24"/>
          <w:szCs w:val="24"/>
        </w:rPr>
        <w:t>9.</w:t>
      </w:r>
      <w:r w:rsidRPr="00D924A1">
        <w:rPr>
          <w:rFonts w:ascii="Sylfaen" w:hAnsi="Sylfaen"/>
          <w:sz w:val="24"/>
          <w:szCs w:val="24"/>
        </w:rPr>
        <w:tab/>
      </w:r>
      <w:r w:rsidR="00FD667B" w:rsidRPr="00D924A1">
        <w:rPr>
          <w:rFonts w:ascii="Sylfaen" w:hAnsi="Sylfaen"/>
          <w:sz w:val="24"/>
          <w:szCs w:val="24"/>
        </w:rPr>
        <w:t>Ծանուց</w:t>
      </w:r>
      <w:r w:rsidR="00372F7A" w:rsidRPr="00D924A1">
        <w:rPr>
          <w:rFonts w:ascii="Sylfaen" w:hAnsi="Sylfaen"/>
          <w:sz w:val="24"/>
          <w:szCs w:val="24"/>
        </w:rPr>
        <w:t>ու</w:t>
      </w:r>
      <w:r w:rsidR="00FD667B" w:rsidRPr="00D924A1">
        <w:rPr>
          <w:rFonts w:ascii="Sylfaen" w:hAnsi="Sylfaen"/>
          <w:sz w:val="24"/>
          <w:szCs w:val="24"/>
        </w:rPr>
        <w:t>մն</w:t>
      </w:r>
      <w:r w:rsidR="00372F7A" w:rsidRPr="00D924A1">
        <w:rPr>
          <w:rFonts w:ascii="Sylfaen" w:hAnsi="Sylfaen"/>
          <w:sz w:val="24"/>
          <w:szCs w:val="24"/>
        </w:rPr>
        <w:t>երի</w:t>
      </w:r>
      <w:r w:rsidR="00FD667B" w:rsidRPr="00D924A1">
        <w:rPr>
          <w:rFonts w:ascii="Sylfaen" w:hAnsi="Sylfaen"/>
          <w:sz w:val="24"/>
          <w:szCs w:val="24"/>
        </w:rPr>
        <w:t xml:space="preserve"> ուղարկումն ԱՀԿ իրականացվում է ԱՀԿ-ի անդամներ համարվող անդամ պետությունների լիազորված մարմինների կառուցվածքային ստորաբաժանումների կողմից Հանձնաժողովի կառուցվածքային ստորաբաժանումից ծանուցման վերջնական նախագիծը ստանալուց հետո։</w:t>
      </w:r>
    </w:p>
    <w:p w:rsidR="00486467" w:rsidRPr="00D924A1" w:rsidRDefault="008279EE" w:rsidP="00DA5BCC">
      <w:pPr>
        <w:pStyle w:val="Bodytext20"/>
        <w:shd w:val="clear" w:color="auto" w:fill="auto"/>
        <w:spacing w:before="0" w:after="160" w:line="341" w:lineRule="auto"/>
        <w:ind w:right="-6" w:firstLine="567"/>
        <w:rPr>
          <w:rFonts w:ascii="Sylfaen" w:hAnsi="Sylfaen"/>
          <w:sz w:val="24"/>
          <w:szCs w:val="24"/>
        </w:rPr>
      </w:pPr>
      <w:r w:rsidRPr="00D924A1">
        <w:rPr>
          <w:rFonts w:ascii="Sylfaen" w:hAnsi="Sylfaen"/>
          <w:sz w:val="24"/>
          <w:szCs w:val="24"/>
        </w:rPr>
        <w:t>Առ</w:t>
      </w:r>
      <w:r w:rsidR="001502CF" w:rsidRPr="00D924A1">
        <w:rPr>
          <w:rFonts w:ascii="Sylfaen" w:hAnsi="Sylfaen"/>
          <w:sz w:val="24"/>
          <w:szCs w:val="24"/>
        </w:rPr>
        <w:t>եւ</w:t>
      </w:r>
      <w:r w:rsidRPr="00D924A1">
        <w:rPr>
          <w:rFonts w:ascii="Sylfaen" w:hAnsi="Sylfaen"/>
          <w:sz w:val="24"/>
          <w:szCs w:val="24"/>
        </w:rPr>
        <w:t xml:space="preserve">տրում տեխնիկական խոչընդոտների </w:t>
      </w:r>
      <w:r w:rsidR="001502CF" w:rsidRPr="00D924A1">
        <w:rPr>
          <w:rFonts w:ascii="Sylfaen" w:hAnsi="Sylfaen"/>
          <w:sz w:val="24"/>
          <w:szCs w:val="24"/>
        </w:rPr>
        <w:t>եւ</w:t>
      </w:r>
      <w:r w:rsidRPr="00D924A1">
        <w:rPr>
          <w:rFonts w:ascii="Sylfaen" w:hAnsi="Sylfaen"/>
          <w:sz w:val="24"/>
          <w:szCs w:val="24"/>
        </w:rPr>
        <w:t xml:space="preserve"> սանիտարական ու բուսասանիտարական միջոցառումների իրականացման հետ կապված հարցերով ծանուց</w:t>
      </w:r>
      <w:r w:rsidR="003749E8" w:rsidRPr="00D924A1">
        <w:rPr>
          <w:rFonts w:ascii="Sylfaen" w:hAnsi="Sylfaen"/>
          <w:sz w:val="24"/>
          <w:szCs w:val="24"/>
        </w:rPr>
        <w:t>ու</w:t>
      </w:r>
      <w:r w:rsidRPr="00D924A1">
        <w:rPr>
          <w:rFonts w:ascii="Sylfaen" w:hAnsi="Sylfaen"/>
          <w:sz w:val="24"/>
          <w:szCs w:val="24"/>
        </w:rPr>
        <w:t>մն</w:t>
      </w:r>
      <w:r w:rsidR="003749E8" w:rsidRPr="00D924A1">
        <w:rPr>
          <w:rFonts w:ascii="Sylfaen" w:hAnsi="Sylfaen"/>
          <w:sz w:val="24"/>
          <w:szCs w:val="24"/>
        </w:rPr>
        <w:t>եր</w:t>
      </w:r>
      <w:r w:rsidR="00C34C34" w:rsidRPr="00D924A1">
        <w:rPr>
          <w:rFonts w:ascii="Sylfaen" w:hAnsi="Sylfaen"/>
          <w:sz w:val="24"/>
          <w:szCs w:val="24"/>
        </w:rPr>
        <w:t>ն</w:t>
      </w:r>
      <w:r w:rsidRPr="00D924A1">
        <w:rPr>
          <w:rFonts w:ascii="Sylfaen" w:hAnsi="Sylfaen"/>
          <w:sz w:val="24"/>
          <w:szCs w:val="24"/>
        </w:rPr>
        <w:t xml:space="preserve"> ԱՀԿ ուղարկ</w:t>
      </w:r>
      <w:r w:rsidR="0005142F" w:rsidRPr="00D924A1">
        <w:rPr>
          <w:rFonts w:ascii="Sylfaen" w:hAnsi="Sylfaen"/>
          <w:sz w:val="24"/>
          <w:szCs w:val="24"/>
        </w:rPr>
        <w:t>ելն</w:t>
      </w:r>
      <w:r w:rsidRPr="00D924A1">
        <w:rPr>
          <w:rFonts w:ascii="Sylfaen" w:hAnsi="Sylfaen"/>
          <w:sz w:val="24"/>
          <w:szCs w:val="24"/>
        </w:rPr>
        <w:t xml:space="preserve"> ԱՀԿ-ի անդամ համարվող անդամ պետությունների լիազորված մարմինների կառուցվածքային ստորաբաժանումների կողմից</w:t>
      </w:r>
      <w:r w:rsidRPr="00D924A1">
        <w:rPr>
          <w:rFonts w:ascii="Sylfaen" w:hAnsi="Sylfaen"/>
          <w:spacing w:val="-6"/>
          <w:sz w:val="24"/>
          <w:szCs w:val="24"/>
        </w:rPr>
        <w:t xml:space="preserve"> հնարավորության դեպքում </w:t>
      </w:r>
      <w:r w:rsidR="00302E5E" w:rsidRPr="00D924A1">
        <w:rPr>
          <w:rFonts w:ascii="Sylfaen" w:hAnsi="Sylfaen"/>
          <w:spacing w:val="-6"/>
          <w:sz w:val="24"/>
          <w:szCs w:val="24"/>
        </w:rPr>
        <w:t xml:space="preserve">իրականացվում է </w:t>
      </w:r>
      <w:r w:rsidRPr="00D924A1">
        <w:rPr>
          <w:rFonts w:ascii="Sylfaen" w:hAnsi="Sylfaen"/>
          <w:spacing w:val="-6"/>
          <w:sz w:val="24"/>
          <w:szCs w:val="24"/>
        </w:rPr>
        <w:lastRenderedPageBreak/>
        <w:t xml:space="preserve">միաժամանակ </w:t>
      </w:r>
      <w:r w:rsidR="00302E5E" w:rsidRPr="00D924A1">
        <w:rPr>
          <w:rFonts w:ascii="Sylfaen" w:hAnsi="Sylfaen"/>
          <w:spacing w:val="-6"/>
          <w:sz w:val="24"/>
          <w:szCs w:val="24"/>
        </w:rPr>
        <w:t>Միության պաշտոնական կայքում ակտի նախագծի</w:t>
      </w:r>
      <w:r w:rsidR="00302E5E" w:rsidRPr="00D924A1">
        <w:rPr>
          <w:rFonts w:ascii="Sylfaen" w:hAnsi="Sylfaen"/>
          <w:sz w:val="24"/>
          <w:szCs w:val="24"/>
        </w:rPr>
        <w:t xml:space="preserve"> հրապարակման օրը՝</w:t>
      </w:r>
      <w:r w:rsidR="00302E5E" w:rsidRPr="00D924A1" w:rsidDel="00302E5E">
        <w:rPr>
          <w:rFonts w:ascii="Sylfaen" w:hAnsi="Sylfaen"/>
          <w:sz w:val="24"/>
          <w:szCs w:val="24"/>
        </w:rPr>
        <w:t xml:space="preserve"> </w:t>
      </w:r>
      <w:r w:rsidRPr="00D924A1">
        <w:rPr>
          <w:rFonts w:ascii="Sylfaen" w:hAnsi="Sylfaen"/>
          <w:sz w:val="24"/>
          <w:szCs w:val="24"/>
        </w:rPr>
        <w:t>դրա հանրային քննարկում</w:t>
      </w:r>
      <w:r w:rsidR="00B603F5" w:rsidRPr="00D924A1">
        <w:rPr>
          <w:rFonts w:ascii="Sylfaen" w:hAnsi="Sylfaen"/>
          <w:sz w:val="24"/>
          <w:szCs w:val="24"/>
        </w:rPr>
        <w:t>ն</w:t>
      </w:r>
      <w:r w:rsidRPr="00D924A1">
        <w:rPr>
          <w:rFonts w:ascii="Sylfaen" w:hAnsi="Sylfaen"/>
          <w:sz w:val="24"/>
          <w:szCs w:val="24"/>
        </w:rPr>
        <w:t xml:space="preserve"> անցկացնելու նպատակով։</w:t>
      </w:r>
    </w:p>
    <w:p w:rsidR="00486467" w:rsidRPr="00D924A1" w:rsidRDefault="008279EE" w:rsidP="00DA5BCC">
      <w:pPr>
        <w:pStyle w:val="Bodytext20"/>
        <w:shd w:val="clear" w:color="auto" w:fill="auto"/>
        <w:spacing w:before="0" w:after="160" w:line="341" w:lineRule="auto"/>
        <w:ind w:right="-6" w:firstLine="567"/>
        <w:rPr>
          <w:rFonts w:ascii="Sylfaen" w:hAnsi="Sylfaen"/>
          <w:sz w:val="24"/>
          <w:szCs w:val="24"/>
        </w:rPr>
      </w:pPr>
      <w:r w:rsidRPr="00D924A1">
        <w:rPr>
          <w:rFonts w:ascii="Sylfaen" w:hAnsi="Sylfaen"/>
          <w:sz w:val="24"/>
          <w:szCs w:val="24"/>
        </w:rPr>
        <w:t>Անհրաժեշտության դեպքում լիազորված մարմինների կառուցվածքային ստորաբաժանումները ծանուցման վերջնական տեքստում կարող են կատարել այնպիսի փոփոխություններ, որոնք չունեն սկզբունքային բնույթ։</w:t>
      </w:r>
    </w:p>
    <w:p w:rsidR="00486467" w:rsidRPr="00D924A1" w:rsidRDefault="00DA5BCC" w:rsidP="00DA5BCC">
      <w:pPr>
        <w:pStyle w:val="Bodytext20"/>
        <w:shd w:val="clear" w:color="auto" w:fill="auto"/>
        <w:tabs>
          <w:tab w:val="left" w:pos="1134"/>
        </w:tabs>
        <w:spacing w:before="0" w:after="160" w:line="336" w:lineRule="auto"/>
        <w:ind w:right="-6" w:firstLine="567"/>
        <w:rPr>
          <w:rFonts w:ascii="Sylfaen" w:hAnsi="Sylfaen"/>
          <w:sz w:val="24"/>
          <w:szCs w:val="24"/>
        </w:rPr>
      </w:pPr>
      <w:r w:rsidRPr="00D924A1">
        <w:rPr>
          <w:rFonts w:ascii="Sylfaen" w:hAnsi="Sylfaen"/>
          <w:sz w:val="24"/>
          <w:szCs w:val="24"/>
        </w:rPr>
        <w:t>10.</w:t>
      </w:r>
      <w:r w:rsidRPr="00D924A1">
        <w:rPr>
          <w:rFonts w:ascii="Sylfaen" w:hAnsi="Sylfaen"/>
          <w:sz w:val="24"/>
          <w:szCs w:val="24"/>
        </w:rPr>
        <w:tab/>
      </w:r>
      <w:r w:rsidR="00FD667B" w:rsidRPr="00D924A1">
        <w:rPr>
          <w:rFonts w:ascii="Sylfaen" w:hAnsi="Sylfaen"/>
          <w:sz w:val="24"/>
          <w:szCs w:val="24"/>
        </w:rPr>
        <w:t>Ուղարկված ծանուցման վերաբերյալ ԱՀԿ-ի անդամներից լիազորված մարմինների կառուցվածքային ստորաբաժանումներից մեկի հասցեով ստացված հարցման (դիմումի) առնչությամբ դիրքորոշում մշակելու հարցով նրա դիմումի դեպքում լիազորված մարմինների կառուցվածքային ստորաբաժանումների հետ աշխատանքի կազմակերպումն իրականացվում է Հանձնաժողովի կողմից՝ հաշվի առնելով ԱՀԿ-ում ծանուցումների ուսումնասիրման ժամկետները։</w:t>
      </w:r>
    </w:p>
    <w:p w:rsidR="00486467" w:rsidRPr="00D924A1" w:rsidRDefault="00DA5BCC" w:rsidP="00DA5BCC">
      <w:pPr>
        <w:pStyle w:val="Bodytext20"/>
        <w:shd w:val="clear" w:color="auto" w:fill="auto"/>
        <w:tabs>
          <w:tab w:val="left" w:pos="1134"/>
        </w:tabs>
        <w:spacing w:before="0" w:after="160" w:line="336" w:lineRule="auto"/>
        <w:ind w:right="-6" w:firstLine="567"/>
        <w:rPr>
          <w:rFonts w:ascii="Sylfaen" w:hAnsi="Sylfaen"/>
          <w:sz w:val="24"/>
          <w:szCs w:val="24"/>
        </w:rPr>
      </w:pPr>
      <w:r w:rsidRPr="00D924A1">
        <w:rPr>
          <w:rFonts w:ascii="Sylfaen" w:hAnsi="Sylfaen"/>
          <w:sz w:val="24"/>
          <w:szCs w:val="24"/>
        </w:rPr>
        <w:t>11.</w:t>
      </w:r>
      <w:r w:rsidRPr="00D924A1">
        <w:rPr>
          <w:rFonts w:ascii="Sylfaen" w:hAnsi="Sylfaen"/>
          <w:sz w:val="24"/>
          <w:szCs w:val="24"/>
        </w:rPr>
        <w:tab/>
      </w:r>
      <w:r w:rsidR="00FD667B" w:rsidRPr="00D924A1">
        <w:rPr>
          <w:rFonts w:ascii="Sylfaen" w:hAnsi="Sylfaen"/>
          <w:sz w:val="24"/>
          <w:szCs w:val="24"/>
        </w:rPr>
        <w:t xml:space="preserve">Սույն </w:t>
      </w:r>
      <w:r w:rsidR="0005142F" w:rsidRPr="00D924A1">
        <w:rPr>
          <w:rFonts w:ascii="Sylfaen" w:hAnsi="Sylfaen"/>
          <w:sz w:val="24"/>
          <w:szCs w:val="24"/>
        </w:rPr>
        <w:t>ու</w:t>
      </w:r>
      <w:r w:rsidR="00FD667B" w:rsidRPr="00D924A1">
        <w:rPr>
          <w:rFonts w:ascii="Sylfaen" w:hAnsi="Sylfaen"/>
          <w:sz w:val="24"/>
          <w:szCs w:val="24"/>
        </w:rPr>
        <w:t xml:space="preserve">ղեցույցի 6-8-րդ </w:t>
      </w:r>
      <w:r w:rsidR="001502CF" w:rsidRPr="00D924A1">
        <w:rPr>
          <w:rFonts w:ascii="Sylfaen" w:hAnsi="Sylfaen"/>
          <w:sz w:val="24"/>
          <w:szCs w:val="24"/>
        </w:rPr>
        <w:t>եւ</w:t>
      </w:r>
      <w:r w:rsidR="00FD667B" w:rsidRPr="00D924A1">
        <w:rPr>
          <w:rFonts w:ascii="Sylfaen" w:hAnsi="Sylfaen"/>
          <w:sz w:val="24"/>
          <w:szCs w:val="24"/>
        </w:rPr>
        <w:t xml:space="preserve"> 10-րդ կետերի դրույթները չեն կիրառվում սույն </w:t>
      </w:r>
      <w:r w:rsidR="0005142F" w:rsidRPr="00D924A1">
        <w:rPr>
          <w:rFonts w:ascii="Sylfaen" w:hAnsi="Sylfaen"/>
          <w:sz w:val="24"/>
          <w:szCs w:val="24"/>
        </w:rPr>
        <w:t>ու</w:t>
      </w:r>
      <w:r w:rsidR="00FD667B" w:rsidRPr="00D924A1">
        <w:rPr>
          <w:rFonts w:ascii="Sylfaen" w:hAnsi="Sylfaen"/>
          <w:sz w:val="24"/>
          <w:szCs w:val="24"/>
        </w:rPr>
        <w:t>ղեցույցի 5-րդ կետի երկրորդ պարբերությամբ նախատեսված դեպքում։</w:t>
      </w:r>
    </w:p>
    <w:p w:rsidR="00486467" w:rsidRPr="00D924A1" w:rsidRDefault="00DA5BCC" w:rsidP="00DA5BCC">
      <w:pPr>
        <w:pStyle w:val="Bodytext20"/>
        <w:shd w:val="clear" w:color="auto" w:fill="auto"/>
        <w:tabs>
          <w:tab w:val="left" w:pos="1134"/>
        </w:tabs>
        <w:spacing w:before="0" w:after="160" w:line="336" w:lineRule="auto"/>
        <w:ind w:right="-6" w:firstLine="567"/>
        <w:rPr>
          <w:rFonts w:ascii="Sylfaen" w:hAnsi="Sylfaen"/>
          <w:spacing w:val="-6"/>
          <w:sz w:val="24"/>
          <w:szCs w:val="24"/>
        </w:rPr>
      </w:pPr>
      <w:r w:rsidRPr="00D924A1">
        <w:rPr>
          <w:rFonts w:ascii="Sylfaen" w:hAnsi="Sylfaen"/>
          <w:sz w:val="24"/>
          <w:szCs w:val="24"/>
        </w:rPr>
        <w:t>12.</w:t>
      </w:r>
      <w:r w:rsidRPr="00D924A1">
        <w:rPr>
          <w:rFonts w:ascii="Sylfaen" w:hAnsi="Sylfaen"/>
          <w:sz w:val="24"/>
          <w:szCs w:val="24"/>
        </w:rPr>
        <w:tab/>
      </w:r>
      <w:r w:rsidR="00FD667B" w:rsidRPr="00D924A1">
        <w:rPr>
          <w:rFonts w:ascii="Sylfaen" w:hAnsi="Sylfaen"/>
          <w:sz w:val="24"/>
          <w:szCs w:val="24"/>
        </w:rPr>
        <w:t>Անդամ պետության ծանուցման (այդ թվում՝ ԱՀԿ</w:t>
      </w:r>
      <w:r w:rsidR="003D5C2B" w:rsidRPr="00D924A1">
        <w:rPr>
          <w:rFonts w:ascii="Sylfaen" w:hAnsi="Sylfaen"/>
          <w:sz w:val="24"/>
          <w:szCs w:val="24"/>
        </w:rPr>
        <w:t>-ի</w:t>
      </w:r>
      <w:r w:rsidR="00FD667B" w:rsidRPr="00D924A1">
        <w:rPr>
          <w:rFonts w:ascii="Sylfaen" w:hAnsi="Sylfaen"/>
          <w:sz w:val="24"/>
          <w:szCs w:val="24"/>
        </w:rPr>
        <w:t xml:space="preserve"> անդամներից ստացված հարցումների (դիմումների) հետ կապված)՝ ԱՀԿ-ի քարտուղարության կողմից հրապարակված տեքստի փոփոխությունների դեպքում համապատասխան անդամ պետության լիազորված մարմնի կառուցվածքային ստորաբաժանումն այդ մասին տեղեկացնում է Հանձնաժողովի կառուցվածքային ստորաբաժանմանը </w:t>
      </w:r>
      <w:r w:rsidR="00FD667B" w:rsidRPr="00D924A1">
        <w:rPr>
          <w:rFonts w:ascii="Sylfaen" w:hAnsi="Sylfaen"/>
          <w:spacing w:val="-6"/>
          <w:sz w:val="24"/>
          <w:szCs w:val="24"/>
        </w:rPr>
        <w:t>այդպիսի փոփոխություն կատարելու օրվանից 3 աշխատանքային օրվա ընթացքում՝ մյուս անդամ պետությունների լիազորված մարմինների կառուցվածքային ստորաբաժանումներին այդ մասին հետագայում տեղեկացնելու համար։</w:t>
      </w:r>
    </w:p>
    <w:p w:rsidR="00486467" w:rsidRPr="00D924A1" w:rsidRDefault="00DA5BCC" w:rsidP="00DA5BCC">
      <w:pPr>
        <w:pStyle w:val="Bodytext20"/>
        <w:shd w:val="clear" w:color="auto" w:fill="auto"/>
        <w:tabs>
          <w:tab w:val="left" w:pos="1134"/>
        </w:tabs>
        <w:spacing w:before="0" w:after="160" w:line="336" w:lineRule="auto"/>
        <w:ind w:right="-8" w:firstLine="567"/>
        <w:rPr>
          <w:rFonts w:ascii="Sylfaen" w:hAnsi="Sylfaen"/>
          <w:sz w:val="24"/>
          <w:szCs w:val="24"/>
          <w:lang w:val="en-US"/>
        </w:rPr>
      </w:pPr>
      <w:r w:rsidRPr="00D924A1">
        <w:rPr>
          <w:rFonts w:ascii="Sylfaen" w:hAnsi="Sylfaen"/>
          <w:sz w:val="24"/>
          <w:szCs w:val="24"/>
        </w:rPr>
        <w:t>13.</w:t>
      </w:r>
      <w:r w:rsidRPr="00D924A1">
        <w:rPr>
          <w:rFonts w:ascii="Sylfaen" w:hAnsi="Sylfaen"/>
          <w:sz w:val="24"/>
          <w:szCs w:val="24"/>
        </w:rPr>
        <w:tab/>
      </w:r>
      <w:r w:rsidR="00FD667B" w:rsidRPr="00D924A1">
        <w:rPr>
          <w:rFonts w:ascii="Sylfaen" w:hAnsi="Sylfaen"/>
          <w:sz w:val="24"/>
          <w:szCs w:val="24"/>
        </w:rPr>
        <w:t xml:space="preserve">Լիազորված մարմինների կառուցվածքային ստորաբաժանումների մասին փաստացի տեղեկությունները </w:t>
      </w:r>
      <w:r w:rsidR="001502CF" w:rsidRPr="00D924A1">
        <w:rPr>
          <w:rFonts w:ascii="Sylfaen" w:hAnsi="Sylfaen"/>
          <w:sz w:val="24"/>
          <w:szCs w:val="24"/>
        </w:rPr>
        <w:t>եւ</w:t>
      </w:r>
      <w:r w:rsidR="00FD667B" w:rsidRPr="00D924A1">
        <w:rPr>
          <w:rFonts w:ascii="Sylfaen" w:hAnsi="Sylfaen"/>
          <w:sz w:val="24"/>
          <w:szCs w:val="24"/>
        </w:rPr>
        <w:t xml:space="preserve"> ծանուցումների նախագծեր (նշելով ծանուցումների տեսակները՝ սույն </w:t>
      </w:r>
      <w:r w:rsidR="0005142F" w:rsidRPr="00D924A1">
        <w:rPr>
          <w:rFonts w:ascii="Sylfaen" w:hAnsi="Sylfaen"/>
          <w:sz w:val="24"/>
          <w:szCs w:val="24"/>
        </w:rPr>
        <w:t>ու</w:t>
      </w:r>
      <w:r w:rsidR="00FD667B" w:rsidRPr="00D924A1">
        <w:rPr>
          <w:rFonts w:ascii="Sylfaen" w:hAnsi="Sylfaen"/>
          <w:sz w:val="24"/>
          <w:szCs w:val="24"/>
        </w:rPr>
        <w:t>ղեցույցի հավելվածին համապատասխան) պատրաստող փորձագետների կոնտակտային տվյալները լիազորված մարմինների կողմից ուղարկվում են Հանձնաժողով՝ մյուս լիազորված մարմիններին Հանձնաժողովի կողմից տեղեկացնելու համար։</w:t>
      </w:r>
    </w:p>
    <w:p w:rsidR="00DA5BCC" w:rsidRPr="00D924A1" w:rsidRDefault="00DA5BCC" w:rsidP="00DA5BCC">
      <w:pPr>
        <w:pStyle w:val="Bodytext20"/>
        <w:shd w:val="clear" w:color="auto" w:fill="auto"/>
        <w:tabs>
          <w:tab w:val="left" w:pos="1134"/>
        </w:tabs>
        <w:spacing w:before="0" w:after="160" w:line="360" w:lineRule="auto"/>
        <w:ind w:right="-8" w:firstLine="567"/>
        <w:jc w:val="center"/>
        <w:rPr>
          <w:rFonts w:ascii="Sylfaen" w:hAnsi="Sylfaen"/>
          <w:sz w:val="24"/>
          <w:szCs w:val="24"/>
          <w:lang w:val="en-US"/>
        </w:rPr>
      </w:pPr>
      <w:r w:rsidRPr="00D924A1">
        <w:rPr>
          <w:rFonts w:ascii="Sylfaen" w:hAnsi="Sylfaen"/>
          <w:sz w:val="24"/>
          <w:szCs w:val="24"/>
          <w:lang w:val="en-US"/>
        </w:rPr>
        <w:t>________________</w:t>
      </w:r>
    </w:p>
    <w:p w:rsidR="005104F3" w:rsidRPr="00D924A1" w:rsidRDefault="005104F3" w:rsidP="001502CF">
      <w:pPr>
        <w:pStyle w:val="Bodytext20"/>
        <w:shd w:val="clear" w:color="auto" w:fill="auto"/>
        <w:spacing w:before="0" w:after="160" w:line="360" w:lineRule="auto"/>
        <w:ind w:right="-8" w:firstLine="567"/>
        <w:rPr>
          <w:rFonts w:ascii="Sylfaen" w:hAnsi="Sylfaen"/>
          <w:sz w:val="24"/>
          <w:szCs w:val="24"/>
        </w:rPr>
      </w:pPr>
    </w:p>
    <w:p w:rsidR="005104F3" w:rsidRPr="00D924A1" w:rsidRDefault="005104F3" w:rsidP="001502CF">
      <w:pPr>
        <w:pStyle w:val="Bodytext20"/>
        <w:shd w:val="clear" w:color="auto" w:fill="auto"/>
        <w:spacing w:before="0" w:after="160" w:line="360" w:lineRule="auto"/>
        <w:ind w:right="-8"/>
        <w:rPr>
          <w:rFonts w:ascii="Sylfaen" w:hAnsi="Sylfaen"/>
          <w:sz w:val="24"/>
          <w:szCs w:val="24"/>
        </w:rPr>
        <w:sectPr w:rsidR="005104F3" w:rsidRPr="00D924A1" w:rsidSect="00A4708C">
          <w:footerReference w:type="default" r:id="rId9"/>
          <w:pgSz w:w="11907" w:h="16839" w:code="9"/>
          <w:pgMar w:top="1418" w:right="1418" w:bottom="1418" w:left="1418" w:header="0" w:footer="479" w:gutter="0"/>
          <w:pgNumType w:start="1"/>
          <w:cols w:space="720"/>
          <w:noEndnote/>
          <w:titlePg/>
          <w:docGrid w:linePitch="360"/>
        </w:sectPr>
      </w:pPr>
    </w:p>
    <w:p w:rsidR="00486467" w:rsidRPr="00D924A1" w:rsidRDefault="002A4CF8" w:rsidP="00DA5BCC">
      <w:pPr>
        <w:pStyle w:val="Heading20"/>
        <w:shd w:val="clear" w:color="auto" w:fill="auto"/>
        <w:spacing w:before="0" w:after="160" w:line="360" w:lineRule="auto"/>
        <w:ind w:left="6804" w:right="-31"/>
        <w:outlineLvl w:val="9"/>
        <w:rPr>
          <w:rFonts w:ascii="Sylfaen" w:hAnsi="Sylfaen"/>
          <w:sz w:val="24"/>
          <w:szCs w:val="24"/>
        </w:rPr>
      </w:pPr>
      <w:bookmarkStart w:id="2" w:name="bookmark2"/>
      <w:r w:rsidRPr="00D924A1">
        <w:rPr>
          <w:rStyle w:val="Heading2NotBold"/>
          <w:rFonts w:ascii="Sylfaen" w:hAnsi="Sylfaen"/>
          <w:sz w:val="24"/>
          <w:szCs w:val="24"/>
        </w:rPr>
        <w:lastRenderedPageBreak/>
        <w:t>ՀԱՎԵԼՎԱԾ</w:t>
      </w:r>
      <w:bookmarkEnd w:id="2"/>
    </w:p>
    <w:p w:rsidR="00486467" w:rsidRPr="00D924A1" w:rsidRDefault="00A45316" w:rsidP="00DA5BCC">
      <w:pPr>
        <w:pStyle w:val="Bodytext20"/>
        <w:shd w:val="clear" w:color="auto" w:fill="auto"/>
        <w:spacing w:before="0" w:after="160" w:line="360" w:lineRule="auto"/>
        <w:ind w:left="6804" w:right="-31"/>
        <w:jc w:val="center"/>
        <w:rPr>
          <w:rFonts w:ascii="Sylfaen" w:hAnsi="Sylfaen"/>
          <w:sz w:val="24"/>
          <w:szCs w:val="24"/>
        </w:rPr>
      </w:pPr>
      <w:r w:rsidRPr="00D924A1">
        <w:rPr>
          <w:rFonts w:ascii="Sylfaen" w:hAnsi="Sylfaen"/>
          <w:bCs/>
          <w:sz w:val="24"/>
          <w:szCs w:val="24"/>
        </w:rPr>
        <w:t>Եվրասիական տնտեսական միության անդամ պետությունների լիազորված մարմինների</w:t>
      </w:r>
      <w:r w:rsidR="008279EE" w:rsidRPr="00D924A1">
        <w:rPr>
          <w:rFonts w:ascii="Sylfaen" w:hAnsi="Sylfaen"/>
          <w:sz w:val="24"/>
          <w:szCs w:val="24"/>
        </w:rPr>
        <w:t xml:space="preserve"> </w:t>
      </w:r>
      <w:r w:rsidR="001502CF" w:rsidRPr="00D924A1">
        <w:rPr>
          <w:rFonts w:ascii="Sylfaen" w:hAnsi="Sylfaen"/>
          <w:sz w:val="24"/>
          <w:szCs w:val="24"/>
        </w:rPr>
        <w:t>եւ</w:t>
      </w:r>
      <w:r w:rsidR="008279EE" w:rsidRPr="00D924A1">
        <w:rPr>
          <w:rFonts w:ascii="Sylfaen" w:hAnsi="Sylfaen"/>
          <w:sz w:val="24"/>
          <w:szCs w:val="24"/>
        </w:rPr>
        <w:t xml:space="preserve"> Եվրասիական տնտեսական հանձնաժողովի միջ</w:t>
      </w:r>
      <w:r w:rsidR="001502CF" w:rsidRPr="00D924A1">
        <w:rPr>
          <w:rFonts w:ascii="Sylfaen" w:hAnsi="Sylfaen"/>
          <w:sz w:val="24"/>
          <w:szCs w:val="24"/>
        </w:rPr>
        <w:t>եւ</w:t>
      </w:r>
      <w:r w:rsidR="008279EE" w:rsidRPr="00D924A1">
        <w:rPr>
          <w:rFonts w:ascii="Sylfaen" w:hAnsi="Sylfaen"/>
          <w:sz w:val="24"/>
          <w:szCs w:val="24"/>
        </w:rPr>
        <w:t>՝ Առ</w:t>
      </w:r>
      <w:r w:rsidR="001502CF" w:rsidRPr="00D924A1">
        <w:rPr>
          <w:rFonts w:ascii="Sylfaen" w:hAnsi="Sylfaen"/>
          <w:sz w:val="24"/>
          <w:szCs w:val="24"/>
        </w:rPr>
        <w:t>եւ</w:t>
      </w:r>
      <w:r w:rsidR="008279EE" w:rsidRPr="00D924A1">
        <w:rPr>
          <w:rFonts w:ascii="Sylfaen" w:hAnsi="Sylfaen"/>
          <w:sz w:val="24"/>
          <w:szCs w:val="24"/>
        </w:rPr>
        <w:t>տրի համաշխարհային կազմակերպություն ներկայացնելու համար ծանուցումների նախագծերի պատրաստման հարցերով փոխգործակցություն իրականացնելու մասին ուղեցույցի</w:t>
      </w:r>
    </w:p>
    <w:p w:rsidR="0074593E" w:rsidRPr="00D924A1" w:rsidRDefault="0074593E" w:rsidP="001502CF">
      <w:pPr>
        <w:pStyle w:val="Heading20"/>
        <w:shd w:val="clear" w:color="auto" w:fill="auto"/>
        <w:spacing w:before="0" w:after="160" w:line="360" w:lineRule="auto"/>
        <w:outlineLvl w:val="9"/>
        <w:rPr>
          <w:rStyle w:val="Heading2Spacing2pt0"/>
          <w:rFonts w:ascii="Sylfaen" w:hAnsi="Sylfaen"/>
          <w:b/>
          <w:bCs/>
          <w:spacing w:val="0"/>
          <w:sz w:val="24"/>
          <w:szCs w:val="24"/>
        </w:rPr>
      </w:pPr>
      <w:bookmarkStart w:id="3" w:name="bookmark3"/>
    </w:p>
    <w:p w:rsidR="00486467" w:rsidRPr="00D924A1" w:rsidRDefault="008279EE" w:rsidP="00DA5BCC">
      <w:pPr>
        <w:pStyle w:val="Heading20"/>
        <w:shd w:val="clear" w:color="auto" w:fill="auto"/>
        <w:spacing w:before="0" w:after="160" w:line="360" w:lineRule="auto"/>
        <w:ind w:left="567"/>
        <w:outlineLvl w:val="9"/>
        <w:rPr>
          <w:rFonts w:ascii="Sylfaen" w:hAnsi="Sylfaen"/>
          <w:sz w:val="24"/>
          <w:szCs w:val="24"/>
        </w:rPr>
      </w:pPr>
      <w:r w:rsidRPr="00D924A1">
        <w:rPr>
          <w:rStyle w:val="Heading2Spacing2pt0"/>
          <w:rFonts w:ascii="Sylfaen" w:hAnsi="Sylfaen"/>
          <w:b/>
          <w:spacing w:val="0"/>
          <w:sz w:val="24"/>
          <w:szCs w:val="24"/>
        </w:rPr>
        <w:t>ՑԱՆԿ</w:t>
      </w:r>
      <w:bookmarkEnd w:id="3"/>
    </w:p>
    <w:p w:rsidR="00486467" w:rsidRPr="00D924A1" w:rsidRDefault="008279EE" w:rsidP="00DA5BCC">
      <w:pPr>
        <w:pStyle w:val="Heading20"/>
        <w:shd w:val="clear" w:color="auto" w:fill="auto"/>
        <w:spacing w:before="0" w:after="160" w:line="360" w:lineRule="auto"/>
        <w:ind w:left="567"/>
        <w:outlineLvl w:val="9"/>
        <w:rPr>
          <w:rFonts w:ascii="Sylfaen" w:hAnsi="Sylfaen"/>
          <w:sz w:val="24"/>
          <w:szCs w:val="24"/>
        </w:rPr>
      </w:pPr>
      <w:bookmarkStart w:id="4" w:name="bookmark4"/>
      <w:r w:rsidRPr="00D924A1">
        <w:rPr>
          <w:rFonts w:ascii="Sylfaen" w:hAnsi="Sylfaen"/>
          <w:sz w:val="24"/>
          <w:szCs w:val="24"/>
        </w:rPr>
        <w:t>Առ</w:t>
      </w:r>
      <w:r w:rsidR="001502CF" w:rsidRPr="00D924A1">
        <w:rPr>
          <w:rFonts w:ascii="Sylfaen" w:hAnsi="Sylfaen"/>
          <w:sz w:val="24"/>
          <w:szCs w:val="24"/>
        </w:rPr>
        <w:t>եւ</w:t>
      </w:r>
      <w:r w:rsidRPr="00D924A1">
        <w:rPr>
          <w:rFonts w:ascii="Sylfaen" w:hAnsi="Sylfaen"/>
          <w:sz w:val="24"/>
          <w:szCs w:val="24"/>
        </w:rPr>
        <w:t>տրի համաշխարհային կազմակերպություն ներկայացման ենթակա ծանուցումների</w:t>
      </w:r>
      <w:bookmarkEnd w:id="4"/>
    </w:p>
    <w:tbl>
      <w:tblPr>
        <w:tblOverlap w:val="never"/>
        <w:tblW w:w="15272" w:type="dxa"/>
        <w:jc w:val="center"/>
        <w:tblLayout w:type="fixed"/>
        <w:tblCellMar>
          <w:left w:w="10" w:type="dxa"/>
          <w:right w:w="10" w:type="dxa"/>
        </w:tblCellMar>
        <w:tblLook w:val="04A0" w:firstRow="1" w:lastRow="0" w:firstColumn="1" w:lastColumn="0" w:noHBand="0" w:noVBand="1"/>
      </w:tblPr>
      <w:tblGrid>
        <w:gridCol w:w="2411"/>
        <w:gridCol w:w="3185"/>
        <w:gridCol w:w="5811"/>
        <w:gridCol w:w="3865"/>
      </w:tblGrid>
      <w:tr w:rsidR="001502CF" w:rsidRPr="00D924A1" w:rsidTr="00DA5BCC">
        <w:trPr>
          <w:tblHeader/>
          <w:jc w:val="center"/>
        </w:trPr>
        <w:tc>
          <w:tcPr>
            <w:tcW w:w="2412" w:type="dxa"/>
            <w:tcBorders>
              <w:top w:val="single" w:sz="4" w:space="0" w:color="auto"/>
              <w:left w:val="single" w:sz="4" w:space="0" w:color="auto"/>
              <w:bottom w:val="single" w:sz="4" w:space="0" w:color="auto"/>
            </w:tcBorders>
            <w:shd w:val="clear" w:color="auto" w:fill="FFFFFF"/>
            <w:vAlign w:val="center"/>
          </w:tcPr>
          <w:p w:rsidR="00486467" w:rsidRPr="00D924A1" w:rsidRDefault="008279EE" w:rsidP="00DA5BCC">
            <w:pPr>
              <w:pStyle w:val="Bodytext20"/>
              <w:shd w:val="clear" w:color="auto" w:fill="auto"/>
              <w:spacing w:before="0" w:after="120" w:line="240" w:lineRule="auto"/>
              <w:jc w:val="center"/>
              <w:rPr>
                <w:rFonts w:ascii="Sylfaen" w:hAnsi="Sylfaen"/>
                <w:sz w:val="20"/>
                <w:szCs w:val="20"/>
              </w:rPr>
            </w:pPr>
            <w:r w:rsidRPr="00D924A1">
              <w:rPr>
                <w:rStyle w:val="Bodytext212pt"/>
                <w:rFonts w:ascii="Sylfaen" w:hAnsi="Sylfaen"/>
                <w:sz w:val="20"/>
                <w:szCs w:val="20"/>
              </w:rPr>
              <w:t>ԱՀԿ-ի աշխատանքային մարմնի հոդվածը (որոշումը)</w:t>
            </w:r>
          </w:p>
        </w:tc>
        <w:tc>
          <w:tcPr>
            <w:tcW w:w="3184" w:type="dxa"/>
            <w:tcBorders>
              <w:top w:val="single" w:sz="4" w:space="0" w:color="auto"/>
              <w:left w:val="single" w:sz="4" w:space="0" w:color="auto"/>
              <w:bottom w:val="single" w:sz="4" w:space="0" w:color="auto"/>
            </w:tcBorders>
            <w:shd w:val="clear" w:color="auto" w:fill="FFFFFF"/>
            <w:vAlign w:val="center"/>
          </w:tcPr>
          <w:p w:rsidR="00486467" w:rsidRPr="00D924A1" w:rsidRDefault="008279EE" w:rsidP="00DA5BCC">
            <w:pPr>
              <w:pStyle w:val="Bodytext20"/>
              <w:shd w:val="clear" w:color="auto" w:fill="auto"/>
              <w:spacing w:before="0" w:after="120" w:line="240" w:lineRule="auto"/>
              <w:ind w:left="56" w:right="131"/>
              <w:jc w:val="center"/>
              <w:rPr>
                <w:rFonts w:ascii="Sylfaen" w:hAnsi="Sylfaen"/>
                <w:sz w:val="20"/>
                <w:szCs w:val="20"/>
              </w:rPr>
            </w:pPr>
            <w:r w:rsidRPr="00D924A1">
              <w:rPr>
                <w:rStyle w:val="Bodytext212pt"/>
                <w:rFonts w:ascii="Sylfaen" w:hAnsi="Sylfaen"/>
                <w:sz w:val="20"/>
                <w:szCs w:val="20"/>
              </w:rPr>
              <w:t>Ծանուցումն ԱՀԿ ներկայացնելու՝ ԱՀԿ-ի համապատասխան համաձայնագրով սահմանված ժամկետը</w:t>
            </w:r>
          </w:p>
        </w:tc>
        <w:tc>
          <w:tcPr>
            <w:tcW w:w="5811" w:type="dxa"/>
            <w:tcBorders>
              <w:top w:val="single" w:sz="4" w:space="0" w:color="auto"/>
              <w:left w:val="single" w:sz="4" w:space="0" w:color="auto"/>
              <w:bottom w:val="single" w:sz="4" w:space="0" w:color="auto"/>
            </w:tcBorders>
            <w:shd w:val="clear" w:color="auto" w:fill="FFFFFF"/>
            <w:vAlign w:val="center"/>
          </w:tcPr>
          <w:p w:rsidR="00486467" w:rsidRPr="00D924A1" w:rsidRDefault="008279EE" w:rsidP="00DA5BCC">
            <w:pPr>
              <w:pStyle w:val="Bodytext20"/>
              <w:shd w:val="clear" w:color="auto" w:fill="auto"/>
              <w:spacing w:before="0" w:after="120" w:line="240" w:lineRule="auto"/>
              <w:jc w:val="center"/>
              <w:rPr>
                <w:rFonts w:ascii="Sylfaen" w:hAnsi="Sylfaen"/>
                <w:sz w:val="20"/>
                <w:szCs w:val="20"/>
              </w:rPr>
            </w:pPr>
            <w:r w:rsidRPr="00D924A1">
              <w:rPr>
                <w:rStyle w:val="Bodytext212pt"/>
                <w:rFonts w:ascii="Sylfaen" w:hAnsi="Sylfaen"/>
                <w:sz w:val="20"/>
                <w:szCs w:val="20"/>
              </w:rPr>
              <w:t>Ծանուցման ենթակա տեղեկությունները</w:t>
            </w:r>
          </w:p>
        </w:tc>
        <w:tc>
          <w:tcPr>
            <w:tcW w:w="3865" w:type="dxa"/>
            <w:tcBorders>
              <w:top w:val="single" w:sz="4" w:space="0" w:color="auto"/>
              <w:left w:val="single" w:sz="4" w:space="0" w:color="auto"/>
              <w:bottom w:val="single" w:sz="4" w:space="0" w:color="auto"/>
              <w:right w:val="single" w:sz="4" w:space="0" w:color="auto"/>
            </w:tcBorders>
            <w:shd w:val="clear" w:color="auto" w:fill="FFFFFF"/>
            <w:vAlign w:val="center"/>
          </w:tcPr>
          <w:p w:rsidR="00486467" w:rsidRPr="00D924A1" w:rsidRDefault="008279EE" w:rsidP="00DA5BCC">
            <w:pPr>
              <w:pStyle w:val="Bodytext20"/>
              <w:shd w:val="clear" w:color="auto" w:fill="auto"/>
              <w:spacing w:before="0" w:after="120" w:line="240" w:lineRule="auto"/>
              <w:jc w:val="center"/>
              <w:rPr>
                <w:rFonts w:ascii="Sylfaen" w:hAnsi="Sylfaen"/>
                <w:sz w:val="20"/>
                <w:szCs w:val="20"/>
              </w:rPr>
            </w:pPr>
            <w:r w:rsidRPr="00D924A1">
              <w:rPr>
                <w:rStyle w:val="Bodytext212pt"/>
                <w:rFonts w:ascii="Sylfaen" w:hAnsi="Sylfaen"/>
                <w:sz w:val="20"/>
                <w:szCs w:val="20"/>
              </w:rPr>
              <w:t>Եվրասիական տնտեսական հանձնաժողովի կողմից ծանուցման նախագիծը լիազորված մարմինների կառուցվածքային ստորաբաժանումներ ուղարկելու ժամկետը</w:t>
            </w:r>
          </w:p>
        </w:tc>
      </w:tr>
      <w:tr w:rsidR="001502CF" w:rsidRPr="00D924A1" w:rsidTr="007467EC">
        <w:trPr>
          <w:jc w:val="center"/>
        </w:trPr>
        <w:tc>
          <w:tcPr>
            <w:tcW w:w="15272" w:type="dxa"/>
            <w:gridSpan w:val="4"/>
            <w:tcBorders>
              <w:top w:val="single" w:sz="4" w:space="0" w:color="auto"/>
            </w:tcBorders>
            <w:shd w:val="clear" w:color="auto" w:fill="FFFFFF"/>
            <w:vAlign w:val="center"/>
          </w:tcPr>
          <w:p w:rsidR="00486467" w:rsidRPr="00D924A1" w:rsidRDefault="008279EE" w:rsidP="001502CF">
            <w:pPr>
              <w:pStyle w:val="Bodytext20"/>
              <w:shd w:val="clear" w:color="auto" w:fill="auto"/>
              <w:spacing w:before="0" w:after="120" w:line="240" w:lineRule="auto"/>
              <w:jc w:val="center"/>
              <w:rPr>
                <w:rFonts w:ascii="Sylfaen" w:hAnsi="Sylfaen"/>
                <w:sz w:val="20"/>
                <w:szCs w:val="20"/>
              </w:rPr>
            </w:pPr>
            <w:r w:rsidRPr="00D924A1">
              <w:rPr>
                <w:rStyle w:val="Bodytext212pt"/>
                <w:rFonts w:ascii="Sylfaen" w:hAnsi="Sylfaen"/>
                <w:sz w:val="20"/>
                <w:szCs w:val="20"/>
              </w:rPr>
              <w:t xml:space="preserve">I. 1994 թվականի «Սակագների </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առ</w:t>
            </w:r>
            <w:r w:rsidR="001502CF" w:rsidRPr="00D924A1">
              <w:rPr>
                <w:rStyle w:val="Bodytext212pt"/>
                <w:rFonts w:ascii="Sylfaen" w:hAnsi="Sylfaen"/>
                <w:sz w:val="20"/>
                <w:szCs w:val="20"/>
              </w:rPr>
              <w:t>եւ</w:t>
            </w:r>
            <w:r w:rsidRPr="00D924A1">
              <w:rPr>
                <w:rStyle w:val="Bodytext212pt"/>
                <w:rFonts w:ascii="Sylfaen" w:hAnsi="Sylfaen"/>
                <w:sz w:val="20"/>
                <w:szCs w:val="20"/>
              </w:rPr>
              <w:t>տրի գլխավոր համաձայնագիր»</w:t>
            </w:r>
          </w:p>
        </w:tc>
      </w:tr>
      <w:tr w:rsidR="001502CF" w:rsidRPr="00D924A1" w:rsidTr="0061617B">
        <w:trPr>
          <w:jc w:val="center"/>
        </w:trPr>
        <w:tc>
          <w:tcPr>
            <w:tcW w:w="2412" w:type="dxa"/>
            <w:shd w:val="clear" w:color="auto" w:fill="FFFFFF"/>
          </w:tcPr>
          <w:p w:rsidR="00486467" w:rsidRPr="00D924A1" w:rsidRDefault="00DA5BCC" w:rsidP="00DA5BCC">
            <w:pPr>
              <w:pStyle w:val="Bodytext20"/>
              <w:shd w:val="clear" w:color="auto" w:fill="auto"/>
              <w:tabs>
                <w:tab w:val="left" w:pos="483"/>
              </w:tabs>
              <w:spacing w:before="0" w:after="120" w:line="240" w:lineRule="auto"/>
              <w:ind w:left="22" w:right="207"/>
              <w:jc w:val="left"/>
              <w:rPr>
                <w:rFonts w:ascii="Sylfaen" w:hAnsi="Sylfaen"/>
                <w:sz w:val="20"/>
                <w:szCs w:val="20"/>
              </w:rPr>
            </w:pPr>
            <w:r w:rsidRPr="00D924A1">
              <w:rPr>
                <w:rStyle w:val="Bodytext212pt"/>
                <w:rFonts w:ascii="Sylfaen" w:hAnsi="Sylfaen"/>
                <w:sz w:val="20"/>
                <w:szCs w:val="20"/>
              </w:rPr>
              <w:t>1.</w:t>
            </w:r>
            <w:r w:rsidRPr="00D924A1">
              <w:rPr>
                <w:rStyle w:val="Bodytext212pt"/>
                <w:rFonts w:ascii="Sylfaen" w:hAnsi="Sylfaen"/>
                <w:sz w:val="20"/>
                <w:szCs w:val="20"/>
              </w:rPr>
              <w:tab/>
            </w:r>
            <w:r w:rsidR="008279EE" w:rsidRPr="00D924A1">
              <w:rPr>
                <w:rStyle w:val="Bodytext212pt"/>
                <w:rFonts w:ascii="Sylfaen" w:hAnsi="Sylfaen"/>
                <w:sz w:val="20"/>
                <w:szCs w:val="20"/>
              </w:rPr>
              <w:t xml:space="preserve">XXIV հոդված, ԱՀԿ-ի </w:t>
            </w:r>
            <w:r w:rsidR="00A45316" w:rsidRPr="00D924A1">
              <w:rPr>
                <w:rStyle w:val="Bodytext212pt"/>
                <w:rFonts w:ascii="Sylfaen" w:hAnsi="Sylfaen"/>
                <w:sz w:val="20"/>
                <w:szCs w:val="20"/>
              </w:rPr>
              <w:t>Գ</w:t>
            </w:r>
            <w:r w:rsidR="008279EE" w:rsidRPr="00D924A1">
              <w:rPr>
                <w:rStyle w:val="Bodytext212pt"/>
                <w:rFonts w:ascii="Sylfaen" w:hAnsi="Sylfaen"/>
                <w:sz w:val="20"/>
                <w:szCs w:val="20"/>
              </w:rPr>
              <w:t>լխավոր խորհրդի 2006</w:t>
            </w:r>
            <w:r w:rsidRPr="00D924A1">
              <w:rPr>
                <w:rStyle w:val="Bodytext212pt"/>
                <w:rFonts w:ascii="Sylfaen" w:hAnsi="Sylfaen"/>
                <w:sz w:val="20"/>
                <w:szCs w:val="20"/>
              </w:rPr>
              <w:t> </w:t>
            </w:r>
            <w:r w:rsidR="008279EE" w:rsidRPr="00D924A1">
              <w:rPr>
                <w:rStyle w:val="Bodytext212pt"/>
                <w:rFonts w:ascii="Sylfaen" w:hAnsi="Sylfaen"/>
                <w:sz w:val="20"/>
                <w:szCs w:val="20"/>
              </w:rPr>
              <w:t xml:space="preserve">թվականի դեկտեմբերի 18-ի WT/L/671 որոշում </w:t>
            </w:r>
            <w:r w:rsidR="008279EE" w:rsidRPr="00D924A1">
              <w:rPr>
                <w:rStyle w:val="Bodytext212pt"/>
                <w:rFonts w:ascii="Sylfaen" w:hAnsi="Sylfaen"/>
                <w:sz w:val="20"/>
                <w:szCs w:val="20"/>
              </w:rPr>
              <w:lastRenderedPageBreak/>
              <w:t>(տարածաշրջանային առ</w:t>
            </w:r>
            <w:r w:rsidR="001502CF" w:rsidRPr="00D924A1">
              <w:rPr>
                <w:rStyle w:val="Bodytext212pt"/>
                <w:rFonts w:ascii="Sylfaen" w:hAnsi="Sylfaen"/>
                <w:sz w:val="20"/>
                <w:szCs w:val="20"/>
              </w:rPr>
              <w:t>եւ</w:t>
            </w:r>
            <w:r w:rsidR="008279EE" w:rsidRPr="00D924A1">
              <w:rPr>
                <w:rStyle w:val="Bodytext212pt"/>
                <w:rFonts w:ascii="Sylfaen" w:hAnsi="Sylfaen"/>
                <w:sz w:val="20"/>
                <w:szCs w:val="20"/>
              </w:rPr>
              <w:t>տրային համաձայնագրերում (ՏԱՀ) թափանցիկության մեխանիզմի մասին)</w:t>
            </w:r>
          </w:p>
        </w:tc>
        <w:tc>
          <w:tcPr>
            <w:tcW w:w="3184" w:type="dxa"/>
            <w:shd w:val="clear" w:color="auto" w:fill="FFFFFF"/>
          </w:tcPr>
          <w:p w:rsidR="00486467" w:rsidRPr="00D924A1" w:rsidRDefault="008279EE" w:rsidP="004A5543">
            <w:pPr>
              <w:pStyle w:val="Bodytext20"/>
              <w:shd w:val="clear" w:color="auto" w:fill="auto"/>
              <w:spacing w:before="0" w:after="120" w:line="264" w:lineRule="auto"/>
              <w:ind w:left="23" w:right="45"/>
              <w:jc w:val="left"/>
              <w:rPr>
                <w:rFonts w:ascii="Sylfaen" w:hAnsi="Sylfaen"/>
                <w:sz w:val="20"/>
                <w:szCs w:val="20"/>
              </w:rPr>
            </w:pPr>
            <w:r w:rsidRPr="00D924A1">
              <w:rPr>
                <w:rStyle w:val="Bodytext212pt"/>
                <w:rFonts w:ascii="Sylfaen" w:hAnsi="Sylfaen"/>
                <w:sz w:val="20"/>
                <w:szCs w:val="20"/>
              </w:rPr>
              <w:lastRenderedPageBreak/>
              <w:t>անհապաղ (ՏԱՀ-ի վավերացման կամ այդպիսի համաձայնագրի կիրառման առնչությամբ որոշում ընդունելու օրվանից, սակայն մինչ</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այդպիսի համաձայնագրի </w:t>
            </w:r>
            <w:r w:rsidRPr="00D924A1">
              <w:rPr>
                <w:rStyle w:val="Bodytext212pt"/>
                <w:rFonts w:ascii="Sylfaen" w:hAnsi="Sylfaen"/>
                <w:sz w:val="20"/>
                <w:szCs w:val="20"/>
              </w:rPr>
              <w:lastRenderedPageBreak/>
              <w:t>կողմերի կողմից դրա կիրառումը սկսելը)</w:t>
            </w:r>
          </w:p>
        </w:tc>
        <w:tc>
          <w:tcPr>
            <w:tcW w:w="5811" w:type="dxa"/>
            <w:shd w:val="clear" w:color="auto" w:fill="FFFFFF"/>
          </w:tcPr>
          <w:p w:rsidR="00486467" w:rsidRPr="00D924A1" w:rsidRDefault="008279EE" w:rsidP="004A5543">
            <w:pPr>
              <w:pStyle w:val="Bodytext20"/>
              <w:shd w:val="clear" w:color="auto" w:fill="auto"/>
              <w:spacing w:before="0" w:after="120" w:line="264" w:lineRule="auto"/>
              <w:ind w:left="23" w:right="45"/>
              <w:jc w:val="left"/>
              <w:rPr>
                <w:rFonts w:ascii="Sylfaen" w:hAnsi="Sylfaen"/>
                <w:sz w:val="20"/>
                <w:szCs w:val="20"/>
              </w:rPr>
            </w:pPr>
            <w:r w:rsidRPr="00D924A1">
              <w:rPr>
                <w:rStyle w:val="Bodytext212pt"/>
                <w:rFonts w:ascii="Sylfaen" w:hAnsi="Sylfaen"/>
                <w:sz w:val="20"/>
                <w:szCs w:val="20"/>
              </w:rPr>
              <w:lastRenderedPageBreak/>
              <w:t xml:space="preserve">համաձայնագրի մասնակիցների մասին, համաձայնագիրը կնքելու </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այն ուժի մեջ մտնելու ամսաթվի մասին (հակիրճ</w:t>
            </w:r>
            <w:r w:rsidR="00DA5BCC" w:rsidRPr="00D924A1">
              <w:rPr>
                <w:rStyle w:val="Bodytext212pt"/>
                <w:rFonts w:ascii="Sylfaen" w:hAnsi="Sylfaen"/>
                <w:sz w:val="20"/>
                <w:szCs w:val="20"/>
              </w:rPr>
              <w:t> </w:t>
            </w:r>
            <w:r w:rsidRPr="00D924A1">
              <w:rPr>
                <w:rStyle w:val="Bodytext212pt"/>
                <w:rFonts w:ascii="Sylfaen" w:hAnsi="Sylfaen"/>
                <w:sz w:val="20"/>
                <w:szCs w:val="20"/>
              </w:rPr>
              <w:t>նկարագրություն), կնքված համաձայնագրի մասին (բացառա</w:t>
            </w:r>
            <w:r w:rsidR="000F3C26" w:rsidRPr="00D924A1">
              <w:rPr>
                <w:rStyle w:val="Bodytext212pt"/>
                <w:rFonts w:ascii="Sylfaen" w:hAnsi="Sylfaen"/>
                <w:sz w:val="20"/>
                <w:szCs w:val="20"/>
              </w:rPr>
              <w:t>պես</w:t>
            </w:r>
            <w:r w:rsidRPr="00D924A1">
              <w:rPr>
                <w:rStyle w:val="Bodytext212pt"/>
                <w:rFonts w:ascii="Sylfaen" w:hAnsi="Sylfaen"/>
                <w:sz w:val="20"/>
                <w:szCs w:val="20"/>
              </w:rPr>
              <w:t xml:space="preserve"> Եվրասիական տնտեսական միության (այսուհետ՝ Միություն) մասնակցությամբ կնքված</w:t>
            </w:r>
            <w:r w:rsidR="00B12D79" w:rsidRPr="00D924A1">
              <w:rPr>
                <w:rStyle w:val="Bodytext212pt"/>
                <w:rFonts w:ascii="Sylfaen" w:hAnsi="Sylfaen"/>
                <w:sz w:val="20"/>
                <w:szCs w:val="20"/>
              </w:rPr>
              <w:t>՝</w:t>
            </w:r>
            <w:r w:rsidRPr="00D924A1">
              <w:rPr>
                <w:rStyle w:val="Bodytext212pt"/>
                <w:rFonts w:ascii="Sylfaen" w:hAnsi="Sylfaen"/>
                <w:sz w:val="20"/>
                <w:szCs w:val="20"/>
              </w:rPr>
              <w:t xml:space="preserve"> ազատ </w:t>
            </w:r>
            <w:r w:rsidRPr="00D924A1">
              <w:rPr>
                <w:rStyle w:val="Bodytext212pt"/>
                <w:rFonts w:ascii="Sylfaen" w:hAnsi="Sylfaen"/>
                <w:sz w:val="20"/>
                <w:szCs w:val="20"/>
              </w:rPr>
              <w:lastRenderedPageBreak/>
              <w:t>առ</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տրի գոտիների մասին համաձայնագրի) </w:t>
            </w:r>
          </w:p>
        </w:tc>
        <w:tc>
          <w:tcPr>
            <w:tcW w:w="3865" w:type="dxa"/>
            <w:shd w:val="clear" w:color="auto" w:fill="FFFFFF"/>
          </w:tcPr>
          <w:p w:rsidR="00486467" w:rsidRPr="00D924A1" w:rsidRDefault="008279EE" w:rsidP="004A5543">
            <w:pPr>
              <w:pStyle w:val="Bodytext20"/>
              <w:shd w:val="clear" w:color="auto" w:fill="auto"/>
              <w:spacing w:before="0" w:after="120" w:line="264" w:lineRule="auto"/>
              <w:ind w:left="23" w:right="45"/>
              <w:jc w:val="left"/>
              <w:rPr>
                <w:rFonts w:ascii="Sylfaen" w:hAnsi="Sylfaen"/>
                <w:sz w:val="20"/>
                <w:szCs w:val="20"/>
              </w:rPr>
            </w:pPr>
            <w:r w:rsidRPr="00D924A1">
              <w:rPr>
                <w:rStyle w:val="Bodytext212pt"/>
                <w:rFonts w:ascii="Sylfaen" w:hAnsi="Sylfaen"/>
                <w:sz w:val="20"/>
                <w:szCs w:val="20"/>
              </w:rPr>
              <w:lastRenderedPageBreak/>
              <w:t>ոչ ուշ, քան Համաձայնագրի կիրառումն սկսելուց 30 օրացուցային օր առաջ</w:t>
            </w:r>
          </w:p>
        </w:tc>
      </w:tr>
      <w:tr w:rsidR="001502CF" w:rsidRPr="00D924A1" w:rsidTr="0061617B">
        <w:trPr>
          <w:jc w:val="center"/>
        </w:trPr>
        <w:tc>
          <w:tcPr>
            <w:tcW w:w="2412" w:type="dxa"/>
            <w:shd w:val="clear" w:color="auto" w:fill="FFFFFF"/>
          </w:tcPr>
          <w:p w:rsidR="0074593E" w:rsidRPr="00D924A1" w:rsidRDefault="00DA5BCC" w:rsidP="004A5543">
            <w:pPr>
              <w:pStyle w:val="Bodytext20"/>
              <w:shd w:val="clear" w:color="auto" w:fill="auto"/>
              <w:tabs>
                <w:tab w:val="left" w:pos="542"/>
              </w:tabs>
              <w:spacing w:before="0" w:after="120" w:line="240" w:lineRule="auto"/>
              <w:ind w:left="22" w:right="46"/>
              <w:jc w:val="left"/>
              <w:rPr>
                <w:rFonts w:ascii="Sylfaen" w:hAnsi="Sylfaen"/>
                <w:sz w:val="20"/>
                <w:szCs w:val="20"/>
              </w:rPr>
            </w:pPr>
            <w:r w:rsidRPr="00D924A1">
              <w:rPr>
                <w:rStyle w:val="Bodytext212pt"/>
                <w:rFonts w:ascii="Sylfaen" w:hAnsi="Sylfaen"/>
                <w:sz w:val="20"/>
                <w:szCs w:val="20"/>
              </w:rPr>
              <w:lastRenderedPageBreak/>
              <w:t>2.</w:t>
            </w:r>
            <w:r w:rsidRPr="00D924A1">
              <w:rPr>
                <w:rStyle w:val="Bodytext212pt"/>
                <w:rFonts w:ascii="Sylfaen" w:hAnsi="Sylfaen"/>
                <w:sz w:val="20"/>
                <w:szCs w:val="20"/>
                <w:lang w:val="en-US"/>
              </w:rPr>
              <w:tab/>
            </w:r>
            <w:r w:rsidR="0074593E" w:rsidRPr="00D924A1">
              <w:rPr>
                <w:rStyle w:val="Bodytext212pt"/>
                <w:rFonts w:ascii="Sylfaen" w:hAnsi="Sylfaen"/>
                <w:sz w:val="20"/>
                <w:szCs w:val="20"/>
              </w:rPr>
              <w:t xml:space="preserve">XXIV.7 հոդված </w:t>
            </w:r>
          </w:p>
        </w:tc>
        <w:tc>
          <w:tcPr>
            <w:tcW w:w="3184" w:type="dxa"/>
            <w:shd w:val="clear" w:color="auto" w:fill="FFFFFF"/>
          </w:tcPr>
          <w:p w:rsidR="0074593E" w:rsidRPr="00D924A1" w:rsidRDefault="0074593E" w:rsidP="001502CF">
            <w:pPr>
              <w:pStyle w:val="Bodytext20"/>
              <w:shd w:val="clear" w:color="auto" w:fill="auto"/>
              <w:spacing w:before="0" w:after="120" w:line="240" w:lineRule="auto"/>
              <w:ind w:left="22" w:right="46"/>
              <w:jc w:val="left"/>
              <w:rPr>
                <w:rFonts w:ascii="Sylfaen" w:hAnsi="Sylfaen"/>
                <w:sz w:val="20"/>
                <w:szCs w:val="20"/>
              </w:rPr>
            </w:pPr>
            <w:r w:rsidRPr="00D924A1">
              <w:rPr>
                <w:rStyle w:val="Bodytext212pt"/>
                <w:rFonts w:ascii="Sylfaen" w:hAnsi="Sylfaen"/>
                <w:sz w:val="20"/>
                <w:szCs w:val="20"/>
              </w:rPr>
              <w:t xml:space="preserve">համաձայնագիրը կնքելուց հետո </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մինչ</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w:t>
            </w:r>
            <w:r w:rsidR="000F0488" w:rsidRPr="00D924A1">
              <w:rPr>
                <w:rStyle w:val="Bodytext212pt"/>
                <w:rFonts w:ascii="Sylfaen" w:hAnsi="Sylfaen"/>
                <w:sz w:val="20"/>
                <w:szCs w:val="20"/>
              </w:rPr>
              <w:t>այն</w:t>
            </w:r>
            <w:r w:rsidRPr="00D924A1">
              <w:rPr>
                <w:rStyle w:val="Bodytext212pt"/>
                <w:rFonts w:ascii="Sylfaen" w:hAnsi="Sylfaen"/>
                <w:sz w:val="20"/>
                <w:szCs w:val="20"/>
              </w:rPr>
              <w:t xml:space="preserve"> ուժի մեջ մտնելը</w:t>
            </w:r>
          </w:p>
        </w:tc>
        <w:tc>
          <w:tcPr>
            <w:tcW w:w="5811" w:type="dxa"/>
            <w:shd w:val="clear" w:color="auto" w:fill="FFFFFF"/>
          </w:tcPr>
          <w:p w:rsidR="0074593E" w:rsidRPr="00D924A1" w:rsidRDefault="0074593E" w:rsidP="001502CF">
            <w:pPr>
              <w:pStyle w:val="Bodytext20"/>
              <w:shd w:val="clear" w:color="auto" w:fill="auto"/>
              <w:spacing w:before="0" w:after="120" w:line="240" w:lineRule="auto"/>
              <w:ind w:left="22" w:right="46"/>
              <w:jc w:val="left"/>
              <w:rPr>
                <w:rFonts w:ascii="Sylfaen" w:hAnsi="Sylfaen"/>
                <w:sz w:val="20"/>
                <w:szCs w:val="20"/>
              </w:rPr>
            </w:pPr>
            <w:r w:rsidRPr="00D924A1">
              <w:rPr>
                <w:rStyle w:val="Bodytext212pt"/>
                <w:rFonts w:ascii="Sylfaen" w:hAnsi="Sylfaen"/>
                <w:sz w:val="20"/>
                <w:szCs w:val="20"/>
              </w:rPr>
              <w:t>մաքսային միությանն անդամակցելու, ազատ առ</w:t>
            </w:r>
            <w:r w:rsidR="001502CF" w:rsidRPr="00D924A1">
              <w:rPr>
                <w:rStyle w:val="Bodytext212pt"/>
                <w:rFonts w:ascii="Sylfaen" w:hAnsi="Sylfaen"/>
                <w:sz w:val="20"/>
                <w:szCs w:val="20"/>
              </w:rPr>
              <w:t>եւ</w:t>
            </w:r>
            <w:r w:rsidRPr="00D924A1">
              <w:rPr>
                <w:rStyle w:val="Bodytext212pt"/>
                <w:rFonts w:ascii="Sylfaen" w:hAnsi="Sylfaen"/>
                <w:sz w:val="20"/>
                <w:szCs w:val="20"/>
              </w:rPr>
              <w:t>տրի գոտում կամ միության կամ գոտու ձ</w:t>
            </w:r>
            <w:r w:rsidR="001502CF" w:rsidRPr="00D924A1">
              <w:rPr>
                <w:rStyle w:val="Bodytext212pt"/>
                <w:rFonts w:ascii="Sylfaen" w:hAnsi="Sylfaen"/>
                <w:sz w:val="20"/>
                <w:szCs w:val="20"/>
              </w:rPr>
              <w:t>եւ</w:t>
            </w:r>
            <w:r w:rsidRPr="00D924A1">
              <w:rPr>
                <w:rStyle w:val="Bodytext212pt"/>
                <w:rFonts w:ascii="Sylfaen" w:hAnsi="Sylfaen"/>
                <w:sz w:val="20"/>
                <w:szCs w:val="20"/>
              </w:rPr>
              <w:t>ավորմանը հանգեցնող ժամանակավոր համաձայնագրերին մասնակցության մասին (բացառա</w:t>
            </w:r>
            <w:r w:rsidR="00996C98" w:rsidRPr="00D924A1">
              <w:rPr>
                <w:rStyle w:val="Bodytext212pt"/>
                <w:rFonts w:ascii="Sylfaen" w:hAnsi="Sylfaen"/>
                <w:sz w:val="20"/>
                <w:szCs w:val="20"/>
              </w:rPr>
              <w:t>պես</w:t>
            </w:r>
            <w:r w:rsidRPr="00D924A1">
              <w:rPr>
                <w:rStyle w:val="Bodytext212pt"/>
                <w:rFonts w:ascii="Sylfaen" w:hAnsi="Sylfaen"/>
                <w:sz w:val="20"/>
                <w:szCs w:val="20"/>
              </w:rPr>
              <w:t xml:space="preserve"> Միության մասնակցությամբ կնքված՝ ազատ առ</w:t>
            </w:r>
            <w:r w:rsidR="001502CF" w:rsidRPr="00D924A1">
              <w:rPr>
                <w:rStyle w:val="Bodytext212pt"/>
                <w:rFonts w:ascii="Sylfaen" w:hAnsi="Sylfaen"/>
                <w:sz w:val="20"/>
                <w:szCs w:val="20"/>
              </w:rPr>
              <w:t>եւ</w:t>
            </w:r>
            <w:r w:rsidRPr="00D924A1">
              <w:rPr>
                <w:rStyle w:val="Bodytext212pt"/>
                <w:rFonts w:ascii="Sylfaen" w:hAnsi="Sylfaen"/>
                <w:sz w:val="20"/>
                <w:szCs w:val="20"/>
              </w:rPr>
              <w:t>տրի գոտիների մասին համաձայնագրերի)</w:t>
            </w:r>
          </w:p>
        </w:tc>
        <w:tc>
          <w:tcPr>
            <w:tcW w:w="3865" w:type="dxa"/>
            <w:shd w:val="clear" w:color="auto" w:fill="FFFFFF"/>
          </w:tcPr>
          <w:p w:rsidR="0074593E" w:rsidRPr="00D924A1" w:rsidRDefault="0074593E" w:rsidP="001502CF">
            <w:pPr>
              <w:pStyle w:val="Bodytext20"/>
              <w:shd w:val="clear" w:color="auto" w:fill="auto"/>
              <w:spacing w:before="0" w:after="120" w:line="240" w:lineRule="auto"/>
              <w:ind w:left="22" w:right="46"/>
              <w:jc w:val="left"/>
              <w:rPr>
                <w:rFonts w:ascii="Sylfaen" w:hAnsi="Sylfaen"/>
                <w:sz w:val="20"/>
                <w:szCs w:val="20"/>
              </w:rPr>
            </w:pPr>
            <w:r w:rsidRPr="00D924A1">
              <w:rPr>
                <w:rStyle w:val="Bodytext212pt"/>
                <w:rFonts w:ascii="Sylfaen" w:hAnsi="Sylfaen"/>
                <w:sz w:val="20"/>
                <w:szCs w:val="20"/>
              </w:rPr>
              <w:t>Համաձայնագիրն ուժի մեջ մտնելու համար անհրաժեշտ ընթացակարգերն ավարտելու օրվանից 10 օրացուցային օրվա ընթացքում</w:t>
            </w:r>
          </w:p>
        </w:tc>
      </w:tr>
      <w:tr w:rsidR="001502CF" w:rsidRPr="00D924A1" w:rsidTr="000F0A89">
        <w:trPr>
          <w:jc w:val="center"/>
        </w:trPr>
        <w:tc>
          <w:tcPr>
            <w:tcW w:w="15272" w:type="dxa"/>
            <w:gridSpan w:val="4"/>
            <w:shd w:val="clear" w:color="auto" w:fill="FFFFFF"/>
            <w:vAlign w:val="center"/>
          </w:tcPr>
          <w:p w:rsidR="0074593E" w:rsidRPr="00D924A1" w:rsidRDefault="00602405" w:rsidP="001502CF">
            <w:pPr>
              <w:pStyle w:val="Bodytext20"/>
              <w:shd w:val="clear" w:color="auto" w:fill="auto"/>
              <w:spacing w:before="0" w:after="120" w:line="240" w:lineRule="auto"/>
              <w:jc w:val="center"/>
              <w:rPr>
                <w:rStyle w:val="Bodytext212pt"/>
                <w:rFonts w:ascii="Sylfaen" w:hAnsi="Sylfaen"/>
                <w:sz w:val="20"/>
                <w:szCs w:val="20"/>
              </w:rPr>
            </w:pPr>
            <w:r w:rsidRPr="00D924A1">
              <w:rPr>
                <w:rStyle w:val="Bodytext212pt"/>
                <w:rFonts w:ascii="Sylfaen" w:hAnsi="Sylfaen"/>
                <w:sz w:val="20"/>
                <w:szCs w:val="20"/>
              </w:rPr>
              <w:t xml:space="preserve">II. «Սանիտարական </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բուսասանիտարական միջոցառումների իրականացման մասին» համաձայնագիր</w:t>
            </w:r>
          </w:p>
        </w:tc>
      </w:tr>
      <w:tr w:rsidR="001502CF" w:rsidRPr="00D924A1" w:rsidTr="0061617B">
        <w:trPr>
          <w:jc w:val="center"/>
        </w:trPr>
        <w:tc>
          <w:tcPr>
            <w:tcW w:w="2412" w:type="dxa"/>
            <w:shd w:val="clear" w:color="auto" w:fill="FFFFFF"/>
          </w:tcPr>
          <w:p w:rsidR="0074593E" w:rsidRPr="00D924A1" w:rsidRDefault="00DA5BCC" w:rsidP="004A5543">
            <w:pPr>
              <w:pStyle w:val="Bodytext20"/>
              <w:shd w:val="clear" w:color="auto" w:fill="auto"/>
              <w:tabs>
                <w:tab w:val="left" w:pos="508"/>
              </w:tabs>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3.</w:t>
            </w:r>
            <w:r w:rsidRPr="00D924A1">
              <w:rPr>
                <w:rStyle w:val="Bodytext212pt"/>
                <w:rFonts w:ascii="Sylfaen" w:hAnsi="Sylfaen"/>
                <w:sz w:val="20"/>
                <w:szCs w:val="20"/>
              </w:rPr>
              <w:tab/>
            </w:r>
            <w:r w:rsidR="0074593E" w:rsidRPr="00D924A1">
              <w:rPr>
                <w:rStyle w:val="Bodytext212pt"/>
                <w:rFonts w:ascii="Sylfaen" w:hAnsi="Sylfaen"/>
                <w:sz w:val="20"/>
                <w:szCs w:val="20"/>
              </w:rPr>
              <w:t>7-րդ հոդված, «Բ»</w:t>
            </w:r>
            <w:r w:rsidR="004A5543" w:rsidRPr="00D924A1">
              <w:rPr>
                <w:rStyle w:val="Bodytext212pt"/>
                <w:rFonts w:ascii="Sylfaen" w:hAnsi="Sylfaen"/>
                <w:sz w:val="20"/>
                <w:szCs w:val="20"/>
              </w:rPr>
              <w:t> </w:t>
            </w:r>
            <w:r w:rsidR="0074593E" w:rsidRPr="00D924A1">
              <w:rPr>
                <w:rStyle w:val="Bodytext212pt"/>
                <w:rFonts w:ascii="Sylfaen" w:hAnsi="Sylfaen"/>
                <w:sz w:val="20"/>
                <w:szCs w:val="20"/>
              </w:rPr>
              <w:t>հավելվածի 5-րդ կետ</w:t>
            </w:r>
          </w:p>
        </w:tc>
        <w:tc>
          <w:tcPr>
            <w:tcW w:w="3184" w:type="dxa"/>
            <w:shd w:val="clear" w:color="auto" w:fill="FFFFFF"/>
            <w:vAlign w:val="bottom"/>
          </w:tcPr>
          <w:p w:rsidR="0074593E" w:rsidRPr="00D924A1" w:rsidRDefault="0074593E"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վաղ փուլում</w:t>
            </w:r>
            <w:r w:rsidR="000F0488" w:rsidRPr="00D924A1">
              <w:rPr>
                <w:rStyle w:val="Bodytext212pt"/>
                <w:rFonts w:ascii="Sylfaen" w:hAnsi="Sylfaen"/>
                <w:sz w:val="20"/>
                <w:szCs w:val="20"/>
              </w:rPr>
              <w:t>՝</w:t>
            </w:r>
            <w:r w:rsidRPr="00D924A1">
              <w:rPr>
                <w:rStyle w:val="Bodytext212pt"/>
                <w:rFonts w:ascii="Sylfaen" w:hAnsi="Sylfaen"/>
                <w:sz w:val="20"/>
                <w:szCs w:val="20"/>
              </w:rPr>
              <w:t xml:space="preserve"> մինչ</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միջոցառումների ձեռնարկումը (մինչ</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Եվրասիական տնտեսական հանձնաժողովի (այսուհետ՝ Հանձնաժողով) ակտի նախագիծը հանրային քննարկումների համար տեղադրելը)</w:t>
            </w:r>
          </w:p>
        </w:tc>
        <w:tc>
          <w:tcPr>
            <w:tcW w:w="5811" w:type="dxa"/>
            <w:shd w:val="clear" w:color="auto" w:fill="FFFFFF"/>
          </w:tcPr>
          <w:p w:rsidR="0074593E" w:rsidRPr="00D924A1" w:rsidRDefault="0074593E"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 xml:space="preserve">Հանձնաժողովի ակտերի այն նախագծերի մասին, որոնք «Սանիտարական </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բուսասանիտարական միջոցառումների իրականացման մասին» ԱՀԿ</w:t>
            </w:r>
            <w:r w:rsidR="0053713F" w:rsidRPr="00D924A1">
              <w:rPr>
                <w:rStyle w:val="Bodytext212pt"/>
                <w:rFonts w:ascii="Sylfaen" w:hAnsi="Sylfaen"/>
                <w:sz w:val="20"/>
                <w:szCs w:val="20"/>
              </w:rPr>
              <w:t>-ի</w:t>
            </w:r>
            <w:r w:rsidRPr="00D924A1">
              <w:rPr>
                <w:rStyle w:val="Bodytext212pt"/>
                <w:rFonts w:ascii="Sylfaen" w:hAnsi="Sylfaen"/>
                <w:sz w:val="20"/>
                <w:szCs w:val="20"/>
              </w:rPr>
              <w:t xml:space="preserve"> համաձայնագրի իմաստով համարվում են սանիտարական </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բուսասանիտարական միջոցառումներ (regular notifications)</w:t>
            </w:r>
          </w:p>
        </w:tc>
        <w:tc>
          <w:tcPr>
            <w:tcW w:w="3865" w:type="dxa"/>
            <w:shd w:val="clear" w:color="auto" w:fill="FFFFFF"/>
          </w:tcPr>
          <w:p w:rsidR="0074593E" w:rsidRPr="00D924A1" w:rsidRDefault="0074593E" w:rsidP="004A5543">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ոչ ուշ, քան Հանձնաժողովի ակտի նախագծի հանրային քննարկումն սկսելուց 10 աշխատանքային օր առաջ</w:t>
            </w:r>
          </w:p>
        </w:tc>
      </w:tr>
      <w:tr w:rsidR="001502CF" w:rsidRPr="00D924A1" w:rsidTr="009766E0">
        <w:trPr>
          <w:jc w:val="center"/>
        </w:trPr>
        <w:tc>
          <w:tcPr>
            <w:tcW w:w="15272" w:type="dxa"/>
            <w:gridSpan w:val="4"/>
            <w:shd w:val="clear" w:color="auto" w:fill="FFFFFF"/>
          </w:tcPr>
          <w:p w:rsidR="0074593E" w:rsidRPr="00D924A1" w:rsidRDefault="00A45316" w:rsidP="001502CF">
            <w:pPr>
              <w:pStyle w:val="Bodytext20"/>
              <w:shd w:val="clear" w:color="auto" w:fill="auto"/>
              <w:spacing w:before="0" w:after="120" w:line="240" w:lineRule="auto"/>
              <w:jc w:val="center"/>
              <w:rPr>
                <w:rStyle w:val="Bodytext212pt"/>
                <w:rFonts w:ascii="Sylfaen" w:hAnsi="Sylfaen"/>
                <w:sz w:val="20"/>
                <w:szCs w:val="20"/>
              </w:rPr>
            </w:pPr>
            <w:r w:rsidRPr="00D924A1">
              <w:rPr>
                <w:rStyle w:val="Bodytext212pt"/>
                <w:rFonts w:ascii="Sylfaen" w:hAnsi="Sylfaen"/>
                <w:sz w:val="20"/>
                <w:szCs w:val="20"/>
              </w:rPr>
              <w:t>III. «Գյուղատնտեսության մասին» համաձայնագիր</w:t>
            </w:r>
          </w:p>
        </w:tc>
      </w:tr>
      <w:tr w:rsidR="001502CF" w:rsidRPr="00D924A1" w:rsidTr="0061617B">
        <w:trPr>
          <w:jc w:val="center"/>
        </w:trPr>
        <w:tc>
          <w:tcPr>
            <w:tcW w:w="2412" w:type="dxa"/>
            <w:shd w:val="clear" w:color="auto" w:fill="FFFFFF"/>
          </w:tcPr>
          <w:p w:rsidR="0074593E" w:rsidRPr="00D924A1" w:rsidRDefault="00DA5BCC" w:rsidP="004A5543">
            <w:pPr>
              <w:pStyle w:val="Bodytext20"/>
              <w:shd w:val="clear" w:color="auto" w:fill="auto"/>
              <w:tabs>
                <w:tab w:val="left" w:pos="525"/>
              </w:tabs>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4.</w:t>
            </w:r>
            <w:r w:rsidRPr="00D924A1">
              <w:rPr>
                <w:rStyle w:val="Bodytext212pt"/>
                <w:rFonts w:ascii="Sylfaen" w:hAnsi="Sylfaen"/>
                <w:sz w:val="20"/>
                <w:szCs w:val="20"/>
                <w:lang w:val="en-US"/>
              </w:rPr>
              <w:tab/>
            </w:r>
            <w:r w:rsidR="0074593E" w:rsidRPr="00D924A1">
              <w:rPr>
                <w:rStyle w:val="Bodytext212pt"/>
                <w:rFonts w:ascii="Sylfaen" w:hAnsi="Sylfaen"/>
                <w:sz w:val="20"/>
                <w:szCs w:val="20"/>
                <w:lang w:val="en-US"/>
              </w:rPr>
              <w:t>1</w:t>
            </w:r>
            <w:r w:rsidR="0074593E" w:rsidRPr="00D924A1">
              <w:rPr>
                <w:rStyle w:val="Bodytext212pt"/>
                <w:rFonts w:ascii="Sylfaen" w:hAnsi="Sylfaen"/>
                <w:sz w:val="20"/>
                <w:szCs w:val="20"/>
              </w:rPr>
              <w:t xml:space="preserve">2.1 հոդված </w:t>
            </w:r>
          </w:p>
        </w:tc>
        <w:tc>
          <w:tcPr>
            <w:tcW w:w="3184" w:type="dxa"/>
            <w:shd w:val="clear" w:color="auto" w:fill="FFFFFF"/>
          </w:tcPr>
          <w:p w:rsidR="0074593E" w:rsidRPr="00D924A1" w:rsidRDefault="0074593E"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արգել</w:t>
            </w:r>
            <w:r w:rsidR="00A45316" w:rsidRPr="00D924A1">
              <w:rPr>
                <w:rStyle w:val="Bodytext212pt"/>
                <w:rFonts w:ascii="Sylfaen" w:hAnsi="Sylfaen"/>
                <w:sz w:val="20"/>
                <w:szCs w:val="20"/>
              </w:rPr>
              <w:t>քներ կամ սահմանափակումներ կիրառելուց ոչ ավելի, քան 30 օր առաջ, սակայն միջոցառումների ձեռնարկման օրվանից ոչ ուշ</w:t>
            </w:r>
          </w:p>
        </w:tc>
        <w:tc>
          <w:tcPr>
            <w:tcW w:w="5811" w:type="dxa"/>
            <w:shd w:val="clear" w:color="auto" w:fill="FFFFFF"/>
            <w:vAlign w:val="bottom"/>
          </w:tcPr>
          <w:p w:rsidR="0074593E" w:rsidRPr="00D924A1" w:rsidRDefault="0074593E"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 xml:space="preserve">1994 թվականի «Սակագների </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առ</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տրի գլխավոր համաձայնագրի» XI հոդվածի «ա» ենթակետին համապատասխան՝ պարենի արտահանման նկատմամբ նոր արգելքների կամ սահմանափակումների մասին (արտահանման այն արգելքների կամ սահմանափակումների </w:t>
            </w:r>
            <w:r w:rsidRPr="00D924A1">
              <w:rPr>
                <w:rStyle w:val="Bodytext212pt"/>
                <w:rFonts w:ascii="Sylfaen" w:hAnsi="Sylfaen"/>
                <w:sz w:val="20"/>
                <w:szCs w:val="20"/>
              </w:rPr>
              <w:lastRenderedPageBreak/>
              <w:t>մասին, որոնք ժամանակավորապես կիրառվում են պարենի կամ արտահանող պայմանավորվող կողմի համար զգալի նշանակություն ունեցող այլ ապրանքների խիստ պակասը կանխելու կամ հետ</w:t>
            </w:r>
            <w:r w:rsidR="001502CF" w:rsidRPr="00D924A1">
              <w:rPr>
                <w:rStyle w:val="Bodytext212pt"/>
                <w:rFonts w:ascii="Sylfaen" w:hAnsi="Sylfaen"/>
                <w:sz w:val="20"/>
                <w:szCs w:val="20"/>
              </w:rPr>
              <w:t>եւ</w:t>
            </w:r>
            <w:r w:rsidRPr="00D924A1">
              <w:rPr>
                <w:rStyle w:val="Bodytext212pt"/>
                <w:rFonts w:ascii="Sylfaen" w:hAnsi="Sylfaen"/>
                <w:sz w:val="20"/>
                <w:szCs w:val="20"/>
              </w:rPr>
              <w:t>անքները նվազեցնելու համար)</w:t>
            </w:r>
          </w:p>
        </w:tc>
        <w:tc>
          <w:tcPr>
            <w:tcW w:w="3865" w:type="dxa"/>
            <w:shd w:val="clear" w:color="auto" w:fill="FFFFFF"/>
          </w:tcPr>
          <w:p w:rsidR="0074593E" w:rsidRPr="00D924A1" w:rsidRDefault="0074593E"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lastRenderedPageBreak/>
              <w:t>արգելքներ կամ սահմանափակումներ կիրառելուց 35 օրացուցային օր առաջ</w:t>
            </w:r>
          </w:p>
        </w:tc>
      </w:tr>
      <w:tr w:rsidR="001502CF" w:rsidRPr="00D924A1" w:rsidTr="00D86A38">
        <w:trPr>
          <w:jc w:val="center"/>
        </w:trPr>
        <w:tc>
          <w:tcPr>
            <w:tcW w:w="15272" w:type="dxa"/>
            <w:gridSpan w:val="4"/>
            <w:shd w:val="clear" w:color="auto" w:fill="FFFFFF"/>
            <w:vAlign w:val="center"/>
          </w:tcPr>
          <w:p w:rsidR="00602405" w:rsidRPr="00D924A1" w:rsidRDefault="00602405" w:rsidP="001502CF">
            <w:pPr>
              <w:pStyle w:val="Bodytext20"/>
              <w:shd w:val="clear" w:color="auto" w:fill="auto"/>
              <w:spacing w:before="0" w:after="120" w:line="240" w:lineRule="auto"/>
              <w:jc w:val="center"/>
              <w:rPr>
                <w:rStyle w:val="Bodytext212pt"/>
                <w:rFonts w:ascii="Sylfaen" w:hAnsi="Sylfaen"/>
                <w:sz w:val="20"/>
                <w:szCs w:val="20"/>
              </w:rPr>
            </w:pPr>
            <w:r w:rsidRPr="00D924A1">
              <w:rPr>
                <w:rStyle w:val="Bodytext212pt"/>
                <w:rFonts w:ascii="Sylfaen" w:hAnsi="Sylfaen"/>
                <w:sz w:val="20"/>
                <w:szCs w:val="20"/>
              </w:rPr>
              <w:lastRenderedPageBreak/>
              <w:t xml:space="preserve">IV. «Լրավճարերի </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փոխհատուցման միջոցների մասին» համաձայնագիր</w:t>
            </w:r>
          </w:p>
        </w:tc>
      </w:tr>
      <w:tr w:rsidR="001502CF" w:rsidRPr="00D924A1" w:rsidTr="0061617B">
        <w:trPr>
          <w:jc w:val="center"/>
        </w:trPr>
        <w:tc>
          <w:tcPr>
            <w:tcW w:w="2412" w:type="dxa"/>
            <w:shd w:val="clear" w:color="auto" w:fill="FFFFFF"/>
          </w:tcPr>
          <w:p w:rsidR="00602405" w:rsidRPr="00D924A1" w:rsidRDefault="004A5543" w:rsidP="004A5543">
            <w:pPr>
              <w:pStyle w:val="Bodytext20"/>
              <w:shd w:val="clear" w:color="auto" w:fill="auto"/>
              <w:tabs>
                <w:tab w:val="left" w:pos="542"/>
              </w:tabs>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5.</w:t>
            </w:r>
            <w:r w:rsidRPr="00D924A1">
              <w:rPr>
                <w:rStyle w:val="Bodytext212pt"/>
                <w:rFonts w:ascii="Sylfaen" w:hAnsi="Sylfaen"/>
                <w:sz w:val="20"/>
                <w:szCs w:val="20"/>
              </w:rPr>
              <w:tab/>
            </w:r>
            <w:r w:rsidR="00602405" w:rsidRPr="00D924A1">
              <w:rPr>
                <w:rStyle w:val="Bodytext212pt"/>
                <w:rFonts w:ascii="Sylfaen" w:hAnsi="Sylfaen"/>
                <w:sz w:val="20"/>
                <w:szCs w:val="20"/>
              </w:rPr>
              <w:t xml:space="preserve">25.12 հոդված </w:t>
            </w:r>
          </w:p>
        </w:tc>
        <w:tc>
          <w:tcPr>
            <w:tcW w:w="3184" w:type="dxa"/>
            <w:shd w:val="clear" w:color="auto" w:fill="FFFFFF"/>
          </w:tcPr>
          <w:p w:rsidR="00602405" w:rsidRPr="00D924A1" w:rsidRDefault="00602405"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միաժամանակ</w:t>
            </w:r>
          </w:p>
        </w:tc>
        <w:tc>
          <w:tcPr>
            <w:tcW w:w="5811" w:type="dxa"/>
            <w:shd w:val="clear" w:color="auto" w:fill="FFFFFF"/>
            <w:vAlign w:val="center"/>
          </w:tcPr>
          <w:p w:rsidR="00602405" w:rsidRPr="00D924A1" w:rsidRDefault="00602405"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 xml:space="preserve">Միության անդամ պետության՝ փոխհատուցման ուսումնասիրությունների նախաձեռնման </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անցկացման համար պատասխանատու մարմնի, ինչպես նա</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այդպիսի ուսումնասիրություններ սկսելու </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անցկացնելու կարգը սահմանող ընթացակարգերի մասին</w:t>
            </w:r>
          </w:p>
        </w:tc>
        <w:tc>
          <w:tcPr>
            <w:tcW w:w="3865" w:type="dxa"/>
            <w:shd w:val="clear" w:color="auto" w:fill="FFFFFF"/>
            <w:vAlign w:val="bottom"/>
          </w:tcPr>
          <w:p w:rsidR="00602405" w:rsidRPr="00D924A1" w:rsidRDefault="00602405"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համապատասխան ակտի հրապարակման օրվանից 15 կամ ավելի օրացուցային օրվա ընթացքում ՝ Միության մարմնի ակտի ծավալով պայմանավորված</w:t>
            </w:r>
          </w:p>
        </w:tc>
      </w:tr>
      <w:tr w:rsidR="001502CF" w:rsidRPr="00D924A1" w:rsidTr="0061617B">
        <w:trPr>
          <w:jc w:val="center"/>
        </w:trPr>
        <w:tc>
          <w:tcPr>
            <w:tcW w:w="2412" w:type="dxa"/>
            <w:shd w:val="clear" w:color="auto" w:fill="FFFFFF"/>
          </w:tcPr>
          <w:p w:rsidR="00602405" w:rsidRPr="00D924A1" w:rsidRDefault="004A5543" w:rsidP="004A5543">
            <w:pPr>
              <w:pStyle w:val="Bodytext20"/>
              <w:shd w:val="clear" w:color="auto" w:fill="auto"/>
              <w:tabs>
                <w:tab w:val="left" w:pos="542"/>
              </w:tabs>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6.</w:t>
            </w:r>
            <w:r w:rsidRPr="00D924A1">
              <w:rPr>
                <w:rStyle w:val="Bodytext212pt"/>
                <w:rFonts w:ascii="Sylfaen" w:hAnsi="Sylfaen"/>
                <w:sz w:val="20"/>
                <w:szCs w:val="20"/>
              </w:rPr>
              <w:tab/>
            </w:r>
            <w:r w:rsidR="00602405" w:rsidRPr="00D924A1">
              <w:rPr>
                <w:rStyle w:val="Bodytext212pt"/>
                <w:rFonts w:ascii="Sylfaen" w:hAnsi="Sylfaen"/>
                <w:sz w:val="20"/>
                <w:szCs w:val="20"/>
              </w:rPr>
              <w:t xml:space="preserve">32.6 հոդված </w:t>
            </w:r>
          </w:p>
        </w:tc>
        <w:tc>
          <w:tcPr>
            <w:tcW w:w="3184" w:type="dxa"/>
            <w:shd w:val="clear" w:color="auto" w:fill="FFFFFF"/>
          </w:tcPr>
          <w:p w:rsidR="00602405" w:rsidRPr="00D924A1" w:rsidRDefault="00602405" w:rsidP="001502CF">
            <w:pPr>
              <w:spacing w:after="120"/>
              <w:ind w:left="22" w:right="46"/>
              <w:rPr>
                <w:rStyle w:val="Bodytext212pt"/>
                <w:rFonts w:ascii="Sylfaen" w:eastAsia="Sylfaen" w:hAnsi="Sylfaen"/>
                <w:sz w:val="20"/>
                <w:szCs w:val="20"/>
              </w:rPr>
            </w:pPr>
          </w:p>
        </w:tc>
        <w:tc>
          <w:tcPr>
            <w:tcW w:w="5811" w:type="dxa"/>
            <w:shd w:val="clear" w:color="auto" w:fill="FFFFFF"/>
          </w:tcPr>
          <w:p w:rsidR="00602405" w:rsidRPr="00D924A1" w:rsidRDefault="00602405"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 xml:space="preserve">օրենսդրության՝ ուսումնասիրությունների անցկացման </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փոխհատուցման միջոցների սահմանման հետ կապված ցանկացած փոփոխության մասին</w:t>
            </w:r>
          </w:p>
        </w:tc>
        <w:tc>
          <w:tcPr>
            <w:tcW w:w="3865" w:type="dxa"/>
            <w:shd w:val="clear" w:color="auto" w:fill="FFFFFF"/>
          </w:tcPr>
          <w:p w:rsidR="00602405" w:rsidRPr="00D924A1" w:rsidRDefault="00602405"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Միության մարմնի ակտը կամ Միության շրջանակներում կնքվող միջազգային պայմանագիրն ուժի մեջ մտնելու ժամկետով կամ դրանց ծավալով պայմանավորված</w:t>
            </w:r>
          </w:p>
        </w:tc>
      </w:tr>
      <w:tr w:rsidR="001502CF" w:rsidRPr="00D924A1" w:rsidTr="0061617B">
        <w:trPr>
          <w:jc w:val="center"/>
        </w:trPr>
        <w:tc>
          <w:tcPr>
            <w:tcW w:w="2412" w:type="dxa"/>
            <w:shd w:val="clear" w:color="auto" w:fill="FFFFFF"/>
          </w:tcPr>
          <w:p w:rsidR="00602405" w:rsidRPr="00D924A1" w:rsidRDefault="004A5543" w:rsidP="004A5543">
            <w:pPr>
              <w:pStyle w:val="Bodytext20"/>
              <w:shd w:val="clear" w:color="auto" w:fill="auto"/>
              <w:tabs>
                <w:tab w:val="left" w:pos="542"/>
              </w:tabs>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7.</w:t>
            </w:r>
            <w:r w:rsidRPr="00D924A1">
              <w:rPr>
                <w:rStyle w:val="Bodytext212pt"/>
                <w:rFonts w:ascii="Sylfaen" w:hAnsi="Sylfaen"/>
                <w:sz w:val="20"/>
                <w:szCs w:val="20"/>
              </w:rPr>
              <w:tab/>
            </w:r>
            <w:r w:rsidR="00602405" w:rsidRPr="00D924A1">
              <w:rPr>
                <w:rStyle w:val="Bodytext212pt"/>
                <w:rFonts w:ascii="Sylfaen" w:hAnsi="Sylfaen"/>
                <w:sz w:val="20"/>
                <w:szCs w:val="20"/>
              </w:rPr>
              <w:t xml:space="preserve">25.11 հոդված </w:t>
            </w:r>
          </w:p>
        </w:tc>
        <w:tc>
          <w:tcPr>
            <w:tcW w:w="3184" w:type="dxa"/>
            <w:shd w:val="clear" w:color="auto" w:fill="FFFFFF"/>
          </w:tcPr>
          <w:p w:rsidR="00602405" w:rsidRPr="00D924A1" w:rsidRDefault="00602405"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անհապաղ</w:t>
            </w:r>
          </w:p>
        </w:tc>
        <w:tc>
          <w:tcPr>
            <w:tcW w:w="5811" w:type="dxa"/>
            <w:shd w:val="clear" w:color="auto" w:fill="FFFFFF"/>
          </w:tcPr>
          <w:p w:rsidR="00602405" w:rsidRPr="00D924A1" w:rsidRDefault="00602405"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փոխհատուցման տուրքերի առնչությամբ ձեռնարկված նախնական կամ վերջնական գործողությունների մասին</w:t>
            </w:r>
          </w:p>
        </w:tc>
        <w:tc>
          <w:tcPr>
            <w:tcW w:w="3865" w:type="dxa"/>
            <w:shd w:val="clear" w:color="auto" w:fill="FFFFFF"/>
          </w:tcPr>
          <w:p w:rsidR="00602405" w:rsidRPr="00D924A1" w:rsidRDefault="00602405" w:rsidP="004A5543">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Հանձնաժողովի համապատասխան որոշումը կամ Հանձնաժողովի ծանուցագիրը հրապարակելու</w:t>
            </w:r>
            <w:r w:rsidR="001502CF" w:rsidRPr="00D924A1">
              <w:rPr>
                <w:rStyle w:val="Bodytext212pt"/>
                <w:rFonts w:ascii="Sylfaen" w:hAnsi="Sylfaen"/>
                <w:sz w:val="20"/>
                <w:szCs w:val="20"/>
              </w:rPr>
              <w:t xml:space="preserve"> </w:t>
            </w:r>
            <w:r w:rsidRPr="00D924A1">
              <w:rPr>
                <w:rStyle w:val="Bodytext212pt"/>
                <w:rFonts w:ascii="Sylfaen" w:hAnsi="Sylfaen"/>
                <w:sz w:val="20"/>
                <w:szCs w:val="20"/>
              </w:rPr>
              <w:t>օրվանից 16 օրացուցային օրվա ընթացքում կամ Հանձնաժողովի որոշումն ուժի մեջ մտնելու օրվանից 15 օրացուցային օրվա ընթացքում («Եվրասիական տնտեսական հանձնաժողովի մասին» հիմնադրույթի («Եվրասիական տնտեսական միության մասին» 2014</w:t>
            </w:r>
            <w:r w:rsidR="004A5543" w:rsidRPr="00D924A1">
              <w:rPr>
                <w:rStyle w:val="Bodytext212pt"/>
                <w:rFonts w:ascii="Sylfaen" w:hAnsi="Sylfaen"/>
                <w:sz w:val="20"/>
                <w:szCs w:val="20"/>
              </w:rPr>
              <w:t> </w:t>
            </w:r>
            <w:r w:rsidRPr="00D924A1">
              <w:rPr>
                <w:rStyle w:val="Bodytext212pt"/>
                <w:rFonts w:ascii="Sylfaen" w:hAnsi="Sylfaen"/>
                <w:sz w:val="20"/>
                <w:szCs w:val="20"/>
              </w:rPr>
              <w:t xml:space="preserve">թվական մայիսի 29-ի պայմանագրի թիվ 1 հավելված) 30-րդ կետի հիման վրա </w:t>
            </w:r>
            <w:r w:rsidRPr="00D924A1">
              <w:rPr>
                <w:rStyle w:val="Bodytext212pt"/>
                <w:rFonts w:ascii="Sylfaen" w:hAnsi="Sylfaen"/>
                <w:sz w:val="20"/>
                <w:szCs w:val="20"/>
              </w:rPr>
              <w:lastRenderedPageBreak/>
              <w:t>Հանձնաժողովի որոշումն ուժի մեջ մտնելու գործընթացը դադարեցնելու դեպքում)</w:t>
            </w:r>
          </w:p>
        </w:tc>
      </w:tr>
      <w:tr w:rsidR="001502CF" w:rsidRPr="00D924A1" w:rsidTr="004A5543">
        <w:trPr>
          <w:jc w:val="center"/>
        </w:trPr>
        <w:tc>
          <w:tcPr>
            <w:tcW w:w="2412" w:type="dxa"/>
            <w:shd w:val="clear" w:color="auto" w:fill="FFFFFF"/>
          </w:tcPr>
          <w:p w:rsidR="00A7098A" w:rsidRPr="00D924A1" w:rsidRDefault="004A5543" w:rsidP="004A5543">
            <w:pPr>
              <w:pStyle w:val="Bodytext20"/>
              <w:shd w:val="clear" w:color="auto" w:fill="auto"/>
              <w:tabs>
                <w:tab w:val="left" w:pos="483"/>
              </w:tabs>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lastRenderedPageBreak/>
              <w:t>8.</w:t>
            </w:r>
            <w:r w:rsidRPr="00D924A1">
              <w:rPr>
                <w:rStyle w:val="Bodytext212pt"/>
                <w:rFonts w:ascii="Sylfaen" w:hAnsi="Sylfaen"/>
                <w:sz w:val="20"/>
                <w:szCs w:val="20"/>
              </w:rPr>
              <w:tab/>
            </w:r>
            <w:r w:rsidR="00A7098A" w:rsidRPr="00D924A1">
              <w:rPr>
                <w:rStyle w:val="Bodytext212pt"/>
                <w:rFonts w:ascii="Sylfaen" w:hAnsi="Sylfaen"/>
                <w:sz w:val="20"/>
                <w:szCs w:val="20"/>
              </w:rPr>
              <w:t>25.11 հոդված</w:t>
            </w:r>
          </w:p>
        </w:tc>
        <w:tc>
          <w:tcPr>
            <w:tcW w:w="3184" w:type="dxa"/>
            <w:shd w:val="clear" w:color="auto" w:fill="FFFFFF"/>
          </w:tcPr>
          <w:p w:rsidR="00A7098A" w:rsidRPr="00D924A1" w:rsidRDefault="00A7098A"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կիսամյակը մեկ անգամ</w:t>
            </w:r>
          </w:p>
        </w:tc>
        <w:tc>
          <w:tcPr>
            <w:tcW w:w="5811" w:type="dxa"/>
            <w:shd w:val="clear" w:color="auto" w:fill="FFFFFF"/>
          </w:tcPr>
          <w:p w:rsidR="00A7098A" w:rsidRPr="00D924A1" w:rsidRDefault="00A7098A" w:rsidP="004A5543">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նախորդ 6 ամսվա ընթացքում փոխհատուցման տուրքերի առնչությամբ ձեռնարկված ցանկացած գործողության մասին</w:t>
            </w:r>
          </w:p>
        </w:tc>
        <w:tc>
          <w:tcPr>
            <w:tcW w:w="3865" w:type="dxa"/>
            <w:shd w:val="clear" w:color="auto" w:fill="FFFFFF"/>
          </w:tcPr>
          <w:p w:rsidR="00A7098A" w:rsidRPr="00D924A1" w:rsidRDefault="00A7098A"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հաշվետու ժամանակաշրջանն ավարտվելու օրվանից 45 օրացուցային օրվա ընթացքում</w:t>
            </w:r>
          </w:p>
        </w:tc>
      </w:tr>
      <w:tr w:rsidR="001502CF" w:rsidRPr="00D924A1" w:rsidTr="004A5543">
        <w:trPr>
          <w:trHeight w:val="551"/>
          <w:jc w:val="center"/>
        </w:trPr>
        <w:tc>
          <w:tcPr>
            <w:tcW w:w="15272" w:type="dxa"/>
            <w:gridSpan w:val="4"/>
            <w:shd w:val="clear" w:color="auto" w:fill="FFFFFF"/>
            <w:vAlign w:val="center"/>
          </w:tcPr>
          <w:p w:rsidR="00A7098A" w:rsidRPr="00D924A1" w:rsidRDefault="00A7098A" w:rsidP="001502CF">
            <w:pPr>
              <w:pStyle w:val="Bodytext20"/>
              <w:shd w:val="clear" w:color="auto" w:fill="auto"/>
              <w:spacing w:before="0" w:after="120" w:line="240" w:lineRule="auto"/>
              <w:jc w:val="center"/>
              <w:rPr>
                <w:rStyle w:val="Bodytext212pt"/>
                <w:rFonts w:ascii="Sylfaen" w:hAnsi="Sylfaen"/>
                <w:sz w:val="20"/>
                <w:szCs w:val="20"/>
              </w:rPr>
            </w:pPr>
            <w:r w:rsidRPr="00D924A1">
              <w:rPr>
                <w:rStyle w:val="Bodytext212pt"/>
                <w:rFonts w:ascii="Sylfaen" w:hAnsi="Sylfaen"/>
                <w:sz w:val="20"/>
                <w:szCs w:val="20"/>
              </w:rPr>
              <w:t xml:space="preserve">V. «1994 թվականի սակագների </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առ</w:t>
            </w:r>
            <w:r w:rsidR="001502CF" w:rsidRPr="00D924A1">
              <w:rPr>
                <w:rStyle w:val="Bodytext212pt"/>
                <w:rFonts w:ascii="Sylfaen" w:hAnsi="Sylfaen"/>
                <w:sz w:val="20"/>
                <w:szCs w:val="20"/>
              </w:rPr>
              <w:t>եւ</w:t>
            </w:r>
            <w:r w:rsidRPr="00D924A1">
              <w:rPr>
                <w:rStyle w:val="Bodytext212pt"/>
                <w:rFonts w:ascii="Sylfaen" w:hAnsi="Sylfaen"/>
                <w:sz w:val="20"/>
                <w:szCs w:val="20"/>
              </w:rPr>
              <w:t>տրի գլխավոր համաձայնագրի VI հոդվածի կիրառման մասին» համաձայնագիր</w:t>
            </w:r>
          </w:p>
        </w:tc>
      </w:tr>
      <w:tr w:rsidR="001502CF" w:rsidRPr="00D924A1" w:rsidTr="0061617B">
        <w:trPr>
          <w:jc w:val="center"/>
        </w:trPr>
        <w:tc>
          <w:tcPr>
            <w:tcW w:w="2412" w:type="dxa"/>
            <w:shd w:val="clear" w:color="auto" w:fill="FFFFFF"/>
          </w:tcPr>
          <w:p w:rsidR="00A7098A" w:rsidRPr="00D924A1" w:rsidRDefault="004A5543" w:rsidP="004A5543">
            <w:pPr>
              <w:pStyle w:val="Bodytext20"/>
              <w:shd w:val="clear" w:color="auto" w:fill="auto"/>
              <w:tabs>
                <w:tab w:val="left" w:pos="542"/>
              </w:tabs>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9.</w:t>
            </w:r>
            <w:r w:rsidRPr="00D924A1">
              <w:rPr>
                <w:rStyle w:val="Bodytext212pt"/>
                <w:rFonts w:ascii="Sylfaen" w:hAnsi="Sylfaen"/>
                <w:sz w:val="20"/>
                <w:szCs w:val="20"/>
              </w:rPr>
              <w:tab/>
            </w:r>
            <w:r w:rsidR="00A7098A" w:rsidRPr="00D924A1">
              <w:rPr>
                <w:rStyle w:val="Bodytext212pt"/>
                <w:rFonts w:ascii="Sylfaen" w:hAnsi="Sylfaen"/>
                <w:sz w:val="20"/>
                <w:szCs w:val="20"/>
              </w:rPr>
              <w:t>16.4 հոդված</w:t>
            </w:r>
          </w:p>
        </w:tc>
        <w:tc>
          <w:tcPr>
            <w:tcW w:w="3184" w:type="dxa"/>
            <w:shd w:val="clear" w:color="auto" w:fill="FFFFFF"/>
          </w:tcPr>
          <w:p w:rsidR="00A7098A" w:rsidRPr="00D924A1" w:rsidRDefault="00A7098A"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անհապաղ</w:t>
            </w:r>
          </w:p>
        </w:tc>
        <w:tc>
          <w:tcPr>
            <w:tcW w:w="5811" w:type="dxa"/>
            <w:shd w:val="clear" w:color="auto" w:fill="FFFFFF"/>
          </w:tcPr>
          <w:p w:rsidR="00A7098A" w:rsidRPr="00D924A1" w:rsidRDefault="00A7098A"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 xml:space="preserve">հակագնագցման ուսումնասիրությունների </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միջոցների առնչությամբ ձեռնարկված նախնական կամ վերջնական գործողությունների մասին</w:t>
            </w:r>
          </w:p>
        </w:tc>
        <w:tc>
          <w:tcPr>
            <w:tcW w:w="3865" w:type="dxa"/>
            <w:shd w:val="clear" w:color="auto" w:fill="FFFFFF"/>
            <w:vAlign w:val="center"/>
          </w:tcPr>
          <w:p w:rsidR="00A7098A" w:rsidRPr="00D924A1" w:rsidRDefault="00A7098A" w:rsidP="004A5543">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Հանձնաժողովի համապատասխան որոշումը կամ Հանձնաժողովի ծանուցագիրը հրապարակելու օրվանից 16 օրացուցային օրվա ընթացքում կամ Հանձնաժողովի որոշումն ուժի մեջ մտնելու օրվանից 15 օրացուցային օրվա ընթացքում («Եվրասիական տնտեսական հանձնաժողովի մասին» հիմնադրույթի («Եվրասիական տնտեսական միության մասին» 2014</w:t>
            </w:r>
            <w:r w:rsidR="004A5543" w:rsidRPr="00D924A1">
              <w:rPr>
                <w:rStyle w:val="Bodytext212pt"/>
                <w:rFonts w:ascii="Sylfaen" w:hAnsi="Sylfaen"/>
                <w:sz w:val="20"/>
                <w:szCs w:val="20"/>
              </w:rPr>
              <w:t> </w:t>
            </w:r>
            <w:r w:rsidRPr="00D924A1">
              <w:rPr>
                <w:rStyle w:val="Bodytext212pt"/>
                <w:rFonts w:ascii="Sylfaen" w:hAnsi="Sylfaen"/>
                <w:sz w:val="20"/>
                <w:szCs w:val="20"/>
              </w:rPr>
              <w:t>թվական մայիսի 29-ի պայմանագրի թիվ 1 հավելված) 30-րդ կետի հիման վրա Հանձնաժողովի որոշումն ուժի մեջ մտնելու գործընթացը դադարեցնելու դեպքում)</w:t>
            </w:r>
          </w:p>
        </w:tc>
      </w:tr>
      <w:tr w:rsidR="001502CF" w:rsidRPr="00D924A1" w:rsidTr="0061617B">
        <w:trPr>
          <w:jc w:val="center"/>
        </w:trPr>
        <w:tc>
          <w:tcPr>
            <w:tcW w:w="2412" w:type="dxa"/>
            <w:shd w:val="clear" w:color="auto" w:fill="FFFFFF"/>
          </w:tcPr>
          <w:p w:rsidR="00A7098A" w:rsidRPr="00D924A1" w:rsidRDefault="004A5543" w:rsidP="004A5543">
            <w:pPr>
              <w:pStyle w:val="Bodytext20"/>
              <w:shd w:val="clear" w:color="auto" w:fill="auto"/>
              <w:tabs>
                <w:tab w:val="left" w:pos="542"/>
              </w:tabs>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10.</w:t>
            </w:r>
            <w:r w:rsidRPr="00D924A1">
              <w:rPr>
                <w:rStyle w:val="Bodytext212pt"/>
                <w:rFonts w:ascii="Sylfaen" w:hAnsi="Sylfaen"/>
                <w:sz w:val="20"/>
                <w:szCs w:val="20"/>
              </w:rPr>
              <w:tab/>
            </w:r>
            <w:r w:rsidR="00A7098A" w:rsidRPr="00D924A1">
              <w:rPr>
                <w:rStyle w:val="Bodytext212pt"/>
                <w:rFonts w:ascii="Sylfaen" w:hAnsi="Sylfaen"/>
                <w:sz w:val="20"/>
                <w:szCs w:val="20"/>
              </w:rPr>
              <w:t>16.4 հոդված</w:t>
            </w:r>
          </w:p>
        </w:tc>
        <w:tc>
          <w:tcPr>
            <w:tcW w:w="3184" w:type="dxa"/>
            <w:shd w:val="clear" w:color="auto" w:fill="FFFFFF"/>
          </w:tcPr>
          <w:p w:rsidR="00A7098A" w:rsidRPr="00D924A1" w:rsidRDefault="00A7098A"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կիսամյակը մեկ անգամ</w:t>
            </w:r>
          </w:p>
        </w:tc>
        <w:tc>
          <w:tcPr>
            <w:tcW w:w="5811" w:type="dxa"/>
            <w:shd w:val="clear" w:color="auto" w:fill="FFFFFF"/>
          </w:tcPr>
          <w:p w:rsidR="00A7098A" w:rsidRPr="00D924A1" w:rsidRDefault="00A7098A"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 xml:space="preserve">նախորդ 6 ամսվա ընթացքում հակագնագցման ուսումնասիրությունների </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միջոցների առնչությամբ ձեռնարկված գործողությունների մասին</w:t>
            </w:r>
          </w:p>
        </w:tc>
        <w:tc>
          <w:tcPr>
            <w:tcW w:w="3865" w:type="dxa"/>
            <w:shd w:val="clear" w:color="auto" w:fill="FFFFFF"/>
          </w:tcPr>
          <w:p w:rsidR="00A7098A" w:rsidRPr="00D924A1" w:rsidRDefault="00A7098A"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հաշվետու ժամանակաշրջանն ավարտվելու օրվանից 45 օրացուցային օրվա ընթացքում</w:t>
            </w:r>
          </w:p>
        </w:tc>
      </w:tr>
      <w:tr w:rsidR="001502CF" w:rsidRPr="00D924A1" w:rsidTr="0061617B">
        <w:trPr>
          <w:jc w:val="center"/>
        </w:trPr>
        <w:tc>
          <w:tcPr>
            <w:tcW w:w="2412" w:type="dxa"/>
            <w:shd w:val="clear" w:color="auto" w:fill="FFFFFF"/>
          </w:tcPr>
          <w:p w:rsidR="00357084" w:rsidRPr="00D924A1" w:rsidRDefault="004A5543" w:rsidP="00DE3D52">
            <w:pPr>
              <w:pStyle w:val="Bodytext20"/>
              <w:shd w:val="clear" w:color="auto" w:fill="auto"/>
              <w:tabs>
                <w:tab w:val="left" w:pos="542"/>
              </w:tabs>
              <w:spacing w:before="0" w:after="120" w:line="264" w:lineRule="auto"/>
              <w:ind w:left="22" w:right="46"/>
              <w:jc w:val="left"/>
              <w:rPr>
                <w:rStyle w:val="Bodytext212pt"/>
                <w:rFonts w:ascii="Sylfaen" w:hAnsi="Sylfaen"/>
                <w:sz w:val="20"/>
                <w:szCs w:val="20"/>
              </w:rPr>
            </w:pPr>
            <w:r w:rsidRPr="00D924A1">
              <w:rPr>
                <w:rStyle w:val="Bodytext212pt"/>
                <w:rFonts w:ascii="Sylfaen" w:hAnsi="Sylfaen"/>
                <w:sz w:val="20"/>
                <w:szCs w:val="20"/>
              </w:rPr>
              <w:lastRenderedPageBreak/>
              <w:t>11.</w:t>
            </w:r>
            <w:r w:rsidRPr="00D924A1">
              <w:rPr>
                <w:rStyle w:val="Bodytext212pt"/>
                <w:rFonts w:ascii="Sylfaen" w:hAnsi="Sylfaen"/>
                <w:sz w:val="20"/>
                <w:szCs w:val="20"/>
              </w:rPr>
              <w:tab/>
            </w:r>
            <w:r w:rsidR="00357084" w:rsidRPr="00D924A1">
              <w:rPr>
                <w:rStyle w:val="Bodytext212pt"/>
                <w:rFonts w:ascii="Sylfaen" w:hAnsi="Sylfaen"/>
                <w:sz w:val="20"/>
                <w:szCs w:val="20"/>
              </w:rPr>
              <w:t>18.5 հոդված</w:t>
            </w:r>
          </w:p>
        </w:tc>
        <w:tc>
          <w:tcPr>
            <w:tcW w:w="3184" w:type="dxa"/>
            <w:shd w:val="clear" w:color="auto" w:fill="FFFFFF"/>
          </w:tcPr>
          <w:p w:rsidR="00357084" w:rsidRPr="00D924A1" w:rsidRDefault="00357084" w:rsidP="00DE3D52">
            <w:pPr>
              <w:spacing w:after="120" w:line="264" w:lineRule="auto"/>
              <w:ind w:left="22" w:right="46"/>
              <w:rPr>
                <w:rStyle w:val="Bodytext212pt"/>
                <w:rFonts w:ascii="Sylfaen" w:eastAsia="Sylfaen" w:hAnsi="Sylfaen"/>
                <w:sz w:val="20"/>
                <w:szCs w:val="20"/>
              </w:rPr>
            </w:pPr>
          </w:p>
        </w:tc>
        <w:tc>
          <w:tcPr>
            <w:tcW w:w="5811" w:type="dxa"/>
            <w:shd w:val="clear" w:color="auto" w:fill="FFFFFF"/>
          </w:tcPr>
          <w:p w:rsidR="00357084" w:rsidRPr="00D924A1" w:rsidRDefault="00357084" w:rsidP="00DE3D52">
            <w:pPr>
              <w:pStyle w:val="Bodytext20"/>
              <w:shd w:val="clear" w:color="auto" w:fill="auto"/>
              <w:spacing w:before="0" w:after="120" w:line="264" w:lineRule="auto"/>
              <w:ind w:left="22" w:right="46"/>
              <w:jc w:val="left"/>
              <w:rPr>
                <w:rStyle w:val="Bodytext212pt"/>
                <w:rFonts w:ascii="Sylfaen" w:hAnsi="Sylfaen"/>
                <w:sz w:val="20"/>
                <w:szCs w:val="20"/>
              </w:rPr>
            </w:pPr>
            <w:r w:rsidRPr="00D924A1">
              <w:rPr>
                <w:rStyle w:val="Bodytext212pt"/>
                <w:rFonts w:ascii="Sylfaen" w:hAnsi="Sylfaen"/>
                <w:sz w:val="20"/>
                <w:szCs w:val="20"/>
              </w:rPr>
              <w:t xml:space="preserve">օրենսդրության՝ ուսումնասիրությունների անցկացման </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հակագնագցման միջոցների սահմանման հետ կապված ցանկացած փոփոխության մասին</w:t>
            </w:r>
          </w:p>
        </w:tc>
        <w:tc>
          <w:tcPr>
            <w:tcW w:w="3865" w:type="dxa"/>
            <w:shd w:val="clear" w:color="auto" w:fill="FFFFFF"/>
            <w:vAlign w:val="center"/>
          </w:tcPr>
          <w:p w:rsidR="00357084" w:rsidRPr="00D924A1" w:rsidRDefault="00357084" w:rsidP="00DE3D52">
            <w:pPr>
              <w:pStyle w:val="Bodytext20"/>
              <w:shd w:val="clear" w:color="auto" w:fill="auto"/>
              <w:spacing w:before="0" w:after="120" w:line="264" w:lineRule="auto"/>
              <w:ind w:left="22" w:right="46"/>
              <w:jc w:val="left"/>
              <w:rPr>
                <w:rStyle w:val="Bodytext212pt"/>
                <w:rFonts w:ascii="Sylfaen" w:hAnsi="Sylfaen"/>
                <w:sz w:val="20"/>
                <w:szCs w:val="20"/>
              </w:rPr>
            </w:pPr>
            <w:r w:rsidRPr="00D924A1">
              <w:rPr>
                <w:rStyle w:val="Bodytext212pt"/>
                <w:rFonts w:ascii="Sylfaen" w:hAnsi="Sylfaen"/>
                <w:sz w:val="20"/>
                <w:szCs w:val="20"/>
              </w:rPr>
              <w:t>Միության մարմնի ակտը կամ Միության շրջանակներում կնքվող միջազգային պայմանագիրն ուժի մեջ մտնելու ժամկետով կամ դրանց ծավալով պայմանավորված</w:t>
            </w:r>
          </w:p>
        </w:tc>
      </w:tr>
      <w:tr w:rsidR="001502CF" w:rsidRPr="00D924A1" w:rsidTr="0061617B">
        <w:trPr>
          <w:jc w:val="center"/>
        </w:trPr>
        <w:tc>
          <w:tcPr>
            <w:tcW w:w="2412" w:type="dxa"/>
            <w:shd w:val="clear" w:color="auto" w:fill="FFFFFF"/>
          </w:tcPr>
          <w:p w:rsidR="00357084" w:rsidRPr="00D924A1" w:rsidRDefault="004A5543" w:rsidP="00DE3D52">
            <w:pPr>
              <w:pStyle w:val="Bodytext20"/>
              <w:shd w:val="clear" w:color="auto" w:fill="auto"/>
              <w:spacing w:before="0" w:after="120" w:line="264" w:lineRule="auto"/>
              <w:ind w:left="22" w:right="46"/>
              <w:jc w:val="left"/>
              <w:rPr>
                <w:rStyle w:val="Bodytext212pt"/>
                <w:rFonts w:ascii="Sylfaen" w:hAnsi="Sylfaen"/>
                <w:sz w:val="20"/>
                <w:szCs w:val="20"/>
              </w:rPr>
            </w:pPr>
            <w:r w:rsidRPr="00D924A1">
              <w:rPr>
                <w:rStyle w:val="Bodytext212pt"/>
                <w:rFonts w:ascii="Sylfaen" w:hAnsi="Sylfaen"/>
                <w:sz w:val="20"/>
                <w:szCs w:val="20"/>
              </w:rPr>
              <w:t>12.</w:t>
            </w:r>
            <w:r w:rsidRPr="00D924A1">
              <w:rPr>
                <w:rStyle w:val="Bodytext212pt"/>
                <w:rFonts w:ascii="Sylfaen" w:hAnsi="Sylfaen"/>
                <w:sz w:val="20"/>
                <w:szCs w:val="20"/>
              </w:rPr>
              <w:tab/>
            </w:r>
            <w:r w:rsidR="00357084" w:rsidRPr="00D924A1">
              <w:rPr>
                <w:rStyle w:val="Bodytext212pt"/>
                <w:rFonts w:ascii="Sylfaen" w:hAnsi="Sylfaen"/>
                <w:sz w:val="20"/>
                <w:szCs w:val="20"/>
              </w:rPr>
              <w:t>16.5 հոդված</w:t>
            </w:r>
          </w:p>
        </w:tc>
        <w:tc>
          <w:tcPr>
            <w:tcW w:w="3184" w:type="dxa"/>
            <w:shd w:val="clear" w:color="auto" w:fill="FFFFFF"/>
          </w:tcPr>
          <w:p w:rsidR="00357084" w:rsidRPr="00D924A1" w:rsidRDefault="00357084" w:rsidP="00DE3D52">
            <w:pPr>
              <w:pStyle w:val="Bodytext20"/>
              <w:shd w:val="clear" w:color="auto" w:fill="auto"/>
              <w:spacing w:before="0" w:after="120" w:line="264" w:lineRule="auto"/>
              <w:ind w:left="22" w:right="46"/>
              <w:jc w:val="left"/>
              <w:rPr>
                <w:rStyle w:val="Bodytext212pt"/>
                <w:rFonts w:ascii="Sylfaen" w:hAnsi="Sylfaen"/>
                <w:sz w:val="20"/>
                <w:szCs w:val="20"/>
              </w:rPr>
            </w:pPr>
            <w:r w:rsidRPr="00D924A1">
              <w:rPr>
                <w:rStyle w:val="Bodytext212pt"/>
                <w:rFonts w:ascii="Sylfaen" w:hAnsi="Sylfaen"/>
                <w:sz w:val="20"/>
                <w:szCs w:val="20"/>
              </w:rPr>
              <w:t>միաժամանակ</w:t>
            </w:r>
          </w:p>
        </w:tc>
        <w:tc>
          <w:tcPr>
            <w:tcW w:w="5811" w:type="dxa"/>
            <w:shd w:val="clear" w:color="auto" w:fill="FFFFFF"/>
          </w:tcPr>
          <w:p w:rsidR="00357084" w:rsidRPr="00D924A1" w:rsidRDefault="00357084" w:rsidP="00DE3D52">
            <w:pPr>
              <w:pStyle w:val="Bodytext20"/>
              <w:shd w:val="clear" w:color="auto" w:fill="auto"/>
              <w:spacing w:before="0" w:after="120" w:line="264" w:lineRule="auto"/>
              <w:ind w:left="22" w:right="46"/>
              <w:jc w:val="left"/>
              <w:rPr>
                <w:rStyle w:val="Bodytext212pt"/>
                <w:rFonts w:ascii="Sylfaen" w:hAnsi="Sylfaen"/>
                <w:sz w:val="20"/>
                <w:szCs w:val="20"/>
              </w:rPr>
            </w:pPr>
            <w:r w:rsidRPr="00D924A1">
              <w:rPr>
                <w:rStyle w:val="Bodytext212pt"/>
                <w:rFonts w:ascii="Sylfaen" w:hAnsi="Sylfaen"/>
                <w:sz w:val="20"/>
                <w:szCs w:val="20"/>
              </w:rPr>
              <w:t xml:space="preserve">անդամ պետության՝ հակագնագցման ուսումնասիրությունների նախաձեռնման </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անցկացման համար պատասխանատու մարմնի մասին, ինչպես նա</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այդպիսի ուսումնասիրություններ սկսելու </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անցկացնելու կարգը սահմանող ընթացակարգերի մասին</w:t>
            </w:r>
          </w:p>
        </w:tc>
        <w:tc>
          <w:tcPr>
            <w:tcW w:w="3865" w:type="dxa"/>
            <w:shd w:val="clear" w:color="auto" w:fill="FFFFFF"/>
            <w:vAlign w:val="center"/>
          </w:tcPr>
          <w:p w:rsidR="00357084" w:rsidRPr="00D924A1" w:rsidRDefault="00357084" w:rsidP="00DE3D52">
            <w:pPr>
              <w:pStyle w:val="Bodytext20"/>
              <w:shd w:val="clear" w:color="auto" w:fill="auto"/>
              <w:spacing w:before="0" w:after="120" w:line="264" w:lineRule="auto"/>
              <w:ind w:left="22" w:right="46"/>
              <w:jc w:val="left"/>
              <w:rPr>
                <w:rStyle w:val="Bodytext212pt"/>
                <w:rFonts w:ascii="Sylfaen" w:hAnsi="Sylfaen"/>
                <w:sz w:val="20"/>
                <w:szCs w:val="20"/>
              </w:rPr>
            </w:pPr>
            <w:r w:rsidRPr="00D924A1">
              <w:rPr>
                <w:rStyle w:val="Bodytext212pt"/>
                <w:rFonts w:ascii="Sylfaen" w:hAnsi="Sylfaen"/>
                <w:sz w:val="20"/>
                <w:szCs w:val="20"/>
              </w:rPr>
              <w:t>համապատասխան ակտի հրապարակման օրվանից 15 կամ ավելի օրացուցային օրվա ընթացքում ՝ Միության մարմնի ակտի ծավալով պայմանավորված</w:t>
            </w:r>
          </w:p>
        </w:tc>
      </w:tr>
      <w:tr w:rsidR="001502CF" w:rsidRPr="00D924A1" w:rsidTr="00187EE9">
        <w:trPr>
          <w:jc w:val="center"/>
        </w:trPr>
        <w:tc>
          <w:tcPr>
            <w:tcW w:w="15272" w:type="dxa"/>
            <w:gridSpan w:val="4"/>
            <w:shd w:val="clear" w:color="auto" w:fill="FFFFFF"/>
            <w:vAlign w:val="center"/>
          </w:tcPr>
          <w:p w:rsidR="00357084" w:rsidRPr="00D924A1" w:rsidRDefault="00357084" w:rsidP="00DE3D52">
            <w:pPr>
              <w:pStyle w:val="Bodytext20"/>
              <w:shd w:val="clear" w:color="auto" w:fill="auto"/>
              <w:spacing w:before="0" w:after="120" w:line="264" w:lineRule="auto"/>
              <w:jc w:val="center"/>
              <w:rPr>
                <w:rStyle w:val="Bodytext212pt"/>
                <w:rFonts w:ascii="Sylfaen" w:hAnsi="Sylfaen"/>
                <w:sz w:val="20"/>
                <w:szCs w:val="20"/>
              </w:rPr>
            </w:pPr>
            <w:r w:rsidRPr="00D924A1">
              <w:rPr>
                <w:rStyle w:val="Bodytext212pt"/>
                <w:rFonts w:ascii="Sylfaen" w:hAnsi="Sylfaen"/>
                <w:sz w:val="20"/>
                <w:szCs w:val="20"/>
              </w:rPr>
              <w:t>VI.</w:t>
            </w:r>
            <w:r w:rsidR="001502CF" w:rsidRPr="00D924A1">
              <w:rPr>
                <w:rStyle w:val="Bodytext212pt"/>
                <w:rFonts w:ascii="Sylfaen" w:hAnsi="Sylfaen"/>
                <w:sz w:val="20"/>
                <w:szCs w:val="20"/>
              </w:rPr>
              <w:t xml:space="preserve"> </w:t>
            </w:r>
            <w:r w:rsidRPr="00D924A1">
              <w:rPr>
                <w:rStyle w:val="Bodytext212pt"/>
                <w:rFonts w:ascii="Sylfaen" w:hAnsi="Sylfaen"/>
                <w:sz w:val="20"/>
                <w:szCs w:val="20"/>
              </w:rPr>
              <w:t xml:space="preserve">«1994 թվականի սակագների </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առ</w:t>
            </w:r>
            <w:r w:rsidR="001502CF" w:rsidRPr="00D924A1">
              <w:rPr>
                <w:rStyle w:val="Bodytext212pt"/>
                <w:rFonts w:ascii="Sylfaen" w:hAnsi="Sylfaen"/>
                <w:sz w:val="20"/>
                <w:szCs w:val="20"/>
              </w:rPr>
              <w:t>եւ</w:t>
            </w:r>
            <w:r w:rsidRPr="00D924A1">
              <w:rPr>
                <w:rStyle w:val="Bodytext212pt"/>
                <w:rFonts w:ascii="Sylfaen" w:hAnsi="Sylfaen"/>
                <w:sz w:val="20"/>
                <w:szCs w:val="20"/>
              </w:rPr>
              <w:t>տրի գլխավոր համաձայնագրի VII հոդվածի կիրառման մասին</w:t>
            </w:r>
            <w:r w:rsidR="007E3426" w:rsidRPr="00D924A1">
              <w:rPr>
                <w:rStyle w:val="Bodytext212pt"/>
                <w:rFonts w:ascii="Sylfaen" w:hAnsi="Sylfaen"/>
                <w:sz w:val="20"/>
                <w:szCs w:val="20"/>
              </w:rPr>
              <w:t>»</w:t>
            </w:r>
            <w:r w:rsidRPr="00D924A1">
              <w:rPr>
                <w:rStyle w:val="Bodytext212pt"/>
                <w:rFonts w:ascii="Sylfaen" w:hAnsi="Sylfaen"/>
                <w:sz w:val="20"/>
                <w:szCs w:val="20"/>
              </w:rPr>
              <w:t xml:space="preserve"> համաձայնագիր</w:t>
            </w:r>
          </w:p>
        </w:tc>
      </w:tr>
      <w:tr w:rsidR="001502CF" w:rsidRPr="00D924A1" w:rsidTr="0061617B">
        <w:trPr>
          <w:jc w:val="center"/>
        </w:trPr>
        <w:tc>
          <w:tcPr>
            <w:tcW w:w="2412" w:type="dxa"/>
            <w:shd w:val="clear" w:color="auto" w:fill="FFFFFF"/>
          </w:tcPr>
          <w:p w:rsidR="00357084" w:rsidRPr="00D924A1" w:rsidRDefault="004A5543" w:rsidP="00DE3D52">
            <w:pPr>
              <w:pStyle w:val="Bodytext20"/>
              <w:shd w:val="clear" w:color="auto" w:fill="auto"/>
              <w:tabs>
                <w:tab w:val="left" w:pos="558"/>
              </w:tabs>
              <w:spacing w:before="0" w:after="120" w:line="264" w:lineRule="auto"/>
              <w:ind w:left="22" w:right="46"/>
              <w:jc w:val="left"/>
              <w:rPr>
                <w:rStyle w:val="Bodytext212pt"/>
                <w:rFonts w:ascii="Sylfaen" w:hAnsi="Sylfaen"/>
                <w:sz w:val="20"/>
                <w:szCs w:val="20"/>
              </w:rPr>
            </w:pPr>
            <w:r w:rsidRPr="00D924A1">
              <w:rPr>
                <w:rStyle w:val="Bodytext212pt"/>
                <w:rFonts w:ascii="Sylfaen" w:hAnsi="Sylfaen"/>
                <w:sz w:val="20"/>
                <w:szCs w:val="20"/>
              </w:rPr>
              <w:t>13.</w:t>
            </w:r>
            <w:r w:rsidRPr="00D924A1">
              <w:rPr>
                <w:rStyle w:val="Bodytext212pt"/>
                <w:rFonts w:ascii="Sylfaen" w:hAnsi="Sylfaen"/>
                <w:sz w:val="20"/>
                <w:szCs w:val="20"/>
              </w:rPr>
              <w:tab/>
            </w:r>
            <w:r w:rsidR="00357084" w:rsidRPr="00D924A1">
              <w:rPr>
                <w:rStyle w:val="Bodytext212pt"/>
                <w:rFonts w:ascii="Sylfaen" w:hAnsi="Sylfaen"/>
                <w:sz w:val="20"/>
                <w:szCs w:val="20"/>
              </w:rPr>
              <w:t>22-րդ հոդված</w:t>
            </w:r>
          </w:p>
        </w:tc>
        <w:tc>
          <w:tcPr>
            <w:tcW w:w="3184" w:type="dxa"/>
            <w:shd w:val="clear" w:color="auto" w:fill="FFFFFF"/>
          </w:tcPr>
          <w:p w:rsidR="00357084" w:rsidRPr="00D924A1" w:rsidRDefault="00357084" w:rsidP="00DE3D52">
            <w:pPr>
              <w:pStyle w:val="Bodytext20"/>
              <w:shd w:val="clear" w:color="auto" w:fill="auto"/>
              <w:spacing w:before="0" w:after="120" w:line="264" w:lineRule="auto"/>
              <w:ind w:left="22" w:right="46"/>
              <w:jc w:val="left"/>
              <w:rPr>
                <w:rStyle w:val="Bodytext212pt"/>
                <w:rFonts w:ascii="Sylfaen" w:hAnsi="Sylfaen"/>
                <w:sz w:val="20"/>
                <w:szCs w:val="20"/>
              </w:rPr>
            </w:pPr>
            <w:r w:rsidRPr="00D924A1">
              <w:rPr>
                <w:rStyle w:val="Bodytext212pt"/>
                <w:rFonts w:ascii="Sylfaen" w:hAnsi="Sylfaen"/>
                <w:sz w:val="20"/>
                <w:szCs w:val="20"/>
              </w:rPr>
              <w:t>անհապաղ</w:t>
            </w:r>
          </w:p>
        </w:tc>
        <w:tc>
          <w:tcPr>
            <w:tcW w:w="5811" w:type="dxa"/>
            <w:shd w:val="clear" w:color="auto" w:fill="FFFFFF"/>
          </w:tcPr>
          <w:p w:rsidR="00357084" w:rsidRPr="00D924A1" w:rsidRDefault="00357084" w:rsidP="00DE3D52">
            <w:pPr>
              <w:pStyle w:val="Bodytext20"/>
              <w:shd w:val="clear" w:color="auto" w:fill="auto"/>
              <w:spacing w:before="0" w:after="120" w:line="264" w:lineRule="auto"/>
              <w:ind w:left="22" w:right="46"/>
              <w:jc w:val="left"/>
              <w:rPr>
                <w:rStyle w:val="Bodytext212pt"/>
                <w:rFonts w:ascii="Sylfaen" w:hAnsi="Sylfaen"/>
                <w:sz w:val="20"/>
                <w:szCs w:val="20"/>
              </w:rPr>
            </w:pPr>
            <w:r w:rsidRPr="00D924A1">
              <w:rPr>
                <w:rStyle w:val="Bodytext212pt"/>
                <w:rFonts w:ascii="Sylfaen" w:hAnsi="Sylfaen"/>
                <w:sz w:val="20"/>
                <w:szCs w:val="20"/>
              </w:rPr>
              <w:t>օրենսդրության՝ ներմուծվող ապրանքների մաքսային գնահատականի հետ կապված ցանկացած փոփոխության մասին</w:t>
            </w:r>
            <w:r w:rsidR="004E0F9B" w:rsidRPr="00D924A1">
              <w:rPr>
                <w:rStyle w:val="FootnoteReference"/>
                <w:rFonts w:ascii="Sylfaen" w:hAnsi="Sylfaen"/>
                <w:sz w:val="20"/>
                <w:szCs w:val="20"/>
              </w:rPr>
              <w:footnoteReference w:customMarkFollows="1" w:id="1"/>
              <w:sym w:font="Symbol" w:char="F02A"/>
            </w:r>
          </w:p>
        </w:tc>
        <w:tc>
          <w:tcPr>
            <w:tcW w:w="3865" w:type="dxa"/>
            <w:shd w:val="clear" w:color="auto" w:fill="FFFFFF"/>
            <w:vAlign w:val="center"/>
          </w:tcPr>
          <w:p w:rsidR="00357084" w:rsidRPr="00D924A1" w:rsidRDefault="00357084" w:rsidP="00DE3D52">
            <w:pPr>
              <w:pStyle w:val="Bodytext20"/>
              <w:shd w:val="clear" w:color="auto" w:fill="auto"/>
              <w:spacing w:before="0" w:after="120" w:line="264" w:lineRule="auto"/>
              <w:ind w:left="22" w:right="46"/>
              <w:jc w:val="left"/>
              <w:rPr>
                <w:rStyle w:val="Bodytext212pt"/>
                <w:rFonts w:ascii="Sylfaen" w:hAnsi="Sylfaen"/>
                <w:sz w:val="20"/>
                <w:szCs w:val="20"/>
              </w:rPr>
            </w:pPr>
            <w:r w:rsidRPr="00D924A1">
              <w:rPr>
                <w:rStyle w:val="Bodytext212pt"/>
                <w:rFonts w:ascii="Sylfaen" w:hAnsi="Sylfaen"/>
                <w:sz w:val="20"/>
                <w:szCs w:val="20"/>
              </w:rPr>
              <w:t>համապատասխան որոշումն ընդունելու օրվանից 15 օրացուցային օրվա ընթացքում</w:t>
            </w:r>
          </w:p>
        </w:tc>
      </w:tr>
      <w:tr w:rsidR="004A5543" w:rsidRPr="00D924A1" w:rsidTr="004A5543">
        <w:trPr>
          <w:jc w:val="center"/>
        </w:trPr>
        <w:tc>
          <w:tcPr>
            <w:tcW w:w="15272" w:type="dxa"/>
            <w:gridSpan w:val="4"/>
            <w:shd w:val="clear" w:color="auto" w:fill="FFFFFF"/>
            <w:vAlign w:val="center"/>
          </w:tcPr>
          <w:p w:rsidR="004A5543" w:rsidRPr="00D924A1" w:rsidRDefault="004A5543" w:rsidP="00DE3D52">
            <w:pPr>
              <w:pStyle w:val="Bodytext20"/>
              <w:shd w:val="clear" w:color="auto" w:fill="auto"/>
              <w:spacing w:before="0" w:after="120" w:line="264" w:lineRule="auto"/>
              <w:ind w:left="22" w:right="46"/>
              <w:jc w:val="center"/>
              <w:rPr>
                <w:rStyle w:val="Bodytext212pt"/>
                <w:rFonts w:ascii="Sylfaen" w:hAnsi="Sylfaen"/>
                <w:sz w:val="20"/>
                <w:szCs w:val="20"/>
              </w:rPr>
            </w:pPr>
            <w:r w:rsidRPr="00D924A1">
              <w:rPr>
                <w:rStyle w:val="Bodytext212pt"/>
                <w:rFonts w:ascii="Sylfaen" w:hAnsi="Sylfaen"/>
                <w:sz w:val="20"/>
                <w:szCs w:val="20"/>
              </w:rPr>
              <w:t>VII. «Ծագման կանոնների մասին» համաձայնագիր</w:t>
            </w:r>
          </w:p>
        </w:tc>
      </w:tr>
      <w:tr w:rsidR="001502CF" w:rsidRPr="00D924A1" w:rsidTr="004A5543">
        <w:trPr>
          <w:jc w:val="center"/>
        </w:trPr>
        <w:tc>
          <w:tcPr>
            <w:tcW w:w="2412" w:type="dxa"/>
            <w:shd w:val="clear" w:color="auto" w:fill="FFFFFF"/>
          </w:tcPr>
          <w:p w:rsidR="00357084" w:rsidRPr="00D924A1" w:rsidRDefault="004A5543" w:rsidP="00DE3D52">
            <w:pPr>
              <w:pStyle w:val="Bodytext20"/>
              <w:shd w:val="clear" w:color="auto" w:fill="auto"/>
              <w:tabs>
                <w:tab w:val="left" w:pos="542"/>
              </w:tabs>
              <w:spacing w:before="0" w:after="120" w:line="264" w:lineRule="auto"/>
              <w:ind w:left="22" w:right="46"/>
              <w:jc w:val="left"/>
              <w:rPr>
                <w:rStyle w:val="Bodytext212pt"/>
                <w:rFonts w:ascii="Sylfaen" w:hAnsi="Sylfaen"/>
                <w:sz w:val="20"/>
                <w:szCs w:val="20"/>
              </w:rPr>
            </w:pPr>
            <w:r w:rsidRPr="00D924A1">
              <w:rPr>
                <w:rStyle w:val="Bodytext212pt"/>
                <w:rFonts w:ascii="Sylfaen" w:hAnsi="Sylfaen"/>
                <w:sz w:val="20"/>
                <w:szCs w:val="20"/>
              </w:rPr>
              <w:t>14.</w:t>
            </w:r>
            <w:r w:rsidRPr="00D924A1">
              <w:rPr>
                <w:rStyle w:val="Bodytext212pt"/>
                <w:rFonts w:ascii="Sylfaen" w:hAnsi="Sylfaen"/>
                <w:sz w:val="20"/>
                <w:szCs w:val="20"/>
              </w:rPr>
              <w:tab/>
            </w:r>
            <w:r w:rsidR="00357084" w:rsidRPr="00D924A1">
              <w:rPr>
                <w:rStyle w:val="Bodytext212pt"/>
                <w:rFonts w:ascii="Sylfaen" w:hAnsi="Sylfaen"/>
                <w:sz w:val="20"/>
                <w:szCs w:val="20"/>
              </w:rPr>
              <w:t>5-րդ հոդված, II հավելվածի 4-րդ պարբերություն</w:t>
            </w:r>
          </w:p>
        </w:tc>
        <w:tc>
          <w:tcPr>
            <w:tcW w:w="3184" w:type="dxa"/>
            <w:shd w:val="clear" w:color="auto" w:fill="FFFFFF"/>
          </w:tcPr>
          <w:p w:rsidR="00357084" w:rsidRPr="00D924A1" w:rsidRDefault="00357084" w:rsidP="00DE3D52">
            <w:pPr>
              <w:pStyle w:val="Bodytext20"/>
              <w:shd w:val="clear" w:color="auto" w:fill="auto"/>
              <w:spacing w:before="0" w:after="120" w:line="264" w:lineRule="auto"/>
              <w:ind w:left="22" w:right="46"/>
              <w:jc w:val="left"/>
              <w:rPr>
                <w:rStyle w:val="Bodytext212pt"/>
                <w:rFonts w:ascii="Sylfaen" w:hAnsi="Sylfaen"/>
                <w:sz w:val="20"/>
                <w:szCs w:val="20"/>
              </w:rPr>
            </w:pPr>
            <w:r w:rsidRPr="00D924A1">
              <w:rPr>
                <w:rStyle w:val="Bodytext212pt"/>
                <w:rFonts w:ascii="Sylfaen" w:hAnsi="Sylfaen"/>
                <w:sz w:val="20"/>
                <w:szCs w:val="20"/>
              </w:rPr>
              <w:t>փոփոխված կամ նոր կանոնն ուժի մեջ մտնելու օրվանից 60 օր առաջ, բացառիկ դեպքերում՝ անհապաղ</w:t>
            </w:r>
          </w:p>
        </w:tc>
        <w:tc>
          <w:tcPr>
            <w:tcW w:w="5811" w:type="dxa"/>
            <w:shd w:val="clear" w:color="auto" w:fill="FFFFFF"/>
            <w:vAlign w:val="bottom"/>
          </w:tcPr>
          <w:p w:rsidR="00357084" w:rsidRPr="00D924A1" w:rsidRDefault="00357084" w:rsidP="00DE3D52">
            <w:pPr>
              <w:pStyle w:val="Bodytext20"/>
              <w:shd w:val="clear" w:color="auto" w:fill="auto"/>
              <w:spacing w:before="0" w:after="120" w:line="264" w:lineRule="auto"/>
              <w:ind w:left="22" w:right="46"/>
              <w:jc w:val="left"/>
              <w:rPr>
                <w:rStyle w:val="Bodytext212pt"/>
                <w:rFonts w:ascii="Sylfaen" w:hAnsi="Sylfaen"/>
                <w:sz w:val="20"/>
                <w:szCs w:val="20"/>
              </w:rPr>
            </w:pPr>
            <w:r w:rsidRPr="00D924A1">
              <w:rPr>
                <w:rStyle w:val="Bodytext212pt"/>
                <w:rFonts w:ascii="Sylfaen" w:hAnsi="Sylfaen"/>
                <w:sz w:val="20"/>
                <w:szCs w:val="20"/>
              </w:rPr>
              <w:t xml:space="preserve">ծագման կանոններում կատարված փոփոխությունների մասին՝ բացի աննշան փոփոխություններից, կամ ծագման նոր կանոններ սահմանելու մասին, այդ թվում՝ ծագման կանոնների առնչությամբ ցանկացած դատական որոշում </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ընդհանուր կիրառման վարչական կանոններ</w:t>
            </w:r>
          </w:p>
        </w:tc>
        <w:tc>
          <w:tcPr>
            <w:tcW w:w="3865" w:type="dxa"/>
            <w:shd w:val="clear" w:color="auto" w:fill="FFFFFF"/>
          </w:tcPr>
          <w:p w:rsidR="00357084" w:rsidRPr="00D924A1" w:rsidRDefault="00357084" w:rsidP="00DE3D52">
            <w:pPr>
              <w:pStyle w:val="Bodytext20"/>
              <w:shd w:val="clear" w:color="auto" w:fill="auto"/>
              <w:spacing w:before="0" w:after="120" w:line="264" w:lineRule="auto"/>
              <w:ind w:left="22" w:right="46"/>
              <w:jc w:val="left"/>
              <w:rPr>
                <w:rStyle w:val="Bodytext212pt"/>
                <w:rFonts w:ascii="Sylfaen" w:hAnsi="Sylfaen"/>
                <w:sz w:val="20"/>
                <w:szCs w:val="20"/>
              </w:rPr>
            </w:pPr>
            <w:r w:rsidRPr="00D924A1">
              <w:rPr>
                <w:rStyle w:val="Bodytext212pt"/>
                <w:rFonts w:ascii="Sylfaen" w:hAnsi="Sylfaen"/>
                <w:sz w:val="20"/>
                <w:szCs w:val="20"/>
              </w:rPr>
              <w:t>փոփոխված կամ նոր կանոնն ուժի մեջ մտնելու օրվանից 70 օր առաջ</w:t>
            </w:r>
          </w:p>
        </w:tc>
      </w:tr>
      <w:tr w:rsidR="001502CF" w:rsidRPr="00D924A1" w:rsidTr="00713811">
        <w:trPr>
          <w:jc w:val="center"/>
        </w:trPr>
        <w:tc>
          <w:tcPr>
            <w:tcW w:w="15272" w:type="dxa"/>
            <w:gridSpan w:val="4"/>
            <w:shd w:val="clear" w:color="auto" w:fill="FFFFFF"/>
            <w:vAlign w:val="center"/>
          </w:tcPr>
          <w:p w:rsidR="009326AA" w:rsidRPr="00D924A1" w:rsidRDefault="009326AA" w:rsidP="00DE3D52">
            <w:pPr>
              <w:pStyle w:val="Bodytext20"/>
              <w:shd w:val="clear" w:color="auto" w:fill="auto"/>
              <w:spacing w:before="0" w:after="120" w:line="264" w:lineRule="auto"/>
              <w:jc w:val="center"/>
              <w:rPr>
                <w:rStyle w:val="Bodytext212pt"/>
                <w:rFonts w:ascii="Sylfaen" w:hAnsi="Sylfaen"/>
                <w:sz w:val="20"/>
                <w:szCs w:val="20"/>
              </w:rPr>
            </w:pPr>
            <w:r w:rsidRPr="00D924A1">
              <w:rPr>
                <w:rStyle w:val="Bodytext212pt"/>
                <w:rFonts w:ascii="Sylfaen" w:hAnsi="Sylfaen"/>
                <w:sz w:val="20"/>
                <w:szCs w:val="20"/>
              </w:rPr>
              <w:lastRenderedPageBreak/>
              <w:t>VIII. «Հատուկ պաշտպանական միջոցների մասին» համաձայնագիր</w:t>
            </w:r>
          </w:p>
        </w:tc>
      </w:tr>
      <w:tr w:rsidR="001502CF" w:rsidRPr="00D924A1" w:rsidTr="0061617B">
        <w:trPr>
          <w:jc w:val="center"/>
        </w:trPr>
        <w:tc>
          <w:tcPr>
            <w:tcW w:w="2412" w:type="dxa"/>
            <w:shd w:val="clear" w:color="auto" w:fill="FFFFFF"/>
          </w:tcPr>
          <w:p w:rsidR="009326AA" w:rsidRPr="00D924A1" w:rsidRDefault="004A5543" w:rsidP="00DE3D52">
            <w:pPr>
              <w:pStyle w:val="Bodytext20"/>
              <w:shd w:val="clear" w:color="auto" w:fill="auto"/>
              <w:tabs>
                <w:tab w:val="left" w:pos="508"/>
              </w:tabs>
              <w:spacing w:before="0" w:after="40" w:line="240" w:lineRule="auto"/>
              <w:ind w:left="23" w:right="45"/>
              <w:jc w:val="left"/>
              <w:rPr>
                <w:rStyle w:val="Bodytext212pt"/>
                <w:rFonts w:ascii="Sylfaen" w:hAnsi="Sylfaen"/>
                <w:sz w:val="20"/>
                <w:szCs w:val="20"/>
              </w:rPr>
            </w:pPr>
            <w:r w:rsidRPr="00D924A1">
              <w:rPr>
                <w:rStyle w:val="Bodytext212pt"/>
                <w:rFonts w:ascii="Sylfaen" w:hAnsi="Sylfaen"/>
                <w:sz w:val="20"/>
                <w:szCs w:val="20"/>
              </w:rPr>
              <w:t>15.</w:t>
            </w:r>
            <w:r w:rsidRPr="00D924A1">
              <w:rPr>
                <w:rStyle w:val="Bodytext212pt"/>
                <w:rFonts w:ascii="Sylfaen" w:hAnsi="Sylfaen"/>
                <w:sz w:val="20"/>
                <w:szCs w:val="20"/>
              </w:rPr>
              <w:tab/>
            </w:r>
            <w:r w:rsidR="009326AA" w:rsidRPr="00D924A1">
              <w:rPr>
                <w:rStyle w:val="Bodytext212pt"/>
                <w:rFonts w:ascii="Sylfaen" w:hAnsi="Sylfaen"/>
                <w:sz w:val="20"/>
                <w:szCs w:val="20"/>
              </w:rPr>
              <w:t>12.1 (</w:t>
            </w:r>
            <w:r w:rsidR="006A1239" w:rsidRPr="00D924A1">
              <w:rPr>
                <w:rStyle w:val="Bodytext212pt"/>
                <w:rFonts w:ascii="Sylfaen" w:hAnsi="Sylfaen"/>
                <w:sz w:val="20"/>
                <w:szCs w:val="20"/>
              </w:rPr>
              <w:t>a</w:t>
            </w:r>
            <w:r w:rsidR="009326AA" w:rsidRPr="00D924A1">
              <w:rPr>
                <w:rStyle w:val="Bodytext212pt"/>
                <w:rFonts w:ascii="Sylfaen" w:hAnsi="Sylfaen"/>
                <w:sz w:val="20"/>
                <w:szCs w:val="20"/>
              </w:rPr>
              <w:t>) հոդված</w:t>
            </w:r>
          </w:p>
        </w:tc>
        <w:tc>
          <w:tcPr>
            <w:tcW w:w="3184" w:type="dxa"/>
            <w:shd w:val="clear" w:color="auto" w:fill="FFFFFF"/>
          </w:tcPr>
          <w:p w:rsidR="009326AA" w:rsidRPr="00D924A1" w:rsidRDefault="009326AA" w:rsidP="00DE3D52">
            <w:pPr>
              <w:pStyle w:val="Bodytext20"/>
              <w:shd w:val="clear" w:color="auto" w:fill="auto"/>
              <w:spacing w:before="0" w:after="40" w:line="240" w:lineRule="auto"/>
              <w:ind w:left="23" w:right="45"/>
              <w:jc w:val="left"/>
              <w:rPr>
                <w:rStyle w:val="Bodytext212pt"/>
                <w:rFonts w:ascii="Sylfaen" w:hAnsi="Sylfaen"/>
                <w:sz w:val="20"/>
                <w:szCs w:val="20"/>
              </w:rPr>
            </w:pPr>
            <w:r w:rsidRPr="00D924A1">
              <w:rPr>
                <w:rStyle w:val="Bodytext212pt"/>
                <w:rFonts w:ascii="Sylfaen" w:hAnsi="Sylfaen"/>
                <w:sz w:val="20"/>
                <w:szCs w:val="20"/>
              </w:rPr>
              <w:t>անհապաղ</w:t>
            </w:r>
          </w:p>
        </w:tc>
        <w:tc>
          <w:tcPr>
            <w:tcW w:w="5811" w:type="dxa"/>
            <w:shd w:val="clear" w:color="auto" w:fill="FFFFFF"/>
            <w:vAlign w:val="center"/>
          </w:tcPr>
          <w:p w:rsidR="009326AA" w:rsidRPr="00D924A1" w:rsidRDefault="009326AA" w:rsidP="00DE3D52">
            <w:pPr>
              <w:pStyle w:val="Bodytext20"/>
              <w:shd w:val="clear" w:color="auto" w:fill="auto"/>
              <w:spacing w:before="0" w:after="40" w:line="240" w:lineRule="auto"/>
              <w:ind w:left="23" w:right="45"/>
              <w:jc w:val="left"/>
              <w:rPr>
                <w:rStyle w:val="Bodytext212pt"/>
                <w:rFonts w:ascii="Sylfaen" w:hAnsi="Sylfaen"/>
                <w:sz w:val="20"/>
                <w:szCs w:val="20"/>
              </w:rPr>
            </w:pPr>
            <w:r w:rsidRPr="00D924A1">
              <w:rPr>
                <w:rStyle w:val="Bodytext212pt"/>
                <w:rFonts w:ascii="Sylfaen" w:hAnsi="Sylfaen"/>
                <w:sz w:val="20"/>
                <w:szCs w:val="20"/>
              </w:rPr>
              <w:t>լուրջ վնասի կամ այդպիսի վնաս հասցնելու վտանգի առնչությամբ ուսումնասիրության գործընթաց սկսելու կամ այդպիսի ուսումնասիրության պատճառների մասին</w:t>
            </w:r>
          </w:p>
        </w:tc>
        <w:tc>
          <w:tcPr>
            <w:tcW w:w="3865" w:type="dxa"/>
            <w:shd w:val="clear" w:color="auto" w:fill="FFFFFF"/>
            <w:vAlign w:val="center"/>
          </w:tcPr>
          <w:p w:rsidR="009326AA" w:rsidRPr="00D924A1" w:rsidRDefault="009326AA" w:rsidP="00DE3D52">
            <w:pPr>
              <w:pStyle w:val="Bodytext20"/>
              <w:shd w:val="clear" w:color="auto" w:fill="auto"/>
              <w:spacing w:before="0" w:after="40" w:line="240" w:lineRule="auto"/>
              <w:ind w:left="23" w:right="45"/>
              <w:jc w:val="left"/>
              <w:rPr>
                <w:rStyle w:val="Bodytext212pt"/>
                <w:rFonts w:ascii="Sylfaen" w:hAnsi="Sylfaen"/>
                <w:sz w:val="20"/>
                <w:szCs w:val="20"/>
              </w:rPr>
            </w:pPr>
            <w:r w:rsidRPr="00D924A1">
              <w:rPr>
                <w:rStyle w:val="Bodytext212pt"/>
                <w:rFonts w:ascii="Sylfaen" w:hAnsi="Sylfaen"/>
                <w:sz w:val="20"/>
                <w:szCs w:val="20"/>
              </w:rPr>
              <w:t>Հանձնաժողովի ծանուցագիրն հրապարակելու օրվանից 15 օրացուցային օրվա ընթացքում</w:t>
            </w:r>
          </w:p>
        </w:tc>
      </w:tr>
      <w:tr w:rsidR="001502CF" w:rsidRPr="00D924A1" w:rsidTr="0061617B">
        <w:trPr>
          <w:jc w:val="center"/>
        </w:trPr>
        <w:tc>
          <w:tcPr>
            <w:tcW w:w="2412" w:type="dxa"/>
            <w:shd w:val="clear" w:color="auto" w:fill="FFFFFF"/>
          </w:tcPr>
          <w:p w:rsidR="009326AA" w:rsidRPr="00D924A1" w:rsidRDefault="004A5543" w:rsidP="00DE3D52">
            <w:pPr>
              <w:pStyle w:val="Bodytext20"/>
              <w:shd w:val="clear" w:color="auto" w:fill="auto"/>
              <w:tabs>
                <w:tab w:val="left" w:pos="542"/>
              </w:tabs>
              <w:spacing w:before="0" w:after="40" w:line="240" w:lineRule="auto"/>
              <w:ind w:left="23" w:right="45"/>
              <w:jc w:val="left"/>
              <w:rPr>
                <w:rStyle w:val="Bodytext212pt"/>
                <w:rFonts w:ascii="Sylfaen" w:hAnsi="Sylfaen"/>
                <w:sz w:val="20"/>
                <w:szCs w:val="20"/>
              </w:rPr>
            </w:pPr>
            <w:r w:rsidRPr="00D924A1">
              <w:rPr>
                <w:rStyle w:val="Bodytext212pt"/>
                <w:rFonts w:ascii="Sylfaen" w:hAnsi="Sylfaen"/>
                <w:sz w:val="20"/>
                <w:szCs w:val="20"/>
              </w:rPr>
              <w:t>16.</w:t>
            </w:r>
            <w:r w:rsidRPr="00D924A1">
              <w:rPr>
                <w:rStyle w:val="Bodytext212pt"/>
                <w:rFonts w:ascii="Sylfaen" w:hAnsi="Sylfaen"/>
                <w:sz w:val="20"/>
                <w:szCs w:val="20"/>
              </w:rPr>
              <w:tab/>
            </w:r>
            <w:r w:rsidR="009326AA" w:rsidRPr="00D924A1">
              <w:rPr>
                <w:rStyle w:val="Bodytext212pt"/>
                <w:rFonts w:ascii="Sylfaen" w:hAnsi="Sylfaen"/>
                <w:sz w:val="20"/>
                <w:szCs w:val="20"/>
              </w:rPr>
              <w:t>12.1 (</w:t>
            </w:r>
            <w:r w:rsidR="006A1239" w:rsidRPr="00D924A1">
              <w:rPr>
                <w:rStyle w:val="Bodytext212pt"/>
                <w:rFonts w:ascii="Sylfaen" w:hAnsi="Sylfaen"/>
                <w:sz w:val="20"/>
                <w:szCs w:val="20"/>
              </w:rPr>
              <w:t>b</w:t>
            </w:r>
            <w:r w:rsidR="009326AA" w:rsidRPr="00D924A1">
              <w:rPr>
                <w:rStyle w:val="Bodytext212pt"/>
                <w:rFonts w:ascii="Sylfaen" w:hAnsi="Sylfaen"/>
                <w:sz w:val="20"/>
                <w:szCs w:val="20"/>
              </w:rPr>
              <w:t>) հոդված</w:t>
            </w:r>
          </w:p>
        </w:tc>
        <w:tc>
          <w:tcPr>
            <w:tcW w:w="3184" w:type="dxa"/>
            <w:shd w:val="clear" w:color="auto" w:fill="FFFFFF"/>
          </w:tcPr>
          <w:p w:rsidR="009326AA" w:rsidRPr="00D924A1" w:rsidRDefault="009326AA" w:rsidP="00DE3D52">
            <w:pPr>
              <w:pStyle w:val="Bodytext20"/>
              <w:shd w:val="clear" w:color="auto" w:fill="auto"/>
              <w:spacing w:before="0" w:after="40" w:line="240" w:lineRule="auto"/>
              <w:ind w:left="23" w:right="45"/>
              <w:jc w:val="left"/>
              <w:rPr>
                <w:rStyle w:val="Bodytext212pt"/>
                <w:rFonts w:ascii="Sylfaen" w:hAnsi="Sylfaen"/>
                <w:sz w:val="20"/>
                <w:szCs w:val="20"/>
              </w:rPr>
            </w:pPr>
            <w:r w:rsidRPr="00D924A1">
              <w:rPr>
                <w:rStyle w:val="Bodytext212pt"/>
                <w:rFonts w:ascii="Sylfaen" w:hAnsi="Sylfaen"/>
                <w:sz w:val="20"/>
                <w:szCs w:val="20"/>
              </w:rPr>
              <w:t>անհապաղ</w:t>
            </w:r>
          </w:p>
        </w:tc>
        <w:tc>
          <w:tcPr>
            <w:tcW w:w="5811" w:type="dxa"/>
            <w:shd w:val="clear" w:color="auto" w:fill="FFFFFF"/>
          </w:tcPr>
          <w:p w:rsidR="009326AA" w:rsidRPr="00D924A1" w:rsidRDefault="009326AA" w:rsidP="00DE3D52">
            <w:pPr>
              <w:pStyle w:val="Bodytext20"/>
              <w:shd w:val="clear" w:color="auto" w:fill="auto"/>
              <w:spacing w:before="0" w:after="40" w:line="240" w:lineRule="auto"/>
              <w:ind w:left="23" w:right="45"/>
              <w:jc w:val="left"/>
              <w:rPr>
                <w:rStyle w:val="Bodytext212pt"/>
                <w:rFonts w:ascii="Sylfaen" w:hAnsi="Sylfaen"/>
                <w:sz w:val="20"/>
                <w:szCs w:val="20"/>
              </w:rPr>
            </w:pPr>
            <w:r w:rsidRPr="00D924A1">
              <w:rPr>
                <w:rStyle w:val="Bodytext212pt"/>
                <w:rFonts w:ascii="Sylfaen" w:hAnsi="Sylfaen"/>
                <w:sz w:val="20"/>
                <w:szCs w:val="20"/>
              </w:rPr>
              <w:t>ներմուծման ավելացած ծավալների հետ կապված լուրջ վնասի կամ այդպիսի վնաս հասցնելու վտանգի հայտնաբերման մասին</w:t>
            </w:r>
          </w:p>
        </w:tc>
        <w:tc>
          <w:tcPr>
            <w:tcW w:w="3865" w:type="dxa"/>
            <w:shd w:val="clear" w:color="auto" w:fill="FFFFFF"/>
            <w:vAlign w:val="center"/>
          </w:tcPr>
          <w:p w:rsidR="009326AA" w:rsidRPr="00D924A1" w:rsidRDefault="009326AA" w:rsidP="00DE3D52">
            <w:pPr>
              <w:pStyle w:val="Bodytext20"/>
              <w:shd w:val="clear" w:color="auto" w:fill="auto"/>
              <w:spacing w:before="0" w:after="40" w:line="240" w:lineRule="auto"/>
              <w:ind w:left="23" w:right="45"/>
              <w:jc w:val="left"/>
              <w:rPr>
                <w:rStyle w:val="Bodytext212pt"/>
                <w:rFonts w:ascii="Sylfaen" w:hAnsi="Sylfaen"/>
                <w:sz w:val="20"/>
                <w:szCs w:val="20"/>
              </w:rPr>
            </w:pPr>
            <w:r w:rsidRPr="00D924A1">
              <w:rPr>
                <w:rStyle w:val="Bodytext212pt"/>
                <w:rFonts w:ascii="Sylfaen" w:hAnsi="Sylfaen"/>
                <w:sz w:val="20"/>
                <w:szCs w:val="20"/>
              </w:rPr>
              <w:t xml:space="preserve">փաստաթղթերի </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նյութերի լրակազմը Հանձնաժողովի կոլեգիայի այն նիստին ուղարկելու ամսաթվից 5 աշխատանքային օրվա ընթացքում, </w:t>
            </w:r>
            <w:r w:rsidR="00CB3C28" w:rsidRPr="00D924A1">
              <w:rPr>
                <w:rStyle w:val="Bodytext212pt"/>
                <w:rFonts w:ascii="Sylfaen" w:hAnsi="Sylfaen"/>
                <w:sz w:val="20"/>
                <w:szCs w:val="20"/>
              </w:rPr>
              <w:t>ուր</w:t>
            </w:r>
            <w:r w:rsidRPr="00D924A1">
              <w:rPr>
                <w:rStyle w:val="Bodytext212pt"/>
                <w:rFonts w:ascii="Sylfaen" w:hAnsi="Sylfaen"/>
                <w:sz w:val="20"/>
                <w:szCs w:val="20"/>
              </w:rPr>
              <w:t xml:space="preserve"> ծրագրվում է ուսումնասիրել հատուկ պաշտպանական միջոցի կիրառման հարցը</w:t>
            </w:r>
          </w:p>
        </w:tc>
      </w:tr>
      <w:tr w:rsidR="001502CF" w:rsidRPr="00D924A1" w:rsidTr="0061617B">
        <w:trPr>
          <w:jc w:val="center"/>
        </w:trPr>
        <w:tc>
          <w:tcPr>
            <w:tcW w:w="2412" w:type="dxa"/>
            <w:shd w:val="clear" w:color="auto" w:fill="FFFFFF"/>
          </w:tcPr>
          <w:p w:rsidR="009326AA" w:rsidRPr="00D924A1" w:rsidRDefault="004A5543" w:rsidP="00DE3D52">
            <w:pPr>
              <w:pStyle w:val="Bodytext20"/>
              <w:shd w:val="clear" w:color="auto" w:fill="auto"/>
              <w:tabs>
                <w:tab w:val="left" w:pos="542"/>
              </w:tabs>
              <w:spacing w:before="0" w:after="40" w:line="240" w:lineRule="auto"/>
              <w:ind w:left="23" w:right="45"/>
              <w:jc w:val="left"/>
              <w:rPr>
                <w:rStyle w:val="Bodytext212pt"/>
                <w:rFonts w:ascii="Sylfaen" w:hAnsi="Sylfaen"/>
                <w:sz w:val="20"/>
                <w:szCs w:val="20"/>
              </w:rPr>
            </w:pPr>
            <w:r w:rsidRPr="00D924A1">
              <w:rPr>
                <w:rStyle w:val="Bodytext212pt"/>
                <w:rFonts w:ascii="Sylfaen" w:hAnsi="Sylfaen"/>
                <w:sz w:val="20"/>
                <w:szCs w:val="20"/>
              </w:rPr>
              <w:t>17.</w:t>
            </w:r>
            <w:r w:rsidRPr="00D924A1">
              <w:rPr>
                <w:rStyle w:val="Bodytext212pt"/>
                <w:rFonts w:ascii="Sylfaen" w:hAnsi="Sylfaen"/>
                <w:sz w:val="20"/>
                <w:szCs w:val="20"/>
              </w:rPr>
              <w:tab/>
            </w:r>
            <w:r w:rsidR="009326AA" w:rsidRPr="00D924A1">
              <w:rPr>
                <w:rStyle w:val="Bodytext212pt"/>
                <w:rFonts w:ascii="Sylfaen" w:hAnsi="Sylfaen"/>
                <w:sz w:val="20"/>
                <w:szCs w:val="20"/>
              </w:rPr>
              <w:t>12.1 (</w:t>
            </w:r>
            <w:r w:rsidR="006A1239" w:rsidRPr="00D924A1">
              <w:rPr>
                <w:rStyle w:val="Bodytext212pt"/>
                <w:rFonts w:ascii="Sylfaen" w:hAnsi="Sylfaen"/>
                <w:sz w:val="20"/>
                <w:szCs w:val="20"/>
              </w:rPr>
              <w:t>c</w:t>
            </w:r>
            <w:r w:rsidR="009326AA" w:rsidRPr="00D924A1">
              <w:rPr>
                <w:rStyle w:val="Bodytext212pt"/>
                <w:rFonts w:ascii="Sylfaen" w:hAnsi="Sylfaen"/>
                <w:sz w:val="20"/>
                <w:szCs w:val="20"/>
              </w:rPr>
              <w:t>) հոդված</w:t>
            </w:r>
          </w:p>
        </w:tc>
        <w:tc>
          <w:tcPr>
            <w:tcW w:w="3184" w:type="dxa"/>
            <w:shd w:val="clear" w:color="auto" w:fill="FFFFFF"/>
          </w:tcPr>
          <w:p w:rsidR="009326AA" w:rsidRPr="00D924A1" w:rsidRDefault="009326AA" w:rsidP="00DE3D52">
            <w:pPr>
              <w:pStyle w:val="Bodytext20"/>
              <w:shd w:val="clear" w:color="auto" w:fill="auto"/>
              <w:spacing w:before="0" w:after="40" w:line="240" w:lineRule="auto"/>
              <w:ind w:left="23" w:right="45"/>
              <w:jc w:val="left"/>
              <w:rPr>
                <w:rStyle w:val="Bodytext212pt"/>
                <w:rFonts w:ascii="Sylfaen" w:hAnsi="Sylfaen"/>
                <w:sz w:val="20"/>
                <w:szCs w:val="20"/>
              </w:rPr>
            </w:pPr>
            <w:r w:rsidRPr="00D924A1">
              <w:rPr>
                <w:rStyle w:val="Bodytext212pt"/>
                <w:rFonts w:ascii="Sylfaen" w:hAnsi="Sylfaen"/>
                <w:sz w:val="20"/>
                <w:szCs w:val="20"/>
              </w:rPr>
              <w:t>անհապաղ</w:t>
            </w:r>
          </w:p>
        </w:tc>
        <w:tc>
          <w:tcPr>
            <w:tcW w:w="5811" w:type="dxa"/>
            <w:shd w:val="clear" w:color="auto" w:fill="FFFFFF"/>
          </w:tcPr>
          <w:p w:rsidR="009326AA" w:rsidRPr="00D924A1" w:rsidRDefault="009326AA" w:rsidP="00DE3D52">
            <w:pPr>
              <w:pStyle w:val="Bodytext20"/>
              <w:shd w:val="clear" w:color="auto" w:fill="auto"/>
              <w:spacing w:before="0" w:after="40" w:line="240" w:lineRule="auto"/>
              <w:ind w:left="23" w:right="45"/>
              <w:jc w:val="left"/>
              <w:rPr>
                <w:rStyle w:val="Bodytext212pt"/>
                <w:rFonts w:ascii="Sylfaen" w:hAnsi="Sylfaen"/>
                <w:sz w:val="20"/>
                <w:szCs w:val="20"/>
              </w:rPr>
            </w:pPr>
            <w:r w:rsidRPr="00D924A1">
              <w:rPr>
                <w:rStyle w:val="Bodytext212pt"/>
                <w:rFonts w:ascii="Sylfaen" w:hAnsi="Sylfaen"/>
                <w:sz w:val="20"/>
                <w:szCs w:val="20"/>
              </w:rPr>
              <w:t>հատուկ պաշտպանական միջոցի կիրառման կամ դրա գործողության երկարաձգման վերաբերյալ որոշում ընդունելու մասին</w:t>
            </w:r>
          </w:p>
        </w:tc>
        <w:tc>
          <w:tcPr>
            <w:tcW w:w="3865" w:type="dxa"/>
            <w:shd w:val="clear" w:color="auto" w:fill="FFFFFF"/>
            <w:vAlign w:val="center"/>
          </w:tcPr>
          <w:p w:rsidR="009326AA" w:rsidRPr="00D924A1" w:rsidRDefault="009326AA" w:rsidP="00DE3D52">
            <w:pPr>
              <w:pStyle w:val="Bodytext20"/>
              <w:shd w:val="clear" w:color="auto" w:fill="auto"/>
              <w:spacing w:before="0" w:after="0" w:line="240" w:lineRule="auto"/>
              <w:ind w:left="23" w:right="45"/>
              <w:jc w:val="left"/>
              <w:rPr>
                <w:rStyle w:val="Bodytext212pt"/>
                <w:rFonts w:ascii="Sylfaen" w:hAnsi="Sylfaen"/>
                <w:sz w:val="20"/>
                <w:szCs w:val="20"/>
              </w:rPr>
            </w:pPr>
            <w:r w:rsidRPr="00D924A1">
              <w:rPr>
                <w:rStyle w:val="Bodytext212pt"/>
                <w:rFonts w:ascii="Sylfaen" w:hAnsi="Sylfaen"/>
                <w:sz w:val="20"/>
                <w:szCs w:val="20"/>
              </w:rPr>
              <w:t xml:space="preserve">Հանձնաժողովի որոշումը </w:t>
            </w:r>
            <w:r w:rsidR="00F91AEB" w:rsidRPr="00D924A1">
              <w:rPr>
                <w:rStyle w:val="Bodytext212pt"/>
                <w:rFonts w:ascii="Sylfaen" w:hAnsi="Sylfaen"/>
                <w:sz w:val="20"/>
                <w:szCs w:val="20"/>
              </w:rPr>
              <w:t xml:space="preserve">հրապարակելու օրվանից 16 օրացուցային օրվա ընթացքում </w:t>
            </w:r>
            <w:r w:rsidRPr="00D924A1">
              <w:rPr>
                <w:rStyle w:val="Bodytext212pt"/>
                <w:rFonts w:ascii="Sylfaen" w:hAnsi="Sylfaen"/>
                <w:sz w:val="20"/>
                <w:szCs w:val="20"/>
              </w:rPr>
              <w:t>կամ Հանձնաժողովի որոշումն ուժի մեջ մտնելու օրվանից 15 օրացուցային օրվա ընթացքում («Եվրասիական տնտեսական հանձնաժողովի մասին» հիմնադրույթի («Եվրասիական տնտեսական միության մասին» 2014</w:t>
            </w:r>
            <w:r w:rsidR="004A5543" w:rsidRPr="00D924A1">
              <w:rPr>
                <w:rStyle w:val="Bodytext212pt"/>
                <w:rFonts w:ascii="Sylfaen" w:hAnsi="Sylfaen"/>
                <w:sz w:val="20"/>
                <w:szCs w:val="20"/>
              </w:rPr>
              <w:t> </w:t>
            </w:r>
            <w:r w:rsidRPr="00D924A1">
              <w:rPr>
                <w:rStyle w:val="Bodytext212pt"/>
                <w:rFonts w:ascii="Sylfaen" w:hAnsi="Sylfaen"/>
                <w:sz w:val="20"/>
                <w:szCs w:val="20"/>
              </w:rPr>
              <w:t>թվական մայիսի 29-ի պայմանագրի թիվ 1 հավելված) 30-րդ կետի հիման վրա Հանձնաժողովի որոշումն ուժի մեջ մտնելու գործընթացը դադարեցնելու դեպքում)</w:t>
            </w:r>
          </w:p>
        </w:tc>
      </w:tr>
      <w:tr w:rsidR="001502CF" w:rsidRPr="00D924A1" w:rsidTr="0061617B">
        <w:trPr>
          <w:jc w:val="center"/>
        </w:trPr>
        <w:tc>
          <w:tcPr>
            <w:tcW w:w="2412" w:type="dxa"/>
            <w:shd w:val="clear" w:color="auto" w:fill="FFFFFF"/>
          </w:tcPr>
          <w:p w:rsidR="009326AA" w:rsidRPr="00D924A1" w:rsidRDefault="004A5543" w:rsidP="004A5543">
            <w:pPr>
              <w:pStyle w:val="Bodytext20"/>
              <w:shd w:val="clear" w:color="auto" w:fill="auto"/>
              <w:tabs>
                <w:tab w:val="left" w:pos="542"/>
              </w:tabs>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18.</w:t>
            </w:r>
            <w:r w:rsidRPr="00D924A1">
              <w:rPr>
                <w:rStyle w:val="Bodytext212pt"/>
                <w:rFonts w:ascii="Sylfaen" w:hAnsi="Sylfaen"/>
                <w:sz w:val="20"/>
                <w:szCs w:val="20"/>
              </w:rPr>
              <w:tab/>
            </w:r>
            <w:r w:rsidR="009326AA" w:rsidRPr="00D924A1">
              <w:rPr>
                <w:rStyle w:val="Bodytext212pt"/>
                <w:rFonts w:ascii="Sylfaen" w:hAnsi="Sylfaen"/>
                <w:sz w:val="20"/>
                <w:szCs w:val="20"/>
              </w:rPr>
              <w:t>9.1 հոդված, 2-րդ ծանոթագրություն</w:t>
            </w:r>
          </w:p>
        </w:tc>
        <w:tc>
          <w:tcPr>
            <w:tcW w:w="3184" w:type="dxa"/>
            <w:shd w:val="clear" w:color="auto" w:fill="FFFFFF"/>
          </w:tcPr>
          <w:p w:rsidR="009326AA" w:rsidRPr="00D924A1" w:rsidRDefault="009326AA"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անհապաղ</w:t>
            </w:r>
          </w:p>
        </w:tc>
        <w:tc>
          <w:tcPr>
            <w:tcW w:w="5811" w:type="dxa"/>
            <w:shd w:val="clear" w:color="auto" w:fill="FFFFFF"/>
            <w:vAlign w:val="center"/>
          </w:tcPr>
          <w:p w:rsidR="009326AA" w:rsidRPr="00D924A1" w:rsidRDefault="009326AA" w:rsidP="001502CF">
            <w:pPr>
              <w:pStyle w:val="Bodytext20"/>
              <w:shd w:val="clear" w:color="auto" w:fill="auto"/>
              <w:spacing w:before="0" w:after="120" w:line="240" w:lineRule="auto"/>
              <w:ind w:left="22" w:right="46"/>
              <w:jc w:val="left"/>
              <w:rPr>
                <w:rStyle w:val="Bodytext212pt"/>
                <w:rFonts w:ascii="Sylfaen" w:hAnsi="Sylfaen"/>
                <w:spacing w:val="-6"/>
                <w:sz w:val="20"/>
                <w:szCs w:val="20"/>
              </w:rPr>
            </w:pPr>
            <w:r w:rsidRPr="00D924A1">
              <w:rPr>
                <w:rStyle w:val="Bodytext212pt"/>
                <w:rFonts w:ascii="Sylfaen" w:hAnsi="Sylfaen"/>
                <w:spacing w:val="-6"/>
                <w:sz w:val="20"/>
                <w:szCs w:val="20"/>
              </w:rPr>
              <w:t xml:space="preserve">ԱՀԿ-ի </w:t>
            </w:r>
            <w:r w:rsidR="00A02E48" w:rsidRPr="00D924A1">
              <w:rPr>
                <w:rStyle w:val="Bodytext212pt"/>
                <w:rFonts w:ascii="Sylfaen" w:hAnsi="Sylfaen"/>
                <w:spacing w:val="-6"/>
                <w:sz w:val="20"/>
                <w:szCs w:val="20"/>
              </w:rPr>
              <w:t xml:space="preserve">զարգացող </w:t>
            </w:r>
            <w:r w:rsidRPr="00D924A1">
              <w:rPr>
                <w:rStyle w:val="Bodytext212pt"/>
                <w:rFonts w:ascii="Sylfaen" w:hAnsi="Sylfaen"/>
                <w:spacing w:val="-6"/>
                <w:sz w:val="20"/>
                <w:szCs w:val="20"/>
              </w:rPr>
              <w:t>անդամ</w:t>
            </w:r>
            <w:r w:rsidR="00251C1C" w:rsidRPr="00D924A1">
              <w:rPr>
                <w:rStyle w:val="Bodytext212pt"/>
                <w:rFonts w:ascii="Sylfaen" w:hAnsi="Sylfaen"/>
                <w:spacing w:val="-6"/>
                <w:sz w:val="20"/>
                <w:szCs w:val="20"/>
              </w:rPr>
              <w:t xml:space="preserve"> </w:t>
            </w:r>
            <w:r w:rsidR="00A02E48" w:rsidRPr="00D924A1">
              <w:rPr>
                <w:rStyle w:val="Bodytext212pt"/>
                <w:rFonts w:ascii="Sylfaen" w:hAnsi="Sylfaen"/>
                <w:spacing w:val="-6"/>
                <w:sz w:val="20"/>
                <w:szCs w:val="20"/>
              </w:rPr>
              <w:t>երկր</w:t>
            </w:r>
            <w:r w:rsidR="00A45316" w:rsidRPr="00D924A1">
              <w:rPr>
                <w:rStyle w:val="Bodytext212pt"/>
                <w:rFonts w:ascii="Sylfaen" w:hAnsi="Sylfaen"/>
                <w:spacing w:val="-6"/>
                <w:sz w:val="20"/>
                <w:szCs w:val="20"/>
              </w:rPr>
              <w:t>ի</w:t>
            </w:r>
            <w:r w:rsidR="001502CF" w:rsidRPr="00D924A1">
              <w:rPr>
                <w:rStyle w:val="Bodytext212pt"/>
                <w:rFonts w:ascii="Sylfaen" w:hAnsi="Sylfaen"/>
                <w:spacing w:val="-6"/>
                <w:sz w:val="20"/>
                <w:szCs w:val="20"/>
              </w:rPr>
              <w:t xml:space="preserve"> </w:t>
            </w:r>
            <w:r w:rsidRPr="00D924A1">
              <w:rPr>
                <w:rStyle w:val="Bodytext212pt"/>
                <w:rFonts w:ascii="Sylfaen" w:hAnsi="Sylfaen"/>
                <w:spacing w:val="-6"/>
                <w:sz w:val="20"/>
                <w:szCs w:val="20"/>
              </w:rPr>
              <w:t>ծագում ունեցող ապրանքի նկատմամբ հատուկ պաշտպանական միջոց չկիրառելու մասին</w:t>
            </w:r>
          </w:p>
        </w:tc>
        <w:tc>
          <w:tcPr>
            <w:tcW w:w="3865" w:type="dxa"/>
            <w:shd w:val="clear" w:color="auto" w:fill="FFFFFF"/>
            <w:vAlign w:val="center"/>
          </w:tcPr>
          <w:p w:rsidR="009326AA" w:rsidRPr="00D924A1" w:rsidRDefault="009326AA" w:rsidP="00DE3D52">
            <w:pPr>
              <w:pStyle w:val="Bodytext20"/>
              <w:shd w:val="clear" w:color="auto" w:fill="auto"/>
              <w:spacing w:before="0" w:after="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Հանձնաժողովի որոշումն հրապարակելու օրվանից 16 օրացուցային օրվա ընթացքում</w:t>
            </w:r>
          </w:p>
        </w:tc>
      </w:tr>
      <w:tr w:rsidR="001502CF" w:rsidRPr="00D924A1" w:rsidTr="004A5543">
        <w:trPr>
          <w:jc w:val="center"/>
        </w:trPr>
        <w:tc>
          <w:tcPr>
            <w:tcW w:w="2412" w:type="dxa"/>
            <w:shd w:val="clear" w:color="auto" w:fill="FFFFFF"/>
          </w:tcPr>
          <w:p w:rsidR="009326AA" w:rsidRPr="00D924A1" w:rsidRDefault="004A5543" w:rsidP="004A5543">
            <w:pPr>
              <w:pStyle w:val="Bodytext20"/>
              <w:shd w:val="clear" w:color="auto" w:fill="auto"/>
              <w:tabs>
                <w:tab w:val="left" w:pos="542"/>
              </w:tabs>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lastRenderedPageBreak/>
              <w:t>19.</w:t>
            </w:r>
            <w:r w:rsidRPr="00D924A1">
              <w:rPr>
                <w:rStyle w:val="Bodytext212pt"/>
                <w:rFonts w:ascii="Sylfaen" w:hAnsi="Sylfaen"/>
                <w:sz w:val="20"/>
                <w:szCs w:val="20"/>
              </w:rPr>
              <w:tab/>
            </w:r>
            <w:r w:rsidR="009326AA" w:rsidRPr="00D924A1">
              <w:rPr>
                <w:rStyle w:val="Bodytext212pt"/>
                <w:rFonts w:ascii="Sylfaen" w:hAnsi="Sylfaen"/>
                <w:sz w:val="20"/>
                <w:szCs w:val="20"/>
              </w:rPr>
              <w:t>12.4 հոդված</w:t>
            </w:r>
          </w:p>
        </w:tc>
        <w:tc>
          <w:tcPr>
            <w:tcW w:w="3184" w:type="dxa"/>
            <w:shd w:val="clear" w:color="auto" w:fill="FFFFFF"/>
          </w:tcPr>
          <w:p w:rsidR="009326AA" w:rsidRPr="00D924A1" w:rsidRDefault="009326AA"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անհապաղ</w:t>
            </w:r>
          </w:p>
        </w:tc>
        <w:tc>
          <w:tcPr>
            <w:tcW w:w="5811" w:type="dxa"/>
            <w:shd w:val="clear" w:color="auto" w:fill="FFFFFF"/>
          </w:tcPr>
          <w:p w:rsidR="009326AA" w:rsidRPr="00D924A1" w:rsidRDefault="009326AA" w:rsidP="004A5543">
            <w:pPr>
              <w:pStyle w:val="Bodytext20"/>
              <w:shd w:val="clear" w:color="auto" w:fill="auto"/>
              <w:spacing w:before="0" w:after="6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նախնական հատուկ պաշտպանական միջոցի հնարավոր կիրառման մասին</w:t>
            </w:r>
          </w:p>
        </w:tc>
        <w:tc>
          <w:tcPr>
            <w:tcW w:w="3865" w:type="dxa"/>
            <w:shd w:val="clear" w:color="auto" w:fill="FFFFFF"/>
          </w:tcPr>
          <w:p w:rsidR="009326AA" w:rsidRPr="00D924A1" w:rsidRDefault="009326AA" w:rsidP="004A5543">
            <w:pPr>
              <w:pStyle w:val="Bodytext20"/>
              <w:shd w:val="clear" w:color="auto" w:fill="auto"/>
              <w:spacing w:before="0" w:after="60" w:line="240" w:lineRule="auto"/>
              <w:ind w:left="22" w:right="46"/>
              <w:jc w:val="left"/>
              <w:rPr>
                <w:rStyle w:val="Bodytext212pt"/>
                <w:rFonts w:ascii="Sylfaen" w:hAnsi="Sylfaen"/>
                <w:sz w:val="20"/>
                <w:szCs w:val="20"/>
              </w:rPr>
            </w:pPr>
            <w:r w:rsidRPr="00D924A1">
              <w:rPr>
                <w:rStyle w:val="Bodytext212pt"/>
                <w:rFonts w:ascii="Sylfaen" w:hAnsi="Sylfaen"/>
                <w:sz w:val="20"/>
                <w:szCs w:val="20"/>
              </w:rPr>
              <w:t xml:space="preserve">ոչ ուշ, քան տվյալ հարցին առնչվող փաստաթղթերի </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նյութերի լրակազմ</w:t>
            </w:r>
            <w:r w:rsidR="00FB4503" w:rsidRPr="00D924A1">
              <w:rPr>
                <w:rStyle w:val="Bodytext212pt"/>
                <w:rFonts w:ascii="Sylfaen" w:hAnsi="Sylfaen"/>
                <w:sz w:val="20"/>
                <w:szCs w:val="20"/>
              </w:rPr>
              <w:t>ը</w:t>
            </w:r>
            <w:r w:rsidRPr="00D924A1">
              <w:rPr>
                <w:rStyle w:val="Bodytext212pt"/>
                <w:rFonts w:ascii="Sylfaen" w:hAnsi="Sylfaen"/>
                <w:sz w:val="20"/>
                <w:szCs w:val="20"/>
              </w:rPr>
              <w:t xml:space="preserve"> Հանձնաժողովի կոլեգիայի այն նիստին ուղարկելու օրվանից 5 օրվա ընթացքում, ո</w:t>
            </w:r>
            <w:r w:rsidR="00CB3C28" w:rsidRPr="00D924A1">
              <w:rPr>
                <w:rStyle w:val="Bodytext212pt"/>
                <w:rFonts w:ascii="Sylfaen" w:hAnsi="Sylfaen"/>
                <w:sz w:val="20"/>
                <w:szCs w:val="20"/>
              </w:rPr>
              <w:t>ւր</w:t>
            </w:r>
            <w:r w:rsidRPr="00D924A1">
              <w:rPr>
                <w:rStyle w:val="Bodytext212pt"/>
                <w:rFonts w:ascii="Sylfaen" w:hAnsi="Sylfaen"/>
                <w:sz w:val="20"/>
                <w:szCs w:val="20"/>
              </w:rPr>
              <w:t xml:space="preserve"> ծրագրվում է ուսումնասիրել նախնական հատուկ պաշտպանական միջոցի կիրառման հարցը</w:t>
            </w:r>
          </w:p>
        </w:tc>
      </w:tr>
      <w:tr w:rsidR="001502CF" w:rsidRPr="00D924A1" w:rsidTr="004A5543">
        <w:trPr>
          <w:jc w:val="center"/>
        </w:trPr>
        <w:tc>
          <w:tcPr>
            <w:tcW w:w="2412" w:type="dxa"/>
            <w:shd w:val="clear" w:color="auto" w:fill="FFFFFF"/>
          </w:tcPr>
          <w:p w:rsidR="009326AA" w:rsidRPr="00D924A1" w:rsidRDefault="004A5543" w:rsidP="004A5543">
            <w:pPr>
              <w:pStyle w:val="Bodytext20"/>
              <w:shd w:val="clear" w:color="auto" w:fill="auto"/>
              <w:tabs>
                <w:tab w:val="left" w:pos="542"/>
              </w:tabs>
              <w:spacing w:before="0" w:after="60" w:line="240" w:lineRule="auto"/>
              <w:ind w:left="23" w:right="45"/>
              <w:jc w:val="left"/>
              <w:rPr>
                <w:rStyle w:val="Bodytext212pt"/>
                <w:rFonts w:ascii="Sylfaen" w:hAnsi="Sylfaen"/>
                <w:sz w:val="20"/>
                <w:szCs w:val="20"/>
              </w:rPr>
            </w:pPr>
            <w:r w:rsidRPr="00D924A1">
              <w:rPr>
                <w:rStyle w:val="Bodytext212pt"/>
                <w:rFonts w:ascii="Sylfaen" w:hAnsi="Sylfaen"/>
                <w:sz w:val="20"/>
                <w:szCs w:val="20"/>
              </w:rPr>
              <w:t>20.</w:t>
            </w:r>
            <w:r w:rsidRPr="00D924A1">
              <w:rPr>
                <w:rStyle w:val="Bodytext212pt"/>
                <w:rFonts w:ascii="Sylfaen" w:hAnsi="Sylfaen"/>
                <w:sz w:val="20"/>
                <w:szCs w:val="20"/>
              </w:rPr>
              <w:tab/>
            </w:r>
            <w:r w:rsidR="009326AA" w:rsidRPr="00D924A1">
              <w:rPr>
                <w:rStyle w:val="Bodytext212pt"/>
                <w:rFonts w:ascii="Sylfaen" w:hAnsi="Sylfaen"/>
                <w:sz w:val="20"/>
                <w:szCs w:val="20"/>
              </w:rPr>
              <w:t xml:space="preserve">12.5 հոդված </w:t>
            </w:r>
          </w:p>
        </w:tc>
        <w:tc>
          <w:tcPr>
            <w:tcW w:w="3184" w:type="dxa"/>
            <w:shd w:val="clear" w:color="auto" w:fill="FFFFFF"/>
          </w:tcPr>
          <w:p w:rsidR="009326AA" w:rsidRPr="00D924A1" w:rsidRDefault="009326AA" w:rsidP="004A5543">
            <w:pPr>
              <w:pStyle w:val="Bodytext20"/>
              <w:shd w:val="clear" w:color="auto" w:fill="auto"/>
              <w:spacing w:before="0" w:after="60" w:line="240" w:lineRule="auto"/>
              <w:ind w:left="23" w:right="45"/>
              <w:jc w:val="left"/>
              <w:rPr>
                <w:rStyle w:val="Bodytext212pt"/>
                <w:rFonts w:ascii="Sylfaen" w:hAnsi="Sylfaen"/>
                <w:sz w:val="20"/>
                <w:szCs w:val="20"/>
              </w:rPr>
            </w:pPr>
            <w:r w:rsidRPr="00D924A1">
              <w:rPr>
                <w:rStyle w:val="Bodytext212pt"/>
                <w:rFonts w:ascii="Sylfaen" w:hAnsi="Sylfaen"/>
                <w:sz w:val="20"/>
                <w:szCs w:val="20"/>
              </w:rPr>
              <w:t>անհապաղ</w:t>
            </w:r>
          </w:p>
        </w:tc>
        <w:tc>
          <w:tcPr>
            <w:tcW w:w="5811" w:type="dxa"/>
            <w:shd w:val="clear" w:color="auto" w:fill="FFFFFF"/>
          </w:tcPr>
          <w:p w:rsidR="009326AA" w:rsidRPr="00D924A1" w:rsidRDefault="009326AA" w:rsidP="004A5543">
            <w:pPr>
              <w:pStyle w:val="Bodytext20"/>
              <w:shd w:val="clear" w:color="auto" w:fill="auto"/>
              <w:spacing w:before="0" w:after="60" w:line="240" w:lineRule="auto"/>
              <w:ind w:left="23" w:right="45"/>
              <w:jc w:val="left"/>
              <w:rPr>
                <w:rStyle w:val="Bodytext212pt"/>
                <w:rFonts w:ascii="Sylfaen" w:hAnsi="Sylfaen"/>
                <w:sz w:val="20"/>
                <w:szCs w:val="20"/>
              </w:rPr>
            </w:pPr>
            <w:r w:rsidRPr="00D924A1">
              <w:rPr>
                <w:rStyle w:val="Bodytext212pt"/>
                <w:rFonts w:ascii="Sylfaen" w:hAnsi="Sylfaen"/>
                <w:sz w:val="20"/>
                <w:szCs w:val="20"/>
              </w:rPr>
              <w:t>հատուկ պաշտպանական միջոցների, այդ թվում՝ նախնական հատուկ պաշտպանական միջոցների կիրառման կամ գործողության երկարաձգման վերաբերյալ խորհրդակցության արդյունքների մասին</w:t>
            </w:r>
          </w:p>
        </w:tc>
        <w:tc>
          <w:tcPr>
            <w:tcW w:w="3865" w:type="dxa"/>
            <w:shd w:val="clear" w:color="auto" w:fill="FFFFFF"/>
          </w:tcPr>
          <w:p w:rsidR="009326AA" w:rsidRPr="00D924A1" w:rsidRDefault="009326AA" w:rsidP="004A5543">
            <w:pPr>
              <w:pStyle w:val="Bodytext20"/>
              <w:shd w:val="clear" w:color="auto" w:fill="auto"/>
              <w:spacing w:before="0" w:after="60" w:line="240" w:lineRule="auto"/>
              <w:ind w:left="23" w:right="45"/>
              <w:jc w:val="left"/>
              <w:rPr>
                <w:rStyle w:val="Bodytext212pt"/>
                <w:rFonts w:ascii="Sylfaen" w:hAnsi="Sylfaen"/>
                <w:sz w:val="20"/>
                <w:szCs w:val="20"/>
              </w:rPr>
            </w:pPr>
            <w:r w:rsidRPr="00D924A1">
              <w:rPr>
                <w:rStyle w:val="Bodytext212pt"/>
                <w:rFonts w:ascii="Sylfaen" w:hAnsi="Sylfaen"/>
                <w:sz w:val="20"/>
                <w:szCs w:val="20"/>
              </w:rPr>
              <w:t>խորհրդակցության անցկացման օրվանից 15 օրացուցային օրվա ընթացքում</w:t>
            </w:r>
          </w:p>
        </w:tc>
      </w:tr>
      <w:tr w:rsidR="001502CF" w:rsidRPr="00D924A1" w:rsidTr="004A5543">
        <w:trPr>
          <w:jc w:val="center"/>
        </w:trPr>
        <w:tc>
          <w:tcPr>
            <w:tcW w:w="2412" w:type="dxa"/>
            <w:shd w:val="clear" w:color="auto" w:fill="FFFFFF"/>
          </w:tcPr>
          <w:p w:rsidR="009326AA" w:rsidRPr="00D924A1" w:rsidRDefault="004A5543" w:rsidP="004A5543">
            <w:pPr>
              <w:pStyle w:val="Bodytext20"/>
              <w:shd w:val="clear" w:color="auto" w:fill="auto"/>
              <w:tabs>
                <w:tab w:val="left" w:pos="542"/>
              </w:tabs>
              <w:spacing w:before="0" w:after="60" w:line="240" w:lineRule="auto"/>
              <w:ind w:left="23" w:right="45"/>
              <w:jc w:val="left"/>
              <w:rPr>
                <w:rStyle w:val="Bodytext212pt"/>
                <w:rFonts w:ascii="Sylfaen" w:hAnsi="Sylfaen"/>
                <w:sz w:val="20"/>
                <w:szCs w:val="20"/>
              </w:rPr>
            </w:pPr>
            <w:r w:rsidRPr="00D924A1">
              <w:rPr>
                <w:rStyle w:val="Bodytext212pt"/>
                <w:rFonts w:ascii="Sylfaen" w:hAnsi="Sylfaen"/>
                <w:sz w:val="20"/>
                <w:szCs w:val="20"/>
              </w:rPr>
              <w:t>21.</w:t>
            </w:r>
            <w:r w:rsidRPr="00D924A1">
              <w:rPr>
                <w:rStyle w:val="Bodytext212pt"/>
                <w:rFonts w:ascii="Sylfaen" w:hAnsi="Sylfaen"/>
                <w:sz w:val="20"/>
                <w:szCs w:val="20"/>
              </w:rPr>
              <w:tab/>
            </w:r>
            <w:r w:rsidR="009326AA" w:rsidRPr="00D924A1">
              <w:rPr>
                <w:rStyle w:val="Bodytext212pt"/>
                <w:rFonts w:ascii="Sylfaen" w:hAnsi="Sylfaen"/>
                <w:sz w:val="20"/>
                <w:szCs w:val="20"/>
              </w:rPr>
              <w:t>12.5 (7.4) հոդված</w:t>
            </w:r>
          </w:p>
        </w:tc>
        <w:tc>
          <w:tcPr>
            <w:tcW w:w="3184" w:type="dxa"/>
            <w:shd w:val="clear" w:color="auto" w:fill="FFFFFF"/>
          </w:tcPr>
          <w:p w:rsidR="009326AA" w:rsidRPr="00D924A1" w:rsidRDefault="009326AA" w:rsidP="004A5543">
            <w:pPr>
              <w:pStyle w:val="Bodytext20"/>
              <w:shd w:val="clear" w:color="auto" w:fill="auto"/>
              <w:spacing w:before="0" w:after="60" w:line="240" w:lineRule="auto"/>
              <w:ind w:left="23" w:right="45"/>
              <w:jc w:val="left"/>
              <w:rPr>
                <w:rStyle w:val="Bodytext212pt"/>
                <w:rFonts w:ascii="Sylfaen" w:hAnsi="Sylfaen"/>
                <w:sz w:val="20"/>
                <w:szCs w:val="20"/>
              </w:rPr>
            </w:pPr>
            <w:r w:rsidRPr="00D924A1">
              <w:rPr>
                <w:rStyle w:val="Bodytext212pt"/>
                <w:rFonts w:ascii="Sylfaen" w:hAnsi="Sylfaen"/>
                <w:sz w:val="20"/>
                <w:szCs w:val="20"/>
              </w:rPr>
              <w:t>անհապաղ</w:t>
            </w:r>
          </w:p>
        </w:tc>
        <w:tc>
          <w:tcPr>
            <w:tcW w:w="5811" w:type="dxa"/>
            <w:shd w:val="clear" w:color="auto" w:fill="FFFFFF"/>
          </w:tcPr>
          <w:p w:rsidR="009326AA" w:rsidRPr="00D924A1" w:rsidRDefault="009326AA" w:rsidP="004A5543">
            <w:pPr>
              <w:pStyle w:val="Bodytext20"/>
              <w:shd w:val="clear" w:color="auto" w:fill="auto"/>
              <w:spacing w:before="0" w:after="60" w:line="240" w:lineRule="auto"/>
              <w:ind w:left="23" w:right="45"/>
              <w:jc w:val="left"/>
              <w:rPr>
                <w:rStyle w:val="Bodytext212pt"/>
                <w:rFonts w:ascii="Sylfaen" w:hAnsi="Sylfaen"/>
                <w:sz w:val="20"/>
                <w:szCs w:val="20"/>
              </w:rPr>
            </w:pPr>
            <w:r w:rsidRPr="00D924A1">
              <w:rPr>
                <w:rStyle w:val="Bodytext212pt"/>
                <w:rFonts w:ascii="Sylfaen" w:hAnsi="Sylfaen"/>
                <w:sz w:val="20"/>
                <w:szCs w:val="20"/>
              </w:rPr>
              <w:t>միջանկյալ վերանայումների (mid-term review) արդյունքների մասին</w:t>
            </w:r>
          </w:p>
        </w:tc>
        <w:tc>
          <w:tcPr>
            <w:tcW w:w="3865" w:type="dxa"/>
            <w:shd w:val="clear" w:color="auto" w:fill="FFFFFF"/>
          </w:tcPr>
          <w:p w:rsidR="009326AA" w:rsidRPr="00D924A1" w:rsidRDefault="009326AA" w:rsidP="004A5543">
            <w:pPr>
              <w:pStyle w:val="Bodytext20"/>
              <w:shd w:val="clear" w:color="auto" w:fill="auto"/>
              <w:spacing w:before="0" w:after="60" w:line="240" w:lineRule="auto"/>
              <w:ind w:left="23" w:right="45"/>
              <w:jc w:val="left"/>
              <w:rPr>
                <w:rStyle w:val="Bodytext212pt"/>
                <w:rFonts w:ascii="Sylfaen" w:hAnsi="Sylfaen"/>
                <w:sz w:val="20"/>
                <w:szCs w:val="20"/>
              </w:rPr>
            </w:pPr>
            <w:r w:rsidRPr="00D924A1">
              <w:rPr>
                <w:rStyle w:val="Bodytext212pt"/>
                <w:rFonts w:ascii="Sylfaen" w:hAnsi="Sylfaen"/>
                <w:sz w:val="20"/>
                <w:szCs w:val="20"/>
              </w:rPr>
              <w:t>Հանձնաժողովի համապատասխան որոշումը կամ ծանուցագիրը հրապարակելու օրվանից 15 օրացուցային օրվա ընթացքում</w:t>
            </w:r>
          </w:p>
        </w:tc>
      </w:tr>
      <w:tr w:rsidR="001502CF" w:rsidRPr="00D924A1" w:rsidTr="004A5543">
        <w:trPr>
          <w:jc w:val="center"/>
        </w:trPr>
        <w:tc>
          <w:tcPr>
            <w:tcW w:w="2412" w:type="dxa"/>
            <w:shd w:val="clear" w:color="auto" w:fill="FFFFFF"/>
          </w:tcPr>
          <w:p w:rsidR="009326AA" w:rsidRPr="00D924A1" w:rsidRDefault="004A5543" w:rsidP="004A5543">
            <w:pPr>
              <w:pStyle w:val="Bodytext20"/>
              <w:shd w:val="clear" w:color="auto" w:fill="auto"/>
              <w:tabs>
                <w:tab w:val="left" w:pos="542"/>
              </w:tabs>
              <w:spacing w:before="0" w:after="60" w:line="240" w:lineRule="auto"/>
              <w:ind w:left="23" w:right="45"/>
              <w:jc w:val="left"/>
              <w:rPr>
                <w:rStyle w:val="Bodytext212pt"/>
                <w:rFonts w:ascii="Sylfaen" w:hAnsi="Sylfaen"/>
                <w:sz w:val="20"/>
                <w:szCs w:val="20"/>
              </w:rPr>
            </w:pPr>
            <w:r w:rsidRPr="00D924A1">
              <w:rPr>
                <w:rStyle w:val="Bodytext212pt"/>
                <w:rFonts w:ascii="Sylfaen" w:hAnsi="Sylfaen"/>
                <w:sz w:val="20"/>
                <w:szCs w:val="20"/>
              </w:rPr>
              <w:t>22.</w:t>
            </w:r>
            <w:r w:rsidRPr="00D924A1">
              <w:rPr>
                <w:rStyle w:val="Bodytext212pt"/>
                <w:rFonts w:ascii="Sylfaen" w:hAnsi="Sylfaen"/>
                <w:sz w:val="20"/>
                <w:szCs w:val="20"/>
              </w:rPr>
              <w:tab/>
            </w:r>
            <w:r w:rsidR="009326AA" w:rsidRPr="00D924A1">
              <w:rPr>
                <w:rStyle w:val="Bodytext212pt"/>
                <w:rFonts w:ascii="Sylfaen" w:hAnsi="Sylfaen"/>
                <w:sz w:val="20"/>
                <w:szCs w:val="20"/>
              </w:rPr>
              <w:t>12.6 հոդված</w:t>
            </w:r>
          </w:p>
        </w:tc>
        <w:tc>
          <w:tcPr>
            <w:tcW w:w="3184" w:type="dxa"/>
            <w:shd w:val="clear" w:color="auto" w:fill="FFFFFF"/>
          </w:tcPr>
          <w:p w:rsidR="009326AA" w:rsidRPr="00D924A1" w:rsidRDefault="009326AA" w:rsidP="004A5543">
            <w:pPr>
              <w:pStyle w:val="Bodytext20"/>
              <w:shd w:val="clear" w:color="auto" w:fill="auto"/>
              <w:spacing w:before="0" w:after="60" w:line="240" w:lineRule="auto"/>
              <w:ind w:left="23" w:right="45"/>
              <w:jc w:val="left"/>
              <w:rPr>
                <w:rStyle w:val="Bodytext212pt"/>
                <w:rFonts w:ascii="Sylfaen" w:hAnsi="Sylfaen"/>
                <w:sz w:val="20"/>
                <w:szCs w:val="20"/>
              </w:rPr>
            </w:pPr>
            <w:r w:rsidRPr="00D924A1">
              <w:rPr>
                <w:rStyle w:val="Bodytext212pt"/>
                <w:rFonts w:ascii="Sylfaen" w:hAnsi="Sylfaen"/>
                <w:sz w:val="20"/>
                <w:szCs w:val="20"/>
              </w:rPr>
              <w:t>անհապաղ</w:t>
            </w:r>
          </w:p>
        </w:tc>
        <w:tc>
          <w:tcPr>
            <w:tcW w:w="5811" w:type="dxa"/>
            <w:shd w:val="clear" w:color="auto" w:fill="FFFFFF"/>
          </w:tcPr>
          <w:p w:rsidR="009326AA" w:rsidRPr="00D924A1" w:rsidRDefault="009326AA" w:rsidP="004A5543">
            <w:pPr>
              <w:pStyle w:val="Bodytext20"/>
              <w:shd w:val="clear" w:color="auto" w:fill="auto"/>
              <w:spacing w:before="0" w:after="60" w:line="240" w:lineRule="auto"/>
              <w:ind w:left="23" w:right="45"/>
              <w:jc w:val="left"/>
              <w:rPr>
                <w:rStyle w:val="Bodytext212pt"/>
                <w:rFonts w:ascii="Sylfaen" w:hAnsi="Sylfaen"/>
                <w:sz w:val="20"/>
                <w:szCs w:val="20"/>
              </w:rPr>
            </w:pPr>
            <w:r w:rsidRPr="00D924A1">
              <w:rPr>
                <w:rStyle w:val="Bodytext212pt"/>
                <w:rFonts w:ascii="Sylfaen" w:hAnsi="Sylfaen"/>
                <w:sz w:val="20"/>
                <w:szCs w:val="20"/>
              </w:rPr>
              <w:t>հատուկ պաշտպանական միջոցների կիրառման առնչությամբ օրենսդրության մեջ կատարված ցանկացած փոփոխության մասին</w:t>
            </w:r>
          </w:p>
        </w:tc>
        <w:tc>
          <w:tcPr>
            <w:tcW w:w="3865" w:type="dxa"/>
            <w:shd w:val="clear" w:color="auto" w:fill="FFFFFF"/>
          </w:tcPr>
          <w:p w:rsidR="009326AA" w:rsidRPr="00D924A1" w:rsidRDefault="009326AA" w:rsidP="004A5543">
            <w:pPr>
              <w:pStyle w:val="Bodytext20"/>
              <w:shd w:val="clear" w:color="auto" w:fill="auto"/>
              <w:spacing w:before="0" w:after="60" w:line="240" w:lineRule="auto"/>
              <w:ind w:left="23" w:right="45"/>
              <w:jc w:val="left"/>
              <w:rPr>
                <w:rStyle w:val="Bodytext212pt"/>
                <w:rFonts w:ascii="Sylfaen" w:hAnsi="Sylfaen"/>
                <w:sz w:val="20"/>
                <w:szCs w:val="20"/>
              </w:rPr>
            </w:pPr>
            <w:r w:rsidRPr="00D924A1">
              <w:rPr>
                <w:rStyle w:val="Bodytext212pt"/>
                <w:rFonts w:ascii="Sylfaen" w:hAnsi="Sylfaen"/>
                <w:sz w:val="20"/>
                <w:szCs w:val="20"/>
              </w:rPr>
              <w:t>Միության մարմնի ակտը կամ Միության շրջանակներում կնքվող միջազգային պայմանագիրն ուժի մեջ մտնելու ժամկետով կամ դրանց ծավալով պայմանավորված</w:t>
            </w:r>
          </w:p>
        </w:tc>
      </w:tr>
      <w:tr w:rsidR="001502CF" w:rsidRPr="00D924A1" w:rsidTr="00AF7109">
        <w:trPr>
          <w:jc w:val="center"/>
        </w:trPr>
        <w:tc>
          <w:tcPr>
            <w:tcW w:w="15272" w:type="dxa"/>
            <w:gridSpan w:val="4"/>
            <w:shd w:val="clear" w:color="auto" w:fill="FFFFFF"/>
            <w:vAlign w:val="center"/>
          </w:tcPr>
          <w:p w:rsidR="009326AA" w:rsidRPr="00D924A1" w:rsidRDefault="009326AA" w:rsidP="004A5543">
            <w:pPr>
              <w:pStyle w:val="Bodytext20"/>
              <w:shd w:val="clear" w:color="auto" w:fill="auto"/>
              <w:spacing w:before="0" w:after="60" w:line="240" w:lineRule="auto"/>
              <w:jc w:val="center"/>
              <w:rPr>
                <w:rStyle w:val="Bodytext212pt"/>
                <w:rFonts w:ascii="Sylfaen" w:hAnsi="Sylfaen"/>
                <w:sz w:val="20"/>
                <w:szCs w:val="20"/>
              </w:rPr>
            </w:pPr>
            <w:r w:rsidRPr="00D924A1">
              <w:rPr>
                <w:rStyle w:val="Bodytext212pt"/>
                <w:rFonts w:ascii="Sylfaen" w:hAnsi="Sylfaen"/>
                <w:sz w:val="20"/>
                <w:szCs w:val="20"/>
              </w:rPr>
              <w:t>IX. «Ներմուծման լիցենզավորման ընթացակարգերի մասին» համաձայնագիր</w:t>
            </w:r>
          </w:p>
        </w:tc>
      </w:tr>
      <w:tr w:rsidR="001502CF" w:rsidRPr="00D924A1" w:rsidTr="004A5543">
        <w:trPr>
          <w:jc w:val="center"/>
        </w:trPr>
        <w:tc>
          <w:tcPr>
            <w:tcW w:w="2412" w:type="dxa"/>
            <w:shd w:val="clear" w:color="auto" w:fill="FFFFFF"/>
          </w:tcPr>
          <w:p w:rsidR="009326AA" w:rsidRPr="00D924A1" w:rsidRDefault="004A5543" w:rsidP="004A5543">
            <w:pPr>
              <w:pStyle w:val="Bodytext20"/>
              <w:shd w:val="clear" w:color="auto" w:fill="auto"/>
              <w:tabs>
                <w:tab w:val="left" w:pos="558"/>
              </w:tabs>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23.</w:t>
            </w:r>
            <w:r w:rsidRPr="00D924A1">
              <w:rPr>
                <w:rStyle w:val="Bodytext212pt"/>
                <w:rFonts w:ascii="Sylfaen" w:hAnsi="Sylfaen"/>
                <w:sz w:val="20"/>
                <w:szCs w:val="20"/>
                <w:lang w:val="en-US"/>
              </w:rPr>
              <w:tab/>
            </w:r>
            <w:r w:rsidR="009326AA" w:rsidRPr="00D924A1">
              <w:rPr>
                <w:rStyle w:val="Bodytext212pt"/>
                <w:rFonts w:ascii="Sylfaen" w:hAnsi="Sylfaen"/>
                <w:sz w:val="20"/>
                <w:szCs w:val="20"/>
              </w:rPr>
              <w:t>1.4 (</w:t>
            </w:r>
            <w:r w:rsidR="00382618" w:rsidRPr="00D924A1">
              <w:rPr>
                <w:rStyle w:val="Bodytext212pt"/>
                <w:rFonts w:ascii="Sylfaen" w:hAnsi="Sylfaen"/>
                <w:sz w:val="20"/>
                <w:szCs w:val="20"/>
                <w:lang w:val="en-US"/>
              </w:rPr>
              <w:t>a</w:t>
            </w:r>
            <w:r w:rsidR="009326AA" w:rsidRPr="00D924A1">
              <w:rPr>
                <w:rStyle w:val="Bodytext212pt"/>
                <w:rFonts w:ascii="Sylfaen" w:hAnsi="Sylfaen"/>
                <w:sz w:val="20"/>
                <w:szCs w:val="20"/>
              </w:rPr>
              <w:t xml:space="preserve">) </w:t>
            </w:r>
            <w:r w:rsidR="001502CF" w:rsidRPr="00D924A1">
              <w:rPr>
                <w:rStyle w:val="Bodytext212pt"/>
                <w:rFonts w:ascii="Sylfaen" w:hAnsi="Sylfaen"/>
                <w:sz w:val="20"/>
                <w:szCs w:val="20"/>
              </w:rPr>
              <w:t>եւ</w:t>
            </w:r>
            <w:r w:rsidR="009326AA" w:rsidRPr="00D924A1">
              <w:rPr>
                <w:rStyle w:val="Bodytext212pt"/>
                <w:rFonts w:ascii="Sylfaen" w:hAnsi="Sylfaen"/>
                <w:sz w:val="20"/>
                <w:szCs w:val="20"/>
              </w:rPr>
              <w:t xml:space="preserve"> 8.2 (</w:t>
            </w:r>
            <w:r w:rsidR="00382618" w:rsidRPr="00D924A1">
              <w:rPr>
                <w:rStyle w:val="Bodytext212pt"/>
                <w:rFonts w:ascii="Sylfaen" w:hAnsi="Sylfaen"/>
                <w:sz w:val="20"/>
                <w:szCs w:val="20"/>
                <w:lang w:val="en-US"/>
              </w:rPr>
              <w:t>b</w:t>
            </w:r>
            <w:r w:rsidR="009326AA" w:rsidRPr="00D924A1">
              <w:rPr>
                <w:rStyle w:val="Bodytext212pt"/>
                <w:rFonts w:ascii="Sylfaen" w:hAnsi="Sylfaen"/>
                <w:sz w:val="20"/>
                <w:szCs w:val="20"/>
              </w:rPr>
              <w:t>) հոդվածներ</w:t>
            </w:r>
          </w:p>
        </w:tc>
        <w:tc>
          <w:tcPr>
            <w:tcW w:w="3184" w:type="dxa"/>
            <w:shd w:val="clear" w:color="auto" w:fill="FFFFFF"/>
          </w:tcPr>
          <w:p w:rsidR="009326AA" w:rsidRPr="00D924A1" w:rsidRDefault="009326AA" w:rsidP="004A5543">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պաշտոնական հրապարակման օրվանից 60 օրվա ընթացքում</w:t>
            </w:r>
          </w:p>
        </w:tc>
        <w:tc>
          <w:tcPr>
            <w:tcW w:w="5811" w:type="dxa"/>
            <w:shd w:val="clear" w:color="auto" w:fill="FFFFFF"/>
          </w:tcPr>
          <w:p w:rsidR="009326AA" w:rsidRPr="00D924A1" w:rsidRDefault="009326AA" w:rsidP="004A5543">
            <w:pPr>
              <w:pStyle w:val="Bodytext20"/>
              <w:shd w:val="clear" w:color="auto" w:fill="auto"/>
              <w:spacing w:before="0" w:after="60" w:line="240" w:lineRule="auto"/>
              <w:ind w:left="22" w:right="46"/>
              <w:jc w:val="left"/>
              <w:rPr>
                <w:rStyle w:val="Bodytext212pt"/>
                <w:rFonts w:ascii="Sylfaen" w:hAnsi="Sylfaen"/>
                <w:sz w:val="20"/>
                <w:szCs w:val="20"/>
              </w:rPr>
            </w:pPr>
            <w:r w:rsidRPr="00D924A1">
              <w:rPr>
                <w:rStyle w:val="Bodytext212pt"/>
                <w:rFonts w:ascii="Sylfaen" w:hAnsi="Sylfaen"/>
                <w:sz w:val="20"/>
                <w:szCs w:val="20"/>
              </w:rPr>
              <w:t xml:space="preserve">օրենսդրության մեջ կատարված փոփոխությունների </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«Ներմուծման լիցենզավորման ընթացակարգերի մասին» համաձայնագրի իմաստով ներմուծման լիցենզավորումը կարգավորելու մասին </w:t>
            </w:r>
            <w:r w:rsidR="00E74398" w:rsidRPr="00D924A1">
              <w:rPr>
                <w:rStyle w:val="Bodytext212pt"/>
                <w:rFonts w:ascii="Sylfaen" w:hAnsi="Sylfaen"/>
                <w:sz w:val="20"/>
                <w:szCs w:val="20"/>
                <w:vertAlign w:val="superscript"/>
              </w:rPr>
              <w:sym w:font="Symbol" w:char="F02A"/>
            </w:r>
          </w:p>
        </w:tc>
        <w:tc>
          <w:tcPr>
            <w:tcW w:w="3865" w:type="dxa"/>
            <w:shd w:val="clear" w:color="auto" w:fill="FFFFFF"/>
          </w:tcPr>
          <w:p w:rsidR="009326AA" w:rsidRPr="00D924A1" w:rsidRDefault="009326AA" w:rsidP="004A5543">
            <w:pPr>
              <w:pStyle w:val="Bodytext20"/>
              <w:shd w:val="clear" w:color="auto" w:fill="auto"/>
              <w:spacing w:before="0" w:after="6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պաշտոնական հրապարակման օրվանից 10 օրացուցային օրվա ընթացքում</w:t>
            </w:r>
          </w:p>
        </w:tc>
      </w:tr>
      <w:tr w:rsidR="001502CF" w:rsidRPr="00D924A1" w:rsidTr="004A5543">
        <w:trPr>
          <w:jc w:val="center"/>
        </w:trPr>
        <w:tc>
          <w:tcPr>
            <w:tcW w:w="2412" w:type="dxa"/>
            <w:shd w:val="clear" w:color="auto" w:fill="FFFFFF"/>
          </w:tcPr>
          <w:p w:rsidR="009326AA" w:rsidRPr="00D924A1" w:rsidRDefault="004A5543" w:rsidP="004A5543">
            <w:pPr>
              <w:pStyle w:val="Bodytext20"/>
              <w:shd w:val="clear" w:color="auto" w:fill="auto"/>
              <w:tabs>
                <w:tab w:val="left" w:pos="558"/>
              </w:tabs>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24.</w:t>
            </w:r>
            <w:r w:rsidRPr="00D924A1">
              <w:rPr>
                <w:rStyle w:val="Bodytext212pt"/>
                <w:rFonts w:ascii="Sylfaen" w:hAnsi="Sylfaen"/>
                <w:sz w:val="20"/>
                <w:szCs w:val="20"/>
                <w:lang w:val="en-US"/>
              </w:rPr>
              <w:tab/>
            </w:r>
            <w:r w:rsidR="009326AA" w:rsidRPr="00D924A1">
              <w:rPr>
                <w:rStyle w:val="Bodytext212pt"/>
                <w:rFonts w:ascii="Sylfaen" w:hAnsi="Sylfaen"/>
                <w:sz w:val="20"/>
                <w:szCs w:val="20"/>
              </w:rPr>
              <w:t>5.1 - 5.4 հոդվածներ</w:t>
            </w:r>
          </w:p>
        </w:tc>
        <w:tc>
          <w:tcPr>
            <w:tcW w:w="3184" w:type="dxa"/>
            <w:shd w:val="clear" w:color="auto" w:fill="FFFFFF"/>
          </w:tcPr>
          <w:p w:rsidR="009326AA" w:rsidRPr="00D924A1" w:rsidRDefault="009326AA" w:rsidP="004A5543">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պաշտոնական հրապարակման օրվանից 60 օրվա ընթացքում</w:t>
            </w:r>
          </w:p>
        </w:tc>
        <w:tc>
          <w:tcPr>
            <w:tcW w:w="5811" w:type="dxa"/>
            <w:shd w:val="clear" w:color="auto" w:fill="FFFFFF"/>
          </w:tcPr>
          <w:p w:rsidR="009326AA" w:rsidRPr="00D924A1" w:rsidRDefault="009326AA" w:rsidP="004A5543">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 xml:space="preserve">ներմուծման լիցենզավորման ոլորտում նորմատիվ իրավական ակտերի մասին (ինչպես ազգային, այնպես էլ </w:t>
            </w:r>
            <w:r w:rsidRPr="00D924A1">
              <w:rPr>
                <w:rStyle w:val="Bodytext212pt"/>
                <w:rFonts w:ascii="Sylfaen" w:hAnsi="Sylfaen"/>
                <w:sz w:val="20"/>
                <w:szCs w:val="20"/>
              </w:rPr>
              <w:lastRenderedPageBreak/>
              <w:t>վերազգային մակարդակով), որոնցով սահմանվում են ներմուծման լիցենզավորման նոր ընթացակարգեր կամ դրանցում կատարվում են փոփոխություններ*</w:t>
            </w:r>
          </w:p>
        </w:tc>
        <w:tc>
          <w:tcPr>
            <w:tcW w:w="3865" w:type="dxa"/>
            <w:shd w:val="clear" w:color="auto" w:fill="FFFFFF"/>
          </w:tcPr>
          <w:p w:rsidR="009326AA" w:rsidRPr="00D924A1" w:rsidRDefault="009326AA"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lastRenderedPageBreak/>
              <w:t>պաշտոնական հրապարակման օրվանից 40 օրվա ընթացքում</w:t>
            </w:r>
          </w:p>
        </w:tc>
      </w:tr>
      <w:tr w:rsidR="001502CF" w:rsidRPr="00D924A1" w:rsidTr="0061617B">
        <w:trPr>
          <w:jc w:val="center"/>
        </w:trPr>
        <w:tc>
          <w:tcPr>
            <w:tcW w:w="2412" w:type="dxa"/>
            <w:shd w:val="clear" w:color="auto" w:fill="FFFFFF"/>
          </w:tcPr>
          <w:p w:rsidR="009326AA" w:rsidRPr="00D924A1" w:rsidRDefault="004A5543" w:rsidP="004A5543">
            <w:pPr>
              <w:pStyle w:val="Bodytext20"/>
              <w:shd w:val="clear" w:color="auto" w:fill="auto"/>
              <w:tabs>
                <w:tab w:val="left" w:pos="542"/>
              </w:tabs>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lastRenderedPageBreak/>
              <w:t>25.</w:t>
            </w:r>
            <w:r w:rsidRPr="00D924A1">
              <w:rPr>
                <w:rStyle w:val="Bodytext212pt"/>
                <w:rFonts w:ascii="Sylfaen" w:hAnsi="Sylfaen"/>
                <w:sz w:val="20"/>
                <w:szCs w:val="20"/>
              </w:rPr>
              <w:tab/>
            </w:r>
            <w:r w:rsidR="009326AA" w:rsidRPr="00D924A1">
              <w:rPr>
                <w:rStyle w:val="Bodytext212pt"/>
                <w:rFonts w:ascii="Sylfaen" w:hAnsi="Sylfaen"/>
                <w:sz w:val="20"/>
                <w:szCs w:val="20"/>
              </w:rPr>
              <w:t xml:space="preserve">7.3 հոդված </w:t>
            </w:r>
          </w:p>
        </w:tc>
        <w:tc>
          <w:tcPr>
            <w:tcW w:w="3184" w:type="dxa"/>
            <w:shd w:val="clear" w:color="auto" w:fill="FFFFFF"/>
          </w:tcPr>
          <w:p w:rsidR="009326AA" w:rsidRPr="00D924A1" w:rsidRDefault="009326AA" w:rsidP="004A5543">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տարեկան՝ մինչ</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սեպտեմբերի</w:t>
            </w:r>
            <w:r w:rsidR="004A5543" w:rsidRPr="00D924A1">
              <w:rPr>
                <w:rStyle w:val="Bodytext212pt"/>
                <w:rFonts w:ascii="Sylfaen" w:hAnsi="Sylfaen"/>
                <w:sz w:val="20"/>
                <w:szCs w:val="20"/>
                <w:lang w:val="en-US"/>
              </w:rPr>
              <w:t> </w:t>
            </w:r>
            <w:r w:rsidRPr="00D924A1">
              <w:rPr>
                <w:rStyle w:val="Bodytext212pt"/>
                <w:rFonts w:ascii="Sylfaen" w:hAnsi="Sylfaen"/>
                <w:sz w:val="20"/>
                <w:szCs w:val="20"/>
              </w:rPr>
              <w:t>30-ը</w:t>
            </w:r>
          </w:p>
        </w:tc>
        <w:tc>
          <w:tcPr>
            <w:tcW w:w="5811" w:type="dxa"/>
            <w:shd w:val="clear" w:color="auto" w:fill="FFFFFF"/>
            <w:vAlign w:val="center"/>
          </w:tcPr>
          <w:p w:rsidR="009326AA" w:rsidRPr="00D924A1" w:rsidRDefault="009326AA"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ներմուծման լիցենզավորման ընթացակարգերի մասին լրացված տարեկան հարցաշարը, որում նա</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մանրամասն նկարագրվում է ներմուծման լիցենզավորման ընթացակարգը. ընթացակարգով ձ</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ակերպվող ապրանքների ԱՏԳ ԱԱ ծածկագրերը, դիմում ներկայացնելու համար անհրաժեշտ փաստաթղթերի ցանկը </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այլն*</w:t>
            </w:r>
          </w:p>
        </w:tc>
        <w:tc>
          <w:tcPr>
            <w:tcW w:w="3865" w:type="dxa"/>
            <w:shd w:val="clear" w:color="auto" w:fill="FFFFFF"/>
          </w:tcPr>
          <w:p w:rsidR="009326AA" w:rsidRPr="00D924A1" w:rsidRDefault="009326AA"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տարեկան՝ մինչ</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սեպտեմբերի 1-ը</w:t>
            </w:r>
          </w:p>
        </w:tc>
      </w:tr>
      <w:tr w:rsidR="001502CF" w:rsidRPr="00D924A1" w:rsidTr="004A5543">
        <w:trPr>
          <w:trHeight w:val="535"/>
          <w:jc w:val="center"/>
        </w:trPr>
        <w:tc>
          <w:tcPr>
            <w:tcW w:w="15272" w:type="dxa"/>
            <w:gridSpan w:val="4"/>
            <w:shd w:val="clear" w:color="auto" w:fill="FFFFFF"/>
            <w:vAlign w:val="center"/>
          </w:tcPr>
          <w:p w:rsidR="003878E4" w:rsidRPr="00D924A1" w:rsidRDefault="003878E4" w:rsidP="001502CF">
            <w:pPr>
              <w:pStyle w:val="Bodytext20"/>
              <w:shd w:val="clear" w:color="auto" w:fill="auto"/>
              <w:spacing w:before="0" w:after="120" w:line="240" w:lineRule="auto"/>
              <w:jc w:val="center"/>
              <w:rPr>
                <w:rStyle w:val="Bodytext212pt"/>
                <w:rFonts w:ascii="Sylfaen" w:hAnsi="Sylfaen"/>
                <w:sz w:val="20"/>
                <w:szCs w:val="20"/>
              </w:rPr>
            </w:pPr>
            <w:r w:rsidRPr="00D924A1">
              <w:rPr>
                <w:rStyle w:val="Bodytext212pt"/>
                <w:rFonts w:ascii="Sylfaen" w:hAnsi="Sylfaen"/>
                <w:sz w:val="20"/>
                <w:szCs w:val="20"/>
              </w:rPr>
              <w:t>X. Շուկայի հասանելիություն</w:t>
            </w:r>
          </w:p>
        </w:tc>
      </w:tr>
      <w:tr w:rsidR="001502CF" w:rsidRPr="00D924A1" w:rsidTr="004E0F9B">
        <w:trPr>
          <w:trHeight w:val="2695"/>
          <w:jc w:val="center"/>
        </w:trPr>
        <w:tc>
          <w:tcPr>
            <w:tcW w:w="2412" w:type="dxa"/>
            <w:shd w:val="clear" w:color="auto" w:fill="FFFFFF"/>
          </w:tcPr>
          <w:p w:rsidR="009326AA" w:rsidRPr="00D924A1" w:rsidRDefault="004A5543" w:rsidP="004A5543">
            <w:pPr>
              <w:pStyle w:val="Bodytext20"/>
              <w:shd w:val="clear" w:color="auto" w:fill="auto"/>
              <w:tabs>
                <w:tab w:val="left" w:pos="483"/>
              </w:tabs>
              <w:spacing w:before="0" w:after="120" w:line="240" w:lineRule="auto"/>
              <w:ind w:left="22" w:right="207"/>
              <w:jc w:val="left"/>
              <w:rPr>
                <w:rStyle w:val="Bodytext212pt"/>
                <w:rFonts w:ascii="Sylfaen" w:hAnsi="Sylfaen"/>
                <w:sz w:val="20"/>
                <w:szCs w:val="20"/>
              </w:rPr>
            </w:pPr>
            <w:r w:rsidRPr="00D924A1">
              <w:rPr>
                <w:rStyle w:val="Bodytext212pt"/>
                <w:rFonts w:ascii="Sylfaen" w:hAnsi="Sylfaen"/>
                <w:sz w:val="20"/>
                <w:szCs w:val="20"/>
              </w:rPr>
              <w:t>26.</w:t>
            </w:r>
            <w:r w:rsidRPr="00D924A1">
              <w:rPr>
                <w:rStyle w:val="Bodytext212pt"/>
                <w:rFonts w:ascii="Sylfaen" w:hAnsi="Sylfaen"/>
                <w:sz w:val="20"/>
                <w:szCs w:val="20"/>
              </w:rPr>
              <w:tab/>
            </w:r>
            <w:r w:rsidR="009326AA" w:rsidRPr="00D924A1">
              <w:rPr>
                <w:rStyle w:val="Bodytext212pt"/>
                <w:rFonts w:ascii="Sylfaen" w:hAnsi="Sylfaen"/>
                <w:sz w:val="20"/>
                <w:szCs w:val="20"/>
              </w:rPr>
              <w:t>Ապրանքների առ</w:t>
            </w:r>
            <w:r w:rsidR="001502CF" w:rsidRPr="00D924A1">
              <w:rPr>
                <w:rStyle w:val="Bodytext212pt"/>
                <w:rFonts w:ascii="Sylfaen" w:hAnsi="Sylfaen"/>
                <w:sz w:val="20"/>
                <w:szCs w:val="20"/>
              </w:rPr>
              <w:t>եւ</w:t>
            </w:r>
            <w:r w:rsidR="009326AA" w:rsidRPr="00D924A1">
              <w:rPr>
                <w:rStyle w:val="Bodytext212pt"/>
                <w:rFonts w:ascii="Sylfaen" w:hAnsi="Sylfaen"/>
                <w:sz w:val="20"/>
                <w:szCs w:val="20"/>
              </w:rPr>
              <w:t>տրի հարցերով գլխավոր խորհրդի 2012</w:t>
            </w:r>
            <w:r w:rsidRPr="00D924A1">
              <w:rPr>
                <w:rStyle w:val="Bodytext212pt"/>
                <w:rFonts w:ascii="Sylfaen" w:hAnsi="Sylfaen"/>
                <w:sz w:val="20"/>
                <w:szCs w:val="20"/>
              </w:rPr>
              <w:t> </w:t>
            </w:r>
            <w:r w:rsidR="009326AA" w:rsidRPr="00D924A1">
              <w:rPr>
                <w:rStyle w:val="Bodytext212pt"/>
                <w:rFonts w:ascii="Sylfaen" w:hAnsi="Sylfaen"/>
                <w:sz w:val="20"/>
                <w:szCs w:val="20"/>
              </w:rPr>
              <w:t>թվականի հուլիսի</w:t>
            </w:r>
            <w:r w:rsidRPr="00D924A1">
              <w:rPr>
                <w:rStyle w:val="Bodytext212pt"/>
                <w:rFonts w:ascii="Sylfaen" w:hAnsi="Sylfaen"/>
                <w:sz w:val="20"/>
                <w:szCs w:val="20"/>
              </w:rPr>
              <w:t> </w:t>
            </w:r>
            <w:r w:rsidR="009326AA" w:rsidRPr="00D924A1">
              <w:rPr>
                <w:rStyle w:val="Bodytext212pt"/>
                <w:rFonts w:ascii="Sylfaen" w:hAnsi="Sylfaen"/>
                <w:sz w:val="20"/>
                <w:szCs w:val="20"/>
              </w:rPr>
              <w:t>3-ի G/L/59/Rev.1 որոշում (քանակական սահմանափակումներ)</w:t>
            </w:r>
          </w:p>
        </w:tc>
        <w:tc>
          <w:tcPr>
            <w:tcW w:w="3185" w:type="dxa"/>
            <w:shd w:val="clear" w:color="auto" w:fill="FFFFFF"/>
            <w:vAlign w:val="bottom"/>
          </w:tcPr>
          <w:p w:rsidR="009326AA" w:rsidRPr="00D924A1" w:rsidRDefault="009326AA"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մինչ</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2018 թվականի սեպտեմբերի 30-ը, հետագայում՝ 2 տարին 1 անգամ։ Ավելի վաղ ներկայացված ծանուցման շրջանակներում օրենսդրության մեջ կատարված ցանկացած փոփոխություն ներկայացվում է այդ փոփոխությունն ընդունելու օրվանից 6 ամսից ոչ ուշ</w:t>
            </w:r>
          </w:p>
        </w:tc>
        <w:tc>
          <w:tcPr>
            <w:tcW w:w="5810" w:type="dxa"/>
            <w:shd w:val="clear" w:color="auto" w:fill="FFFFFF"/>
          </w:tcPr>
          <w:p w:rsidR="009326AA" w:rsidRPr="00D924A1" w:rsidRDefault="009326AA"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 xml:space="preserve">կիրառվող քանակական սահմանափակումների </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արգելքների մասին*</w:t>
            </w:r>
          </w:p>
        </w:tc>
        <w:tc>
          <w:tcPr>
            <w:tcW w:w="3865" w:type="dxa"/>
            <w:shd w:val="clear" w:color="auto" w:fill="FFFFFF"/>
          </w:tcPr>
          <w:p w:rsidR="009326AA" w:rsidRPr="00D924A1" w:rsidRDefault="006172B1"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մինչ</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2018 թվականի </w:t>
            </w:r>
            <w:r w:rsidR="00251A27" w:rsidRPr="00D924A1">
              <w:rPr>
                <w:rStyle w:val="Bodytext212pt"/>
                <w:rFonts w:ascii="Sylfaen" w:hAnsi="Sylfaen"/>
                <w:sz w:val="20"/>
                <w:szCs w:val="20"/>
              </w:rPr>
              <w:t>օ</w:t>
            </w:r>
            <w:r w:rsidRPr="00D924A1">
              <w:rPr>
                <w:rStyle w:val="Bodytext212pt"/>
                <w:rFonts w:ascii="Sylfaen" w:hAnsi="Sylfaen"/>
                <w:sz w:val="20"/>
                <w:szCs w:val="20"/>
              </w:rPr>
              <w:t>գոստոսի15-ը, հետագայում՝ 2 տարին 1 անգամ</w:t>
            </w:r>
          </w:p>
        </w:tc>
      </w:tr>
      <w:tr w:rsidR="001502CF" w:rsidRPr="00D924A1" w:rsidTr="00A4708C">
        <w:trPr>
          <w:trHeight w:val="2267"/>
          <w:jc w:val="center"/>
        </w:trPr>
        <w:tc>
          <w:tcPr>
            <w:tcW w:w="2412" w:type="dxa"/>
            <w:shd w:val="clear" w:color="auto" w:fill="FFFFFF"/>
          </w:tcPr>
          <w:p w:rsidR="009326AA" w:rsidRPr="00D924A1" w:rsidRDefault="004A5543" w:rsidP="004A5543">
            <w:pPr>
              <w:pStyle w:val="Bodytext20"/>
              <w:shd w:val="clear" w:color="auto" w:fill="auto"/>
              <w:tabs>
                <w:tab w:val="left" w:pos="525"/>
              </w:tabs>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lastRenderedPageBreak/>
              <w:t>27.</w:t>
            </w:r>
            <w:r w:rsidRPr="00D924A1">
              <w:rPr>
                <w:rStyle w:val="Bodytext212pt"/>
                <w:rFonts w:ascii="Sylfaen" w:hAnsi="Sylfaen"/>
                <w:sz w:val="20"/>
                <w:szCs w:val="20"/>
              </w:rPr>
              <w:tab/>
            </w:r>
            <w:r w:rsidR="009326AA" w:rsidRPr="00D924A1">
              <w:rPr>
                <w:rStyle w:val="Bodytext212pt"/>
                <w:rFonts w:ascii="Sylfaen" w:hAnsi="Sylfaen"/>
                <w:sz w:val="20"/>
                <w:szCs w:val="20"/>
              </w:rPr>
              <w:t>ԱՀԿ-ի գլխավոր խորհրդի 1997 թվականի հուլիսի 16-ի WT/L/225 որոշում (ԱՀԿ-ի ինտեգրացված տվյալների բազա)</w:t>
            </w:r>
          </w:p>
        </w:tc>
        <w:tc>
          <w:tcPr>
            <w:tcW w:w="3185" w:type="dxa"/>
            <w:shd w:val="clear" w:color="auto" w:fill="FFFFFF"/>
          </w:tcPr>
          <w:p w:rsidR="009326AA" w:rsidRPr="00D924A1" w:rsidRDefault="009326AA"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տարեկան՝ մինչ</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այն տարվա մարտի 30-ը, որի ընթացքում կիրառվում են ներմուծման սակագները</w:t>
            </w:r>
          </w:p>
        </w:tc>
        <w:tc>
          <w:tcPr>
            <w:tcW w:w="5810" w:type="dxa"/>
            <w:shd w:val="clear" w:color="auto" w:fill="FFFFFF"/>
          </w:tcPr>
          <w:p w:rsidR="009326AA" w:rsidRPr="00D924A1" w:rsidRDefault="009326AA" w:rsidP="00A4708C">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 xml:space="preserve">յուրաքանչյուր սակագնային գծին համապատասխան ներմուծման սակագների վերաբերյալ մանրամասն տվյալների մասին (առավել բարենպաստության ռեժիմի կիրառվող սակագները, հաշվետու տարվա ընթացքում սակագների ընթացիկ կապակցված մակարդակները </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հնարավորության դեպքում</w:t>
            </w:r>
            <w:r w:rsidR="00FB4503" w:rsidRPr="00D924A1">
              <w:rPr>
                <w:rStyle w:val="Bodytext212pt"/>
                <w:rFonts w:ascii="Sylfaen" w:hAnsi="Sylfaen"/>
                <w:sz w:val="20"/>
                <w:szCs w:val="20"/>
              </w:rPr>
              <w:t>՝</w:t>
            </w:r>
            <w:r w:rsidRPr="00D924A1">
              <w:rPr>
                <w:rStyle w:val="Bodytext212pt"/>
                <w:rFonts w:ascii="Sylfaen" w:hAnsi="Sylfaen"/>
                <w:sz w:val="20"/>
                <w:szCs w:val="20"/>
              </w:rPr>
              <w:t xml:space="preserve"> ազգային համահարաբերակցական աղյուսակներ</w:t>
            </w:r>
            <w:r w:rsidR="002C567E" w:rsidRPr="00D924A1">
              <w:rPr>
                <w:rStyle w:val="Bodytext212pt"/>
                <w:rFonts w:ascii="Sylfaen" w:hAnsi="Sylfaen"/>
                <w:sz w:val="20"/>
                <w:szCs w:val="20"/>
              </w:rPr>
              <w:t>ն ու</w:t>
            </w:r>
            <w:r w:rsidRPr="00D924A1">
              <w:rPr>
                <w:rStyle w:val="Bodytext212pt"/>
                <w:rFonts w:ascii="Sylfaen" w:hAnsi="Sylfaen"/>
                <w:sz w:val="20"/>
                <w:szCs w:val="20"/>
              </w:rPr>
              <w:t xml:space="preserve"> </w:t>
            </w:r>
            <w:r w:rsidR="00A45316" w:rsidRPr="00D924A1">
              <w:rPr>
                <w:rStyle w:val="Bodytext212pt"/>
                <w:rFonts w:ascii="Sylfaen" w:hAnsi="Sylfaen"/>
                <w:sz w:val="20"/>
                <w:szCs w:val="20"/>
              </w:rPr>
              <w:t>սակագնային առանձնաշնորհումներ</w:t>
            </w:r>
            <w:r w:rsidRPr="00D924A1">
              <w:rPr>
                <w:rStyle w:val="Bodytext212pt"/>
                <w:rFonts w:ascii="Sylfaen" w:hAnsi="Sylfaen"/>
                <w:sz w:val="20"/>
                <w:szCs w:val="20"/>
              </w:rPr>
              <w:t>ը)</w:t>
            </w:r>
            <w:r w:rsidR="00E74398" w:rsidRPr="00D924A1">
              <w:rPr>
                <w:rStyle w:val="Bodytext212pt"/>
                <w:rFonts w:ascii="Sylfaen" w:hAnsi="Sylfaen"/>
                <w:sz w:val="20"/>
                <w:szCs w:val="20"/>
                <w:vertAlign w:val="superscript"/>
              </w:rPr>
              <w:sym w:font="Symbol" w:char="F02A"/>
            </w:r>
            <w:r w:rsidR="00E74398" w:rsidRPr="00D924A1">
              <w:rPr>
                <w:rStyle w:val="FootnoteReference"/>
                <w:rFonts w:ascii="Sylfaen" w:hAnsi="Sylfaen"/>
                <w:sz w:val="20"/>
                <w:szCs w:val="20"/>
              </w:rPr>
              <w:t>,</w:t>
            </w:r>
            <w:r w:rsidR="004E0F9B" w:rsidRPr="00D924A1">
              <w:rPr>
                <w:rStyle w:val="FootnoteReference"/>
                <w:rFonts w:ascii="Sylfaen" w:hAnsi="Sylfaen"/>
                <w:sz w:val="20"/>
                <w:szCs w:val="20"/>
              </w:rPr>
              <w:footnoteReference w:customMarkFollows="1" w:id="2"/>
              <w:sym w:font="Symbol" w:char="F02A"/>
            </w:r>
            <w:r w:rsidR="004E0F9B" w:rsidRPr="00D924A1">
              <w:rPr>
                <w:rStyle w:val="FootnoteReference"/>
                <w:rFonts w:ascii="Sylfaen" w:hAnsi="Sylfaen"/>
                <w:sz w:val="20"/>
                <w:szCs w:val="20"/>
              </w:rPr>
              <w:sym w:font="Symbol" w:char="F02A"/>
            </w:r>
          </w:p>
        </w:tc>
        <w:tc>
          <w:tcPr>
            <w:tcW w:w="3865" w:type="dxa"/>
            <w:shd w:val="clear" w:color="auto" w:fill="FFFFFF"/>
          </w:tcPr>
          <w:p w:rsidR="009326AA" w:rsidRPr="00D924A1" w:rsidRDefault="009326AA"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pacing w:val="-6"/>
                <w:sz w:val="20"/>
                <w:szCs w:val="20"/>
              </w:rPr>
              <w:t>տարեկան՝ մինչ</w:t>
            </w:r>
            <w:r w:rsidR="001502CF" w:rsidRPr="00D924A1">
              <w:rPr>
                <w:rStyle w:val="Bodytext212pt"/>
                <w:rFonts w:ascii="Sylfaen" w:hAnsi="Sylfaen"/>
                <w:spacing w:val="-6"/>
                <w:sz w:val="20"/>
                <w:szCs w:val="20"/>
              </w:rPr>
              <w:t>եւ</w:t>
            </w:r>
            <w:r w:rsidRPr="00D924A1">
              <w:rPr>
                <w:rStyle w:val="Bodytext212pt"/>
                <w:rFonts w:ascii="Sylfaen" w:hAnsi="Sylfaen"/>
                <w:spacing w:val="-6"/>
                <w:sz w:val="20"/>
                <w:szCs w:val="20"/>
              </w:rPr>
              <w:t xml:space="preserve"> այն տարվա մարտի 1-ը, որի</w:t>
            </w:r>
            <w:r w:rsidRPr="00D924A1">
              <w:rPr>
                <w:rStyle w:val="Bodytext212pt"/>
                <w:rFonts w:ascii="Sylfaen" w:hAnsi="Sylfaen"/>
                <w:sz w:val="20"/>
                <w:szCs w:val="20"/>
              </w:rPr>
              <w:t xml:space="preserve"> ընթացքում կիրառվում են ներմուծման սակագները</w:t>
            </w:r>
          </w:p>
        </w:tc>
      </w:tr>
      <w:tr w:rsidR="004A5543" w:rsidRPr="00D924A1" w:rsidTr="004E0F9B">
        <w:trPr>
          <w:trHeight w:val="556"/>
          <w:jc w:val="center"/>
        </w:trPr>
        <w:tc>
          <w:tcPr>
            <w:tcW w:w="15272" w:type="dxa"/>
            <w:gridSpan w:val="4"/>
            <w:shd w:val="clear" w:color="auto" w:fill="FFFFFF"/>
            <w:vAlign w:val="center"/>
          </w:tcPr>
          <w:p w:rsidR="004A5543" w:rsidRPr="00D924A1" w:rsidRDefault="004A5543" w:rsidP="004A5543">
            <w:pPr>
              <w:pStyle w:val="Bodytext20"/>
              <w:shd w:val="clear" w:color="auto" w:fill="auto"/>
              <w:spacing w:before="0" w:after="120" w:line="240" w:lineRule="auto"/>
              <w:ind w:left="22" w:right="46"/>
              <w:jc w:val="center"/>
              <w:rPr>
                <w:rStyle w:val="Bodytext212pt"/>
                <w:rFonts w:ascii="Sylfaen" w:hAnsi="Sylfaen"/>
                <w:sz w:val="20"/>
                <w:szCs w:val="20"/>
              </w:rPr>
            </w:pPr>
            <w:r w:rsidRPr="00D924A1">
              <w:rPr>
                <w:rStyle w:val="Bodytext212pt"/>
                <w:rFonts w:ascii="Sylfaen" w:hAnsi="Sylfaen"/>
                <w:sz w:val="20"/>
                <w:szCs w:val="20"/>
              </w:rPr>
              <w:t>XI. «Առեւտրում տեխնիկական խոչընդոտների մասին» համաձայնագիր</w:t>
            </w:r>
          </w:p>
        </w:tc>
      </w:tr>
      <w:tr w:rsidR="001502CF" w:rsidRPr="00D924A1" w:rsidTr="004E0F9B">
        <w:trPr>
          <w:jc w:val="center"/>
        </w:trPr>
        <w:tc>
          <w:tcPr>
            <w:tcW w:w="2412" w:type="dxa"/>
            <w:shd w:val="clear" w:color="auto" w:fill="FFFFFF"/>
          </w:tcPr>
          <w:p w:rsidR="009326AA" w:rsidRPr="00D924A1" w:rsidRDefault="004A5543" w:rsidP="00714B92">
            <w:pPr>
              <w:pStyle w:val="Bodytext20"/>
              <w:shd w:val="clear" w:color="auto" w:fill="auto"/>
              <w:tabs>
                <w:tab w:val="left" w:pos="558"/>
              </w:tabs>
              <w:spacing w:before="0" w:after="60" w:line="240" w:lineRule="auto"/>
              <w:ind w:left="23" w:right="46"/>
              <w:jc w:val="left"/>
              <w:rPr>
                <w:rStyle w:val="Bodytext212pt"/>
                <w:rFonts w:ascii="Sylfaen" w:hAnsi="Sylfaen"/>
                <w:sz w:val="20"/>
                <w:szCs w:val="20"/>
              </w:rPr>
            </w:pPr>
            <w:r w:rsidRPr="00D924A1">
              <w:rPr>
                <w:rStyle w:val="Bodytext212pt"/>
                <w:rFonts w:ascii="Sylfaen" w:hAnsi="Sylfaen"/>
                <w:sz w:val="20"/>
                <w:szCs w:val="20"/>
              </w:rPr>
              <w:t>28.</w:t>
            </w:r>
            <w:r w:rsidRPr="00D924A1">
              <w:rPr>
                <w:rStyle w:val="Bodytext212pt"/>
                <w:rFonts w:ascii="Sylfaen" w:hAnsi="Sylfaen"/>
                <w:sz w:val="20"/>
                <w:szCs w:val="20"/>
                <w:lang w:val="en-US"/>
              </w:rPr>
              <w:tab/>
            </w:r>
            <w:r w:rsidR="009326AA" w:rsidRPr="00D924A1">
              <w:rPr>
                <w:rStyle w:val="Bodytext212pt"/>
                <w:rFonts w:ascii="Sylfaen" w:hAnsi="Sylfaen"/>
                <w:sz w:val="20"/>
                <w:szCs w:val="20"/>
              </w:rPr>
              <w:t>2.9 հոդված</w:t>
            </w:r>
          </w:p>
        </w:tc>
        <w:tc>
          <w:tcPr>
            <w:tcW w:w="3185" w:type="dxa"/>
            <w:shd w:val="clear" w:color="auto" w:fill="FFFFFF"/>
          </w:tcPr>
          <w:p w:rsidR="009326AA" w:rsidRPr="00D924A1" w:rsidRDefault="009326AA" w:rsidP="00714B92">
            <w:pPr>
              <w:pStyle w:val="Bodytext20"/>
              <w:shd w:val="clear" w:color="auto" w:fill="auto"/>
              <w:spacing w:before="0" w:after="60" w:line="240" w:lineRule="auto"/>
              <w:ind w:left="23" w:right="46"/>
              <w:jc w:val="left"/>
              <w:rPr>
                <w:rStyle w:val="Bodytext212pt"/>
                <w:rFonts w:ascii="Sylfaen" w:hAnsi="Sylfaen"/>
                <w:sz w:val="20"/>
                <w:szCs w:val="20"/>
              </w:rPr>
            </w:pPr>
            <w:r w:rsidRPr="00D924A1">
              <w:rPr>
                <w:rStyle w:val="Bodytext212pt"/>
                <w:rFonts w:ascii="Sylfaen" w:hAnsi="Sylfaen"/>
                <w:sz w:val="20"/>
                <w:szCs w:val="20"/>
              </w:rPr>
              <w:t>վաղ փուլում</w:t>
            </w:r>
            <w:r w:rsidR="00FB4503" w:rsidRPr="00D924A1">
              <w:rPr>
                <w:rStyle w:val="Bodytext212pt"/>
                <w:rFonts w:ascii="Sylfaen" w:hAnsi="Sylfaen"/>
                <w:sz w:val="20"/>
                <w:szCs w:val="20"/>
              </w:rPr>
              <w:t>՝</w:t>
            </w:r>
            <w:r w:rsidRPr="00D924A1">
              <w:rPr>
                <w:rStyle w:val="Bodytext212pt"/>
                <w:rFonts w:ascii="Sylfaen" w:hAnsi="Sylfaen"/>
                <w:sz w:val="20"/>
                <w:szCs w:val="20"/>
              </w:rPr>
              <w:t xml:space="preserve"> մինչ</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միջոցներ ձեռնարկելը (մինչ</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Հանձնաժողովի ակտի նախագիծը հանրային քննարկման համար տեղադրելը)</w:t>
            </w:r>
          </w:p>
        </w:tc>
        <w:tc>
          <w:tcPr>
            <w:tcW w:w="5810" w:type="dxa"/>
            <w:shd w:val="clear" w:color="auto" w:fill="FFFFFF"/>
            <w:vAlign w:val="bottom"/>
          </w:tcPr>
          <w:p w:rsidR="009326AA" w:rsidRPr="00D924A1" w:rsidRDefault="009326AA" w:rsidP="00714B92">
            <w:pPr>
              <w:pStyle w:val="Bodytext20"/>
              <w:shd w:val="clear" w:color="auto" w:fill="auto"/>
              <w:spacing w:before="0" w:after="60" w:line="240" w:lineRule="auto"/>
              <w:ind w:left="23" w:right="130"/>
              <w:jc w:val="left"/>
              <w:rPr>
                <w:rStyle w:val="Bodytext212pt"/>
                <w:rFonts w:ascii="Sylfaen" w:hAnsi="Sylfaen"/>
                <w:sz w:val="20"/>
                <w:szCs w:val="20"/>
              </w:rPr>
            </w:pPr>
            <w:r w:rsidRPr="00D924A1">
              <w:rPr>
                <w:rStyle w:val="Bodytext212pt"/>
                <w:rFonts w:ascii="Sylfaen" w:hAnsi="Sylfaen"/>
                <w:sz w:val="20"/>
                <w:szCs w:val="20"/>
              </w:rPr>
              <w:t xml:space="preserve">Հանձնաժողովի </w:t>
            </w:r>
            <w:r w:rsidR="001E78D5" w:rsidRPr="00D924A1">
              <w:rPr>
                <w:rStyle w:val="Bodytext212pt"/>
                <w:rFonts w:ascii="Sylfaen" w:hAnsi="Sylfaen"/>
                <w:sz w:val="20"/>
                <w:szCs w:val="20"/>
              </w:rPr>
              <w:t xml:space="preserve">այն </w:t>
            </w:r>
            <w:r w:rsidRPr="00D924A1">
              <w:rPr>
                <w:rStyle w:val="Bodytext212pt"/>
                <w:rFonts w:ascii="Sylfaen" w:hAnsi="Sylfaen"/>
                <w:sz w:val="20"/>
                <w:szCs w:val="20"/>
              </w:rPr>
              <w:t>ակտերի մասին, որոնք «Առ</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տրում տեխնիկական </w:t>
            </w:r>
            <w:r w:rsidR="00A01AFB" w:rsidRPr="00D924A1">
              <w:rPr>
                <w:rStyle w:val="Bodytext212pt"/>
                <w:rFonts w:ascii="Sylfaen" w:hAnsi="Sylfaen"/>
                <w:sz w:val="20"/>
                <w:szCs w:val="20"/>
              </w:rPr>
              <w:t>խոչ</w:t>
            </w:r>
            <w:r w:rsidR="0062625A" w:rsidRPr="00D924A1">
              <w:rPr>
                <w:rStyle w:val="Bodytext212pt"/>
                <w:rFonts w:ascii="Sylfaen" w:hAnsi="Sylfaen"/>
                <w:sz w:val="20"/>
                <w:szCs w:val="20"/>
              </w:rPr>
              <w:t>ը</w:t>
            </w:r>
            <w:r w:rsidR="00A01AFB" w:rsidRPr="00D924A1">
              <w:rPr>
                <w:rStyle w:val="Bodytext212pt"/>
                <w:rFonts w:ascii="Sylfaen" w:hAnsi="Sylfaen"/>
                <w:sz w:val="20"/>
                <w:szCs w:val="20"/>
              </w:rPr>
              <w:t>նդոտների</w:t>
            </w:r>
            <w:r w:rsidR="00AE723C" w:rsidRPr="00D924A1">
              <w:rPr>
                <w:rStyle w:val="Bodytext212pt"/>
                <w:rFonts w:ascii="Sylfaen" w:hAnsi="Sylfaen"/>
                <w:sz w:val="20"/>
                <w:szCs w:val="20"/>
              </w:rPr>
              <w:t xml:space="preserve"> մասին</w:t>
            </w:r>
            <w:r w:rsidRPr="00D924A1">
              <w:rPr>
                <w:rStyle w:val="Bodytext212pt"/>
                <w:rFonts w:ascii="Sylfaen" w:hAnsi="Sylfaen"/>
                <w:sz w:val="20"/>
                <w:szCs w:val="20"/>
              </w:rPr>
              <w:t>» ԱՀԿ</w:t>
            </w:r>
            <w:r w:rsidR="00E528AE" w:rsidRPr="00D924A1">
              <w:rPr>
                <w:rStyle w:val="Bodytext212pt"/>
                <w:rFonts w:ascii="Sylfaen" w:hAnsi="Sylfaen"/>
                <w:sz w:val="20"/>
                <w:szCs w:val="20"/>
              </w:rPr>
              <w:t>-ի</w:t>
            </w:r>
            <w:r w:rsidRPr="00D924A1">
              <w:rPr>
                <w:rStyle w:val="Bodytext212pt"/>
                <w:rFonts w:ascii="Sylfaen" w:hAnsi="Sylfaen"/>
                <w:sz w:val="20"/>
                <w:szCs w:val="20"/>
              </w:rPr>
              <w:t xml:space="preserve"> համաձայնագրի իմաստով համարվում են տեխնիկական կանոնակարգեր, մասնավորապես՝ «փաստաթղթեր, որոնցով սահմանվում են ապրանքի բնութագրերը կամ արտադրության՝ դրանց հետ կապված գործընթացներ</w:t>
            </w:r>
            <w:r w:rsidR="00241770" w:rsidRPr="00D924A1">
              <w:rPr>
                <w:rStyle w:val="Bodytext212pt"/>
                <w:rFonts w:ascii="Sylfaen" w:hAnsi="Sylfaen"/>
                <w:sz w:val="20"/>
                <w:szCs w:val="20"/>
              </w:rPr>
              <w:t>ն ու</w:t>
            </w:r>
            <w:r w:rsidRPr="00D924A1">
              <w:rPr>
                <w:rStyle w:val="Bodytext212pt"/>
                <w:rFonts w:ascii="Sylfaen" w:hAnsi="Sylfaen"/>
                <w:sz w:val="20"/>
                <w:szCs w:val="20"/>
              </w:rPr>
              <w:t xml:space="preserve"> մեթոդները</w:t>
            </w:r>
            <w:r w:rsidR="00FB4503" w:rsidRPr="00D924A1">
              <w:rPr>
                <w:rStyle w:val="Bodytext212pt"/>
                <w:rFonts w:ascii="Sylfaen" w:hAnsi="Sylfaen"/>
                <w:sz w:val="20"/>
                <w:szCs w:val="20"/>
              </w:rPr>
              <w:t>,</w:t>
            </w:r>
            <w:r w:rsidRPr="00D924A1">
              <w:rPr>
                <w:rStyle w:val="Bodytext212pt"/>
                <w:rFonts w:ascii="Sylfaen" w:hAnsi="Sylfaen"/>
                <w:sz w:val="20"/>
                <w:szCs w:val="20"/>
              </w:rPr>
              <w:t xml:space="preserve"> ներառյալ</w:t>
            </w:r>
            <w:r w:rsidR="00FB4503" w:rsidRPr="00D924A1">
              <w:rPr>
                <w:rStyle w:val="Bodytext212pt"/>
                <w:rFonts w:ascii="Sylfaen" w:hAnsi="Sylfaen"/>
                <w:sz w:val="20"/>
                <w:szCs w:val="20"/>
              </w:rPr>
              <w:t>՝</w:t>
            </w:r>
            <w:r w:rsidRPr="00D924A1">
              <w:rPr>
                <w:rStyle w:val="Bodytext212pt"/>
                <w:rFonts w:ascii="Sylfaen" w:hAnsi="Sylfaen"/>
                <w:sz w:val="20"/>
                <w:szCs w:val="20"/>
              </w:rPr>
              <w:t xml:space="preserve"> կիրառելի վարչական դրույթները, որոնց պահպանումը պարտադիր է։ </w:t>
            </w:r>
            <w:r w:rsidR="00116B28" w:rsidRPr="00D924A1">
              <w:rPr>
                <w:rStyle w:val="Bodytext212pt"/>
                <w:rFonts w:ascii="Sylfaen" w:hAnsi="Sylfaen"/>
                <w:sz w:val="20"/>
                <w:szCs w:val="20"/>
              </w:rPr>
              <w:t>Դրանք</w:t>
            </w:r>
            <w:r w:rsidRPr="00D924A1">
              <w:rPr>
                <w:rStyle w:val="Bodytext212pt"/>
                <w:rFonts w:ascii="Sylfaen" w:hAnsi="Sylfaen"/>
                <w:sz w:val="20"/>
                <w:szCs w:val="20"/>
              </w:rPr>
              <w:t xml:space="preserve"> նա</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կարող </w:t>
            </w:r>
            <w:r w:rsidR="00CE70A0" w:rsidRPr="00D924A1">
              <w:rPr>
                <w:rStyle w:val="Bodytext212pt"/>
                <w:rFonts w:ascii="Sylfaen" w:hAnsi="Sylfaen"/>
                <w:sz w:val="20"/>
                <w:szCs w:val="20"/>
              </w:rPr>
              <w:t>են</w:t>
            </w:r>
            <w:r w:rsidRPr="00D924A1">
              <w:rPr>
                <w:rStyle w:val="Bodytext212pt"/>
                <w:rFonts w:ascii="Sylfaen" w:hAnsi="Sylfaen"/>
                <w:sz w:val="20"/>
                <w:szCs w:val="20"/>
              </w:rPr>
              <w:t xml:space="preserve"> ներառել կամ պարունակել </w:t>
            </w:r>
            <w:r w:rsidR="009E68C0" w:rsidRPr="00D924A1">
              <w:rPr>
                <w:rStyle w:val="Bodytext212pt"/>
                <w:rFonts w:ascii="Sylfaen" w:hAnsi="Sylfaen"/>
                <w:sz w:val="20"/>
                <w:szCs w:val="20"/>
              </w:rPr>
              <w:t xml:space="preserve">բացառապես </w:t>
            </w:r>
            <w:r w:rsidRPr="00D924A1">
              <w:rPr>
                <w:rStyle w:val="Bodytext212pt"/>
                <w:rFonts w:ascii="Sylfaen" w:hAnsi="Sylfaen"/>
                <w:sz w:val="20"/>
                <w:szCs w:val="20"/>
              </w:rPr>
              <w:t xml:space="preserve">պահանջներ, որոնք ներկայացվում են եզրութաբանությանը, նշագրերին, փաթեթվածքին, մակնշմանը </w:t>
            </w:r>
            <w:r w:rsidRPr="00D924A1">
              <w:rPr>
                <w:rStyle w:val="Bodytext212pt"/>
                <w:rFonts w:ascii="Sylfaen" w:hAnsi="Sylfaen"/>
                <w:spacing w:val="-4"/>
                <w:sz w:val="20"/>
                <w:szCs w:val="20"/>
              </w:rPr>
              <w:t>կամ պիտակավորմանն այնքանով, որքանով դրանք կիրառելի են ապրանքի</w:t>
            </w:r>
            <w:r w:rsidRPr="00D924A1">
              <w:rPr>
                <w:rStyle w:val="Bodytext212pt"/>
                <w:rFonts w:ascii="Sylfaen" w:hAnsi="Sylfaen"/>
                <w:sz w:val="20"/>
                <w:szCs w:val="20"/>
              </w:rPr>
              <w:t xml:space="preserve">, </w:t>
            </w:r>
            <w:r w:rsidRPr="00D924A1">
              <w:rPr>
                <w:rStyle w:val="Bodytext212pt"/>
                <w:rFonts w:ascii="Sylfaen" w:hAnsi="Sylfaen"/>
                <w:spacing w:val="-4"/>
                <w:sz w:val="20"/>
                <w:szCs w:val="20"/>
              </w:rPr>
              <w:t>արտադրության գործընթացի կամ մեթոդի նկատմամբ» (Տ</w:t>
            </w:r>
            <w:r w:rsidR="00BB1D08" w:rsidRPr="00D924A1">
              <w:rPr>
                <w:rStyle w:val="Bodytext212pt"/>
                <w:rFonts w:ascii="Sylfaen" w:hAnsi="Sylfaen"/>
                <w:spacing w:val="-4"/>
                <w:sz w:val="20"/>
                <w:szCs w:val="20"/>
              </w:rPr>
              <w:t>Խ</w:t>
            </w:r>
            <w:r w:rsidRPr="00D924A1">
              <w:rPr>
                <w:rStyle w:val="Bodytext212pt"/>
                <w:rFonts w:ascii="Sylfaen" w:hAnsi="Sylfaen"/>
                <w:spacing w:val="-4"/>
                <w:sz w:val="20"/>
                <w:szCs w:val="20"/>
              </w:rPr>
              <w:t>Ա-ի մասին</w:t>
            </w:r>
            <w:r w:rsidRPr="00D924A1">
              <w:rPr>
                <w:rStyle w:val="Bodytext212pt"/>
                <w:rFonts w:ascii="Sylfaen" w:hAnsi="Sylfaen"/>
                <w:sz w:val="20"/>
                <w:szCs w:val="20"/>
              </w:rPr>
              <w:t xml:space="preserve"> ԱՀԿ</w:t>
            </w:r>
            <w:r w:rsidR="009A14A1" w:rsidRPr="00D924A1">
              <w:rPr>
                <w:rStyle w:val="Bodytext212pt"/>
                <w:rFonts w:ascii="Sylfaen" w:hAnsi="Sylfaen"/>
                <w:sz w:val="20"/>
                <w:szCs w:val="20"/>
              </w:rPr>
              <w:t>-ի</w:t>
            </w:r>
            <w:r w:rsidRPr="00D924A1">
              <w:rPr>
                <w:rStyle w:val="Bodytext212pt"/>
                <w:rFonts w:ascii="Sylfaen" w:hAnsi="Sylfaen"/>
                <w:sz w:val="20"/>
                <w:szCs w:val="20"/>
              </w:rPr>
              <w:t xml:space="preserve"> համաձայնագրի 1-ին հավելված)</w:t>
            </w:r>
          </w:p>
        </w:tc>
        <w:tc>
          <w:tcPr>
            <w:tcW w:w="3865" w:type="dxa"/>
            <w:shd w:val="clear" w:color="auto" w:fill="FFFFFF"/>
          </w:tcPr>
          <w:p w:rsidR="009326AA" w:rsidRPr="00D924A1" w:rsidRDefault="009326AA" w:rsidP="00714B92">
            <w:pPr>
              <w:pStyle w:val="Bodytext20"/>
              <w:shd w:val="clear" w:color="auto" w:fill="auto"/>
              <w:spacing w:before="0" w:after="60" w:line="240" w:lineRule="auto"/>
              <w:ind w:left="23" w:right="46"/>
              <w:jc w:val="left"/>
              <w:rPr>
                <w:rStyle w:val="Bodytext212pt"/>
                <w:rFonts w:ascii="Sylfaen" w:hAnsi="Sylfaen"/>
                <w:sz w:val="20"/>
                <w:szCs w:val="20"/>
              </w:rPr>
            </w:pPr>
            <w:r w:rsidRPr="00D924A1">
              <w:rPr>
                <w:rStyle w:val="Bodytext212pt"/>
                <w:rFonts w:ascii="Sylfaen" w:hAnsi="Sylfaen"/>
                <w:sz w:val="20"/>
                <w:szCs w:val="20"/>
              </w:rPr>
              <w:t>ոչ ուշ, քան հանրային քննարկումը սկսելու օրվանից 1 աշխատանքային օր առաջ</w:t>
            </w:r>
          </w:p>
        </w:tc>
      </w:tr>
      <w:tr w:rsidR="001502CF" w:rsidRPr="00D924A1" w:rsidTr="004E0F9B">
        <w:trPr>
          <w:jc w:val="center"/>
        </w:trPr>
        <w:tc>
          <w:tcPr>
            <w:tcW w:w="2412" w:type="dxa"/>
            <w:shd w:val="clear" w:color="auto" w:fill="FFFFFF"/>
          </w:tcPr>
          <w:p w:rsidR="007467EC" w:rsidRPr="00D924A1" w:rsidRDefault="004E0F9B" w:rsidP="004E0F9B">
            <w:pPr>
              <w:pStyle w:val="Bodytext20"/>
              <w:shd w:val="clear" w:color="auto" w:fill="auto"/>
              <w:tabs>
                <w:tab w:val="left" w:pos="558"/>
              </w:tabs>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lastRenderedPageBreak/>
              <w:t>29.</w:t>
            </w:r>
            <w:r w:rsidRPr="00D924A1">
              <w:rPr>
                <w:rStyle w:val="Bodytext212pt"/>
                <w:rFonts w:ascii="Sylfaen" w:hAnsi="Sylfaen"/>
                <w:sz w:val="20"/>
                <w:szCs w:val="20"/>
              </w:rPr>
              <w:tab/>
            </w:r>
            <w:r w:rsidR="007467EC" w:rsidRPr="00D924A1">
              <w:rPr>
                <w:rStyle w:val="Bodytext212pt"/>
                <w:rFonts w:ascii="Sylfaen" w:hAnsi="Sylfaen"/>
                <w:sz w:val="20"/>
                <w:szCs w:val="20"/>
              </w:rPr>
              <w:t>2.10 հոդված</w:t>
            </w:r>
          </w:p>
        </w:tc>
        <w:tc>
          <w:tcPr>
            <w:tcW w:w="3185" w:type="dxa"/>
            <w:shd w:val="clear" w:color="auto" w:fill="FFFFFF"/>
            <w:vAlign w:val="center"/>
          </w:tcPr>
          <w:p w:rsidR="007467EC" w:rsidRPr="00D924A1" w:rsidRDefault="007467EC"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անհապաղ (միջոցներ ձեռնարկելու օրվանից)</w:t>
            </w:r>
          </w:p>
        </w:tc>
        <w:tc>
          <w:tcPr>
            <w:tcW w:w="5810" w:type="dxa"/>
            <w:shd w:val="clear" w:color="auto" w:fill="FFFFFF"/>
          </w:tcPr>
          <w:p w:rsidR="007467EC" w:rsidRPr="00D924A1" w:rsidRDefault="007467EC" w:rsidP="001502CF">
            <w:pPr>
              <w:pStyle w:val="Bodytext20"/>
              <w:shd w:val="clear" w:color="auto" w:fill="auto"/>
              <w:spacing w:before="0" w:after="120" w:line="240" w:lineRule="auto"/>
              <w:jc w:val="center"/>
              <w:rPr>
                <w:rFonts w:ascii="Sylfaen" w:hAnsi="Sylfaen"/>
                <w:sz w:val="20"/>
                <w:szCs w:val="20"/>
              </w:rPr>
            </w:pPr>
            <w:r w:rsidRPr="00D924A1">
              <w:rPr>
                <w:rStyle w:val="Bodytext212pt"/>
                <w:rFonts w:ascii="Sylfaen" w:hAnsi="Sylfaen"/>
                <w:sz w:val="20"/>
                <w:szCs w:val="20"/>
              </w:rPr>
              <w:t>-"-</w:t>
            </w:r>
          </w:p>
        </w:tc>
        <w:tc>
          <w:tcPr>
            <w:tcW w:w="3865" w:type="dxa"/>
            <w:shd w:val="clear" w:color="auto" w:fill="FFFFFF"/>
            <w:vAlign w:val="center"/>
          </w:tcPr>
          <w:p w:rsidR="007467EC" w:rsidRPr="00D924A1" w:rsidRDefault="007467EC" w:rsidP="001502CF">
            <w:pPr>
              <w:pStyle w:val="Bodytext20"/>
              <w:shd w:val="clear" w:color="auto" w:fill="auto"/>
              <w:spacing w:before="0" w:after="120" w:line="240" w:lineRule="auto"/>
              <w:ind w:left="22" w:right="46"/>
              <w:jc w:val="left"/>
              <w:rPr>
                <w:rFonts w:ascii="Sylfaen" w:hAnsi="Sylfaen"/>
                <w:sz w:val="20"/>
                <w:szCs w:val="20"/>
              </w:rPr>
            </w:pPr>
            <w:r w:rsidRPr="00D924A1">
              <w:rPr>
                <w:rStyle w:val="Bodytext212pt"/>
                <w:rFonts w:ascii="Sylfaen" w:hAnsi="Sylfaen"/>
                <w:sz w:val="20"/>
                <w:szCs w:val="20"/>
              </w:rPr>
              <w:t xml:space="preserve">միջոցներ ձեռնարկելու օրվանից </w:t>
            </w:r>
            <w:r w:rsidR="008D1B6D" w:rsidRPr="00D924A1">
              <w:rPr>
                <w:rStyle w:val="Bodytext212pt"/>
                <w:rFonts w:ascii="Sylfaen" w:hAnsi="Sylfaen"/>
                <w:sz w:val="20"/>
                <w:szCs w:val="20"/>
              </w:rPr>
              <w:t xml:space="preserve">ոչ ուշ, քան </w:t>
            </w:r>
            <w:r w:rsidRPr="00D924A1">
              <w:rPr>
                <w:rStyle w:val="Bodytext212pt"/>
                <w:rFonts w:ascii="Sylfaen" w:hAnsi="Sylfaen"/>
                <w:sz w:val="20"/>
                <w:szCs w:val="20"/>
              </w:rPr>
              <w:t>1 աշխատանքային օր</w:t>
            </w:r>
            <w:r w:rsidR="008D1B6D" w:rsidRPr="00D924A1">
              <w:rPr>
                <w:rStyle w:val="Bodytext212pt"/>
                <w:rFonts w:ascii="Sylfaen" w:hAnsi="Sylfaen"/>
                <w:sz w:val="20"/>
                <w:szCs w:val="20"/>
              </w:rPr>
              <w:t>վա ընթացքում</w:t>
            </w:r>
            <w:r w:rsidRPr="00D924A1">
              <w:rPr>
                <w:rStyle w:val="Bodytext212pt"/>
                <w:rFonts w:ascii="Sylfaen" w:hAnsi="Sylfaen"/>
                <w:sz w:val="20"/>
                <w:szCs w:val="20"/>
              </w:rPr>
              <w:t xml:space="preserve"> </w:t>
            </w:r>
          </w:p>
        </w:tc>
      </w:tr>
      <w:tr w:rsidR="001502CF" w:rsidRPr="00D924A1" w:rsidTr="004E0F9B">
        <w:trPr>
          <w:jc w:val="center"/>
        </w:trPr>
        <w:tc>
          <w:tcPr>
            <w:tcW w:w="2412" w:type="dxa"/>
            <w:shd w:val="clear" w:color="auto" w:fill="FFFFFF"/>
          </w:tcPr>
          <w:p w:rsidR="007467EC" w:rsidRPr="00D924A1" w:rsidRDefault="004E0F9B" w:rsidP="004E0F9B">
            <w:pPr>
              <w:pStyle w:val="Bodytext20"/>
              <w:shd w:val="clear" w:color="auto" w:fill="auto"/>
              <w:tabs>
                <w:tab w:val="left" w:pos="558"/>
              </w:tabs>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30.</w:t>
            </w:r>
            <w:r w:rsidRPr="00D924A1">
              <w:rPr>
                <w:rStyle w:val="Bodytext212pt"/>
                <w:rFonts w:ascii="Sylfaen" w:hAnsi="Sylfaen"/>
                <w:sz w:val="20"/>
                <w:szCs w:val="20"/>
              </w:rPr>
              <w:tab/>
            </w:r>
            <w:r w:rsidR="007467EC" w:rsidRPr="00D924A1">
              <w:rPr>
                <w:rStyle w:val="Bodytext212pt"/>
                <w:rFonts w:ascii="Sylfaen" w:hAnsi="Sylfaen"/>
                <w:sz w:val="20"/>
                <w:szCs w:val="20"/>
              </w:rPr>
              <w:t xml:space="preserve">5.6 հոդված </w:t>
            </w:r>
          </w:p>
        </w:tc>
        <w:tc>
          <w:tcPr>
            <w:tcW w:w="3185" w:type="dxa"/>
            <w:shd w:val="clear" w:color="auto" w:fill="FFFFFF"/>
          </w:tcPr>
          <w:p w:rsidR="007467EC" w:rsidRPr="00D924A1" w:rsidRDefault="007467EC" w:rsidP="001502CF">
            <w:pPr>
              <w:pStyle w:val="Bodytext20"/>
              <w:shd w:val="clear" w:color="auto" w:fill="auto"/>
              <w:spacing w:before="0" w:after="120" w:line="240" w:lineRule="auto"/>
              <w:ind w:left="22" w:right="46"/>
              <w:jc w:val="left"/>
              <w:rPr>
                <w:rStyle w:val="Bodytext212pt"/>
                <w:rFonts w:ascii="Sylfaen" w:hAnsi="Sylfaen"/>
                <w:spacing w:val="-6"/>
                <w:sz w:val="20"/>
                <w:szCs w:val="20"/>
              </w:rPr>
            </w:pPr>
            <w:r w:rsidRPr="00D924A1">
              <w:rPr>
                <w:rStyle w:val="Bodytext212pt"/>
                <w:rFonts w:ascii="Sylfaen" w:hAnsi="Sylfaen"/>
                <w:spacing w:val="-6"/>
                <w:sz w:val="20"/>
                <w:szCs w:val="20"/>
              </w:rPr>
              <w:t>վաղ փուլում</w:t>
            </w:r>
            <w:r w:rsidR="00FB4503" w:rsidRPr="00D924A1">
              <w:rPr>
                <w:rStyle w:val="Bodytext212pt"/>
                <w:rFonts w:ascii="Sylfaen" w:hAnsi="Sylfaen"/>
                <w:spacing w:val="-6"/>
                <w:sz w:val="20"/>
                <w:szCs w:val="20"/>
              </w:rPr>
              <w:t>՝</w:t>
            </w:r>
            <w:r w:rsidRPr="00D924A1">
              <w:rPr>
                <w:rStyle w:val="Bodytext212pt"/>
                <w:rFonts w:ascii="Sylfaen" w:hAnsi="Sylfaen"/>
                <w:spacing w:val="-6"/>
                <w:sz w:val="20"/>
                <w:szCs w:val="20"/>
              </w:rPr>
              <w:t xml:space="preserve"> մինչ</w:t>
            </w:r>
            <w:r w:rsidR="001502CF" w:rsidRPr="00D924A1">
              <w:rPr>
                <w:rStyle w:val="Bodytext212pt"/>
                <w:rFonts w:ascii="Sylfaen" w:hAnsi="Sylfaen"/>
                <w:spacing w:val="-6"/>
                <w:sz w:val="20"/>
                <w:szCs w:val="20"/>
              </w:rPr>
              <w:t>եւ</w:t>
            </w:r>
            <w:r w:rsidRPr="00D924A1">
              <w:rPr>
                <w:rStyle w:val="Bodytext212pt"/>
                <w:rFonts w:ascii="Sylfaen" w:hAnsi="Sylfaen"/>
                <w:spacing w:val="-6"/>
                <w:sz w:val="20"/>
                <w:szCs w:val="20"/>
              </w:rPr>
              <w:t xml:space="preserve"> միջոցներ ձեռնարկելը (մինչ</w:t>
            </w:r>
            <w:r w:rsidR="001502CF" w:rsidRPr="00D924A1">
              <w:rPr>
                <w:rStyle w:val="Bodytext212pt"/>
                <w:rFonts w:ascii="Sylfaen" w:hAnsi="Sylfaen"/>
                <w:spacing w:val="-6"/>
                <w:sz w:val="20"/>
                <w:szCs w:val="20"/>
              </w:rPr>
              <w:t>եւ</w:t>
            </w:r>
            <w:r w:rsidRPr="00D924A1">
              <w:rPr>
                <w:rStyle w:val="Bodytext212pt"/>
                <w:rFonts w:ascii="Sylfaen" w:hAnsi="Sylfaen"/>
                <w:spacing w:val="-6"/>
                <w:sz w:val="20"/>
                <w:szCs w:val="20"/>
              </w:rPr>
              <w:t xml:space="preserve"> Հանձնաժողովի ակտի նախագիծը հանրային քննարկման համար տեղադրելը)</w:t>
            </w:r>
          </w:p>
        </w:tc>
        <w:tc>
          <w:tcPr>
            <w:tcW w:w="5810" w:type="dxa"/>
            <w:shd w:val="clear" w:color="auto" w:fill="FFFFFF"/>
            <w:vAlign w:val="center"/>
          </w:tcPr>
          <w:p w:rsidR="007467EC" w:rsidRPr="00D924A1" w:rsidRDefault="007467EC" w:rsidP="001502CF">
            <w:pPr>
              <w:pStyle w:val="Bodytext20"/>
              <w:shd w:val="clear" w:color="auto" w:fill="auto"/>
              <w:spacing w:before="0" w:after="120" w:line="240" w:lineRule="auto"/>
              <w:ind w:left="22" w:right="46"/>
              <w:jc w:val="left"/>
              <w:rPr>
                <w:rStyle w:val="Bodytext212pt"/>
                <w:rFonts w:ascii="Sylfaen" w:hAnsi="Sylfaen"/>
                <w:spacing w:val="-6"/>
                <w:sz w:val="20"/>
                <w:szCs w:val="20"/>
              </w:rPr>
            </w:pPr>
            <w:r w:rsidRPr="00D924A1">
              <w:rPr>
                <w:rStyle w:val="Bodytext212pt"/>
                <w:rFonts w:ascii="Sylfaen" w:hAnsi="Sylfaen"/>
                <w:spacing w:val="-6"/>
                <w:sz w:val="20"/>
                <w:szCs w:val="20"/>
              </w:rPr>
              <w:t>Հանձնաժողովի այն ակտերի մասին, որոնք պարունակում են «Առ</w:t>
            </w:r>
            <w:r w:rsidR="001502CF" w:rsidRPr="00D924A1">
              <w:rPr>
                <w:rStyle w:val="Bodytext212pt"/>
                <w:rFonts w:ascii="Sylfaen" w:hAnsi="Sylfaen"/>
                <w:spacing w:val="-6"/>
                <w:sz w:val="20"/>
                <w:szCs w:val="20"/>
              </w:rPr>
              <w:t>եւ</w:t>
            </w:r>
            <w:r w:rsidRPr="00D924A1">
              <w:rPr>
                <w:rStyle w:val="Bodytext212pt"/>
                <w:rFonts w:ascii="Sylfaen" w:hAnsi="Sylfaen"/>
                <w:spacing w:val="-6"/>
                <w:sz w:val="20"/>
                <w:szCs w:val="20"/>
              </w:rPr>
              <w:t xml:space="preserve">տրում տեխնիկական </w:t>
            </w:r>
            <w:r w:rsidR="0061617B" w:rsidRPr="00D924A1">
              <w:rPr>
                <w:rStyle w:val="Bodytext212pt"/>
                <w:rFonts w:ascii="Sylfaen" w:hAnsi="Sylfaen"/>
                <w:spacing w:val="-6"/>
                <w:sz w:val="20"/>
                <w:szCs w:val="20"/>
              </w:rPr>
              <w:t>խոչ</w:t>
            </w:r>
            <w:r w:rsidR="0062625A" w:rsidRPr="00D924A1">
              <w:rPr>
                <w:rStyle w:val="Bodytext212pt"/>
                <w:rFonts w:ascii="Sylfaen" w:hAnsi="Sylfaen"/>
                <w:spacing w:val="-6"/>
                <w:sz w:val="20"/>
                <w:szCs w:val="20"/>
              </w:rPr>
              <w:t>ը</w:t>
            </w:r>
            <w:r w:rsidR="0061617B" w:rsidRPr="00D924A1">
              <w:rPr>
                <w:rStyle w:val="Bodytext212pt"/>
                <w:rFonts w:ascii="Sylfaen" w:hAnsi="Sylfaen"/>
                <w:spacing w:val="-6"/>
                <w:sz w:val="20"/>
                <w:szCs w:val="20"/>
              </w:rPr>
              <w:t xml:space="preserve">նդոտների </w:t>
            </w:r>
            <w:r w:rsidR="00583153" w:rsidRPr="00D924A1">
              <w:rPr>
                <w:rStyle w:val="Bodytext212pt"/>
                <w:rFonts w:ascii="Sylfaen" w:hAnsi="Sylfaen"/>
                <w:spacing w:val="-6"/>
                <w:sz w:val="20"/>
                <w:szCs w:val="20"/>
              </w:rPr>
              <w:t>մասին</w:t>
            </w:r>
            <w:r w:rsidRPr="00D924A1">
              <w:rPr>
                <w:rStyle w:val="Bodytext212pt"/>
                <w:rFonts w:ascii="Sylfaen" w:hAnsi="Sylfaen"/>
                <w:spacing w:val="-6"/>
                <w:sz w:val="20"/>
                <w:szCs w:val="20"/>
              </w:rPr>
              <w:t>» ԱՀԿ</w:t>
            </w:r>
            <w:r w:rsidR="00583153" w:rsidRPr="00D924A1">
              <w:rPr>
                <w:rStyle w:val="Bodytext212pt"/>
                <w:rFonts w:ascii="Sylfaen" w:hAnsi="Sylfaen"/>
                <w:spacing w:val="-6"/>
                <w:sz w:val="20"/>
                <w:szCs w:val="20"/>
              </w:rPr>
              <w:t>-ի</w:t>
            </w:r>
            <w:r w:rsidRPr="00D924A1">
              <w:rPr>
                <w:rStyle w:val="Bodytext212pt"/>
                <w:rFonts w:ascii="Sylfaen" w:hAnsi="Sylfaen"/>
                <w:spacing w:val="-6"/>
                <w:sz w:val="20"/>
                <w:szCs w:val="20"/>
              </w:rPr>
              <w:t xml:space="preserve"> համաձայնագրի իմաստով գնահատման ընթացակարգերին ներկայացվող պահանջներ, մասնավորապես՝ «տեխնիկական կանոնակարգերում կամ ստանդարտներում պարունակվող համապատասխան պահանջների կատարման հարցը պարզելու նպատակով ուղղակիորեն կամ անուղղակիորեն կիրառվող ցանկացած ընթացակարգի» առնչությամբ պահանջները (Տ</w:t>
            </w:r>
            <w:r w:rsidR="00D90DA5" w:rsidRPr="00D924A1">
              <w:rPr>
                <w:rStyle w:val="Bodytext212pt"/>
                <w:rFonts w:ascii="Sylfaen" w:hAnsi="Sylfaen"/>
                <w:spacing w:val="-6"/>
                <w:sz w:val="20"/>
                <w:szCs w:val="20"/>
              </w:rPr>
              <w:t>Խ</w:t>
            </w:r>
            <w:r w:rsidRPr="00D924A1">
              <w:rPr>
                <w:rStyle w:val="Bodytext212pt"/>
                <w:rFonts w:ascii="Sylfaen" w:hAnsi="Sylfaen"/>
                <w:spacing w:val="-6"/>
                <w:sz w:val="20"/>
                <w:szCs w:val="20"/>
              </w:rPr>
              <w:t>Ա-ի մասին ԱՀԿ համաձայնագրի 1-ին հավելված)</w:t>
            </w:r>
          </w:p>
        </w:tc>
        <w:tc>
          <w:tcPr>
            <w:tcW w:w="3865" w:type="dxa"/>
            <w:shd w:val="clear" w:color="auto" w:fill="FFFFFF"/>
          </w:tcPr>
          <w:p w:rsidR="007467EC" w:rsidRPr="00D924A1" w:rsidRDefault="007467EC"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ոչ ուշ, քան հանրային քննարկումը սկսելու օրվանից 1 աշխատանքային օր առաջ</w:t>
            </w:r>
          </w:p>
        </w:tc>
      </w:tr>
      <w:tr w:rsidR="001502CF" w:rsidRPr="00D924A1" w:rsidTr="004E0F9B">
        <w:trPr>
          <w:jc w:val="center"/>
        </w:trPr>
        <w:tc>
          <w:tcPr>
            <w:tcW w:w="2412" w:type="dxa"/>
            <w:shd w:val="clear" w:color="auto" w:fill="FFFFFF"/>
          </w:tcPr>
          <w:p w:rsidR="007467EC" w:rsidRPr="00D924A1" w:rsidRDefault="004E0F9B" w:rsidP="004E0F9B">
            <w:pPr>
              <w:pStyle w:val="Bodytext20"/>
              <w:shd w:val="clear" w:color="auto" w:fill="auto"/>
              <w:tabs>
                <w:tab w:val="left" w:pos="525"/>
              </w:tabs>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31.</w:t>
            </w:r>
            <w:r w:rsidRPr="00D924A1">
              <w:rPr>
                <w:rStyle w:val="Bodytext212pt"/>
                <w:rFonts w:ascii="Sylfaen" w:hAnsi="Sylfaen"/>
                <w:sz w:val="20"/>
                <w:szCs w:val="20"/>
              </w:rPr>
              <w:tab/>
            </w:r>
            <w:r w:rsidR="007467EC" w:rsidRPr="00D924A1">
              <w:rPr>
                <w:rStyle w:val="Bodytext212pt"/>
                <w:rFonts w:ascii="Sylfaen" w:hAnsi="Sylfaen"/>
                <w:sz w:val="20"/>
                <w:szCs w:val="20"/>
              </w:rPr>
              <w:t>5.7 հոդված</w:t>
            </w:r>
          </w:p>
        </w:tc>
        <w:tc>
          <w:tcPr>
            <w:tcW w:w="3185" w:type="dxa"/>
            <w:shd w:val="clear" w:color="auto" w:fill="FFFFFF"/>
            <w:vAlign w:val="center"/>
          </w:tcPr>
          <w:p w:rsidR="007467EC" w:rsidRPr="00D924A1" w:rsidRDefault="007467EC"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անհապաղ (միջոցներ ձեռնարկելու օրվանից)</w:t>
            </w:r>
          </w:p>
        </w:tc>
        <w:tc>
          <w:tcPr>
            <w:tcW w:w="5810" w:type="dxa"/>
            <w:shd w:val="clear" w:color="auto" w:fill="FFFFFF"/>
          </w:tcPr>
          <w:p w:rsidR="007467EC" w:rsidRPr="00D924A1" w:rsidRDefault="007467EC" w:rsidP="001502CF">
            <w:pPr>
              <w:pStyle w:val="Bodytext20"/>
              <w:shd w:val="clear" w:color="auto" w:fill="auto"/>
              <w:spacing w:before="0" w:after="120" w:line="240" w:lineRule="auto"/>
              <w:jc w:val="center"/>
              <w:rPr>
                <w:rFonts w:ascii="Sylfaen" w:hAnsi="Sylfaen"/>
                <w:sz w:val="20"/>
                <w:szCs w:val="20"/>
              </w:rPr>
            </w:pPr>
            <w:r w:rsidRPr="00D924A1">
              <w:rPr>
                <w:rStyle w:val="Bodytext212pt"/>
                <w:rFonts w:ascii="Sylfaen" w:hAnsi="Sylfaen"/>
                <w:sz w:val="20"/>
                <w:szCs w:val="20"/>
              </w:rPr>
              <w:t>-"-</w:t>
            </w:r>
          </w:p>
        </w:tc>
        <w:tc>
          <w:tcPr>
            <w:tcW w:w="3865" w:type="dxa"/>
            <w:shd w:val="clear" w:color="auto" w:fill="FFFFFF"/>
            <w:vAlign w:val="center"/>
          </w:tcPr>
          <w:p w:rsidR="007467EC" w:rsidRPr="00D924A1" w:rsidRDefault="007467EC"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 xml:space="preserve">միջոցներ ձեռնարկելու օրվանից </w:t>
            </w:r>
            <w:r w:rsidR="00C57887" w:rsidRPr="00D924A1">
              <w:rPr>
                <w:rStyle w:val="Bodytext212pt"/>
                <w:rFonts w:ascii="Sylfaen" w:hAnsi="Sylfaen"/>
                <w:sz w:val="20"/>
                <w:szCs w:val="20"/>
              </w:rPr>
              <w:t xml:space="preserve">ոչ ուշ, քան </w:t>
            </w:r>
            <w:r w:rsidRPr="00D924A1">
              <w:rPr>
                <w:rStyle w:val="Bodytext212pt"/>
                <w:rFonts w:ascii="Sylfaen" w:hAnsi="Sylfaen"/>
                <w:sz w:val="20"/>
                <w:szCs w:val="20"/>
              </w:rPr>
              <w:t>1 աշխատանքային օրվա</w:t>
            </w:r>
            <w:r w:rsidR="00C57887" w:rsidRPr="00D924A1">
              <w:rPr>
                <w:rStyle w:val="Bodytext212pt"/>
                <w:rFonts w:ascii="Sylfaen" w:hAnsi="Sylfaen"/>
                <w:sz w:val="20"/>
                <w:szCs w:val="20"/>
              </w:rPr>
              <w:t xml:space="preserve"> ընթացքում</w:t>
            </w:r>
            <w:r w:rsidRPr="00D924A1">
              <w:rPr>
                <w:rStyle w:val="Bodytext212pt"/>
                <w:rFonts w:ascii="Sylfaen" w:hAnsi="Sylfaen"/>
                <w:sz w:val="20"/>
                <w:szCs w:val="20"/>
              </w:rPr>
              <w:t xml:space="preserve"> </w:t>
            </w:r>
          </w:p>
        </w:tc>
      </w:tr>
      <w:tr w:rsidR="001502CF" w:rsidRPr="00D924A1" w:rsidTr="004E0F9B">
        <w:trPr>
          <w:jc w:val="center"/>
        </w:trPr>
        <w:tc>
          <w:tcPr>
            <w:tcW w:w="2412" w:type="dxa"/>
            <w:shd w:val="clear" w:color="auto" w:fill="FFFFFF"/>
          </w:tcPr>
          <w:p w:rsidR="007467EC" w:rsidRPr="00D924A1" w:rsidRDefault="004E0F9B" w:rsidP="004E0F9B">
            <w:pPr>
              <w:pStyle w:val="Bodytext20"/>
              <w:shd w:val="clear" w:color="auto" w:fill="auto"/>
              <w:tabs>
                <w:tab w:val="left" w:pos="525"/>
              </w:tabs>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32.</w:t>
            </w:r>
            <w:r w:rsidRPr="00D924A1">
              <w:rPr>
                <w:rStyle w:val="Bodytext212pt"/>
                <w:rFonts w:ascii="Sylfaen" w:hAnsi="Sylfaen"/>
                <w:sz w:val="20"/>
                <w:szCs w:val="20"/>
              </w:rPr>
              <w:tab/>
            </w:r>
            <w:r w:rsidR="007467EC" w:rsidRPr="00D924A1">
              <w:rPr>
                <w:rStyle w:val="Bodytext212pt"/>
                <w:rFonts w:ascii="Sylfaen" w:hAnsi="Sylfaen"/>
                <w:sz w:val="20"/>
                <w:szCs w:val="20"/>
              </w:rPr>
              <w:t>10.7 հոդված</w:t>
            </w:r>
          </w:p>
        </w:tc>
        <w:tc>
          <w:tcPr>
            <w:tcW w:w="3185" w:type="dxa"/>
            <w:shd w:val="clear" w:color="auto" w:fill="FFFFFF"/>
          </w:tcPr>
          <w:p w:rsidR="007467EC" w:rsidRPr="00D924A1" w:rsidRDefault="007467EC"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անհապաղ</w:t>
            </w:r>
          </w:p>
        </w:tc>
        <w:tc>
          <w:tcPr>
            <w:tcW w:w="5810" w:type="dxa"/>
            <w:shd w:val="clear" w:color="auto" w:fill="FFFFFF"/>
            <w:vAlign w:val="bottom"/>
          </w:tcPr>
          <w:p w:rsidR="007467EC" w:rsidRPr="00D924A1" w:rsidRDefault="007467EC" w:rsidP="001502CF">
            <w:pPr>
              <w:pStyle w:val="Bodytext20"/>
              <w:shd w:val="clear" w:color="auto" w:fill="auto"/>
              <w:spacing w:before="0" w:after="120" w:line="240" w:lineRule="auto"/>
              <w:ind w:left="22" w:right="46"/>
              <w:jc w:val="left"/>
              <w:rPr>
                <w:rFonts w:ascii="Sylfaen" w:hAnsi="Sylfaen"/>
                <w:sz w:val="20"/>
                <w:szCs w:val="20"/>
              </w:rPr>
            </w:pPr>
            <w:r w:rsidRPr="00D924A1">
              <w:rPr>
                <w:rStyle w:val="Bodytext212pt"/>
                <w:rFonts w:ascii="Sylfaen" w:hAnsi="Sylfaen"/>
                <w:sz w:val="20"/>
                <w:szCs w:val="20"/>
              </w:rPr>
              <w:t xml:space="preserve">ապրանքների վերաբերյալ տեղեկությունների մասին՝ </w:t>
            </w:r>
            <w:r w:rsidR="006940A2" w:rsidRPr="00D924A1">
              <w:rPr>
                <w:rStyle w:val="Bodytext212pt"/>
                <w:rFonts w:ascii="Sylfaen" w:hAnsi="Sylfaen"/>
                <w:sz w:val="20"/>
                <w:szCs w:val="20"/>
              </w:rPr>
              <w:t xml:space="preserve">ցանկացած այլ երկրի կամ երկրների հետ </w:t>
            </w:r>
            <w:r w:rsidRPr="00D924A1">
              <w:rPr>
                <w:rStyle w:val="Bodytext212pt"/>
                <w:rFonts w:ascii="Sylfaen" w:hAnsi="Sylfaen"/>
                <w:sz w:val="20"/>
                <w:szCs w:val="20"/>
              </w:rPr>
              <w:t>այն տեխնիկական կանոնակարգերի, ստանդարտների կամ համապատասխանության գնահատման ընթացակարգերի հետ կապված հարց</w:t>
            </w:r>
            <w:r w:rsidR="00551BE2" w:rsidRPr="00D924A1">
              <w:rPr>
                <w:rStyle w:val="Bodytext212pt"/>
                <w:rFonts w:ascii="Sylfaen" w:hAnsi="Sylfaen"/>
                <w:sz w:val="20"/>
                <w:szCs w:val="20"/>
              </w:rPr>
              <w:t>եր</w:t>
            </w:r>
            <w:r w:rsidRPr="00D924A1">
              <w:rPr>
                <w:rStyle w:val="Bodytext212pt"/>
                <w:rFonts w:ascii="Sylfaen" w:hAnsi="Sylfaen"/>
                <w:sz w:val="20"/>
                <w:szCs w:val="20"/>
              </w:rPr>
              <w:t>ի շուրջ պայմանավորվածության համաձայն, որոնք կարող են էական ազդեցություն ունենալ առ</w:t>
            </w:r>
            <w:r w:rsidR="001502CF" w:rsidRPr="00D924A1">
              <w:rPr>
                <w:rStyle w:val="Bodytext212pt"/>
                <w:rFonts w:ascii="Sylfaen" w:hAnsi="Sylfaen"/>
                <w:sz w:val="20"/>
                <w:szCs w:val="20"/>
              </w:rPr>
              <w:t>եւ</w:t>
            </w:r>
            <w:r w:rsidRPr="00D924A1">
              <w:rPr>
                <w:rStyle w:val="Bodytext212pt"/>
                <w:rFonts w:ascii="Sylfaen" w:hAnsi="Sylfaen"/>
                <w:sz w:val="20"/>
                <w:szCs w:val="20"/>
              </w:rPr>
              <w:t>տրի վրա, ինչպես նա</w:t>
            </w:r>
            <w:r w:rsidR="001502CF" w:rsidRPr="00D924A1">
              <w:rPr>
                <w:rStyle w:val="Bodytext212pt"/>
                <w:rFonts w:ascii="Sylfaen" w:hAnsi="Sylfaen"/>
                <w:sz w:val="20"/>
                <w:szCs w:val="20"/>
              </w:rPr>
              <w:t>եւ</w:t>
            </w:r>
            <w:r w:rsidRPr="00D924A1">
              <w:rPr>
                <w:rStyle w:val="Bodytext212pt"/>
                <w:rFonts w:ascii="Sylfaen" w:hAnsi="Sylfaen"/>
                <w:sz w:val="20"/>
                <w:szCs w:val="20"/>
              </w:rPr>
              <w:t xml:space="preserve"> այդ պայմանավորվածության նկարագրությունը</w:t>
            </w:r>
          </w:p>
        </w:tc>
        <w:tc>
          <w:tcPr>
            <w:tcW w:w="3865" w:type="dxa"/>
            <w:shd w:val="clear" w:color="auto" w:fill="FFFFFF"/>
          </w:tcPr>
          <w:p w:rsidR="007467EC" w:rsidRPr="00D924A1" w:rsidRDefault="007467EC" w:rsidP="001502CF">
            <w:pPr>
              <w:pStyle w:val="Bodytext20"/>
              <w:shd w:val="clear" w:color="auto" w:fill="auto"/>
              <w:spacing w:before="0" w:after="120" w:line="240" w:lineRule="auto"/>
              <w:ind w:left="22" w:right="46"/>
              <w:jc w:val="left"/>
              <w:rPr>
                <w:rStyle w:val="Bodytext212pt"/>
                <w:rFonts w:ascii="Sylfaen" w:hAnsi="Sylfaen"/>
                <w:sz w:val="20"/>
                <w:szCs w:val="20"/>
              </w:rPr>
            </w:pPr>
            <w:r w:rsidRPr="00D924A1">
              <w:rPr>
                <w:rStyle w:val="Bodytext212pt"/>
                <w:rFonts w:ascii="Sylfaen" w:hAnsi="Sylfaen"/>
                <w:sz w:val="20"/>
                <w:szCs w:val="20"/>
              </w:rPr>
              <w:t>Միության անդամ պետությունների հետ համաձայնությամբ</w:t>
            </w:r>
          </w:p>
        </w:tc>
      </w:tr>
    </w:tbl>
    <w:p w:rsidR="00486467" w:rsidRPr="00D924A1" w:rsidRDefault="00486467" w:rsidP="001502CF">
      <w:pPr>
        <w:pStyle w:val="Bodytext40"/>
        <w:shd w:val="clear" w:color="auto" w:fill="auto"/>
        <w:spacing w:after="160" w:line="360" w:lineRule="auto"/>
        <w:jc w:val="both"/>
        <w:rPr>
          <w:rFonts w:ascii="Sylfaen" w:hAnsi="Sylfaen"/>
          <w:lang w:val="en-US"/>
        </w:rPr>
      </w:pPr>
    </w:p>
    <w:p w:rsidR="004E0F9B" w:rsidRPr="004E0F9B" w:rsidRDefault="004E0F9B" w:rsidP="004E0F9B">
      <w:pPr>
        <w:pStyle w:val="Bodytext40"/>
        <w:shd w:val="clear" w:color="auto" w:fill="auto"/>
        <w:spacing w:after="160" w:line="360" w:lineRule="auto"/>
        <w:jc w:val="center"/>
        <w:rPr>
          <w:rFonts w:ascii="Sylfaen" w:hAnsi="Sylfaen"/>
          <w:lang w:val="en-US"/>
        </w:rPr>
      </w:pPr>
      <w:r w:rsidRPr="00D924A1">
        <w:rPr>
          <w:rFonts w:ascii="Sylfaen" w:hAnsi="Sylfaen"/>
          <w:lang w:val="en-US"/>
        </w:rPr>
        <w:t>_________________</w:t>
      </w:r>
    </w:p>
    <w:sectPr w:rsidR="004E0F9B" w:rsidRPr="004E0F9B" w:rsidSect="00A4708C">
      <w:pgSz w:w="16839" w:h="11907" w:orient="landscape" w:code="9"/>
      <w:pgMar w:top="1418" w:right="1418" w:bottom="1418" w:left="1418" w:header="0" w:footer="502"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BB2" w:rsidRDefault="00811BB2" w:rsidP="00486467">
      <w:r>
        <w:separator/>
      </w:r>
    </w:p>
  </w:endnote>
  <w:endnote w:type="continuationSeparator" w:id="0">
    <w:p w:rsidR="00811BB2" w:rsidRDefault="00811BB2" w:rsidP="0048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6626"/>
      <w:docPartObj>
        <w:docPartGallery w:val="Page Numbers (Bottom of Page)"/>
        <w:docPartUnique/>
      </w:docPartObj>
    </w:sdtPr>
    <w:sdtEndPr/>
    <w:sdtContent>
      <w:p w:rsidR="00A4708C" w:rsidRDefault="00811BB2">
        <w:pPr>
          <w:pStyle w:val="Footer"/>
          <w:jc w:val="center"/>
        </w:pPr>
        <w:r>
          <w:fldChar w:fldCharType="begin"/>
        </w:r>
        <w:r>
          <w:instrText xml:space="preserve"> PAGE   \* MERGEFORMAT </w:instrText>
        </w:r>
        <w:r>
          <w:fldChar w:fldCharType="separate"/>
        </w:r>
        <w:r w:rsidR="0000396C">
          <w:rPr>
            <w:noProof/>
          </w:rPr>
          <w:t>10</w:t>
        </w:r>
        <w:r>
          <w:rPr>
            <w:noProof/>
          </w:rPr>
          <w:fldChar w:fldCharType="end"/>
        </w:r>
      </w:p>
    </w:sdtContent>
  </w:sdt>
  <w:p w:rsidR="00A4708C" w:rsidRDefault="00A470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BB2" w:rsidRDefault="00811BB2"/>
  </w:footnote>
  <w:footnote w:type="continuationSeparator" w:id="0">
    <w:p w:rsidR="00811BB2" w:rsidRDefault="00811BB2"/>
  </w:footnote>
  <w:footnote w:id="1">
    <w:p w:rsidR="004E0F9B" w:rsidRPr="004E0F9B" w:rsidRDefault="004E0F9B" w:rsidP="004E0F9B">
      <w:pPr>
        <w:pStyle w:val="FootnoteText"/>
        <w:jc w:val="both"/>
        <w:rPr>
          <w:sz w:val="16"/>
          <w:szCs w:val="16"/>
        </w:rPr>
      </w:pPr>
      <w:r w:rsidRPr="004E0F9B">
        <w:rPr>
          <w:rStyle w:val="FootnoteReference"/>
        </w:rPr>
        <w:sym w:font="Symbol" w:char="F02A"/>
      </w:r>
      <w:r>
        <w:t xml:space="preserve"> </w:t>
      </w:r>
      <w:r w:rsidRPr="004E0F9B">
        <w:rPr>
          <w:sz w:val="16"/>
          <w:szCs w:val="16"/>
        </w:rPr>
        <w:t>Ծանուցման նախագծի պատրաստումն իրականացվում է լիազորված մարմինների կառուցվածքային ստորաբաժանման կողմից։ Հանձնաժողովն իրականացնում է բազային տեղեկությունների պատրաստում, որով ենթադրվում է տեղեկությունների պատրաստում Միության մակարդակով։</w:t>
      </w:r>
    </w:p>
  </w:footnote>
  <w:footnote w:id="2">
    <w:p w:rsidR="004E0F9B" w:rsidRPr="004E0F9B" w:rsidRDefault="004E0F9B" w:rsidP="004E0F9B">
      <w:pPr>
        <w:pStyle w:val="FootnoteText"/>
        <w:jc w:val="both"/>
      </w:pPr>
      <w:r w:rsidRPr="004E0F9B">
        <w:rPr>
          <w:rStyle w:val="FootnoteReference"/>
        </w:rPr>
        <w:sym w:font="Symbol" w:char="F02A"/>
      </w:r>
      <w:r w:rsidRPr="004E0F9B">
        <w:rPr>
          <w:rStyle w:val="FootnoteReference"/>
        </w:rPr>
        <w:sym w:font="Symbol" w:char="F02A"/>
      </w:r>
      <w:r>
        <w:t xml:space="preserve"> </w:t>
      </w:r>
      <w:r w:rsidRPr="004E0F9B">
        <w:rPr>
          <w:sz w:val="16"/>
          <w:szCs w:val="16"/>
        </w:rPr>
        <w:t>Բազային տեղեկությունները ներառում են Եվրասիական տնտեսական միության միասնական մաքսային սակագնի՝ ներմուծման մաքսատուրքերի դրույքաչափերի վերաբերյալ առանձին ներկայացվող տվյալներ, որոնց նկատմամբ Միության առանձին անդամ պետությունների կողմից կիրառվում են Եվրասիական տնտեսական միության միասնական մաքսային սակագնով սահմանված տուրքերի դրույքաչափերից եւ այդ դրույքաչափերի չափերից տարբերվող՝ ներմուծման մաքսատուրքերի դրույքաչափեր։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1266"/>
    <w:multiLevelType w:val="multilevel"/>
    <w:tmpl w:val="DB5E5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BC52C9"/>
    <w:multiLevelType w:val="multilevel"/>
    <w:tmpl w:val="8378F0E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486467"/>
    <w:rsid w:val="0000396C"/>
    <w:rsid w:val="0000586A"/>
    <w:rsid w:val="00010895"/>
    <w:rsid w:val="00016016"/>
    <w:rsid w:val="00021146"/>
    <w:rsid w:val="0003040B"/>
    <w:rsid w:val="00035993"/>
    <w:rsid w:val="00043700"/>
    <w:rsid w:val="00043873"/>
    <w:rsid w:val="00051243"/>
    <w:rsid w:val="000513E4"/>
    <w:rsid w:val="0005142F"/>
    <w:rsid w:val="00066A21"/>
    <w:rsid w:val="00072144"/>
    <w:rsid w:val="00075C3E"/>
    <w:rsid w:val="00092C79"/>
    <w:rsid w:val="000952AE"/>
    <w:rsid w:val="00097D64"/>
    <w:rsid w:val="000A20A4"/>
    <w:rsid w:val="000B28B4"/>
    <w:rsid w:val="000B6194"/>
    <w:rsid w:val="000B70C6"/>
    <w:rsid w:val="000C3ED5"/>
    <w:rsid w:val="000D0660"/>
    <w:rsid w:val="000D5722"/>
    <w:rsid w:val="000D6BA1"/>
    <w:rsid w:val="000D7FCF"/>
    <w:rsid w:val="000E01B4"/>
    <w:rsid w:val="000E0C94"/>
    <w:rsid w:val="000E3756"/>
    <w:rsid w:val="000E3AE8"/>
    <w:rsid w:val="000E4658"/>
    <w:rsid w:val="000F0488"/>
    <w:rsid w:val="000F3C26"/>
    <w:rsid w:val="000F4A9F"/>
    <w:rsid w:val="000F6F0D"/>
    <w:rsid w:val="00100AC7"/>
    <w:rsid w:val="00112C73"/>
    <w:rsid w:val="00116B28"/>
    <w:rsid w:val="00136596"/>
    <w:rsid w:val="00137768"/>
    <w:rsid w:val="001426A3"/>
    <w:rsid w:val="00143ED8"/>
    <w:rsid w:val="0014413D"/>
    <w:rsid w:val="001502CF"/>
    <w:rsid w:val="00150B7F"/>
    <w:rsid w:val="00160534"/>
    <w:rsid w:val="0016767D"/>
    <w:rsid w:val="00170655"/>
    <w:rsid w:val="00176FAB"/>
    <w:rsid w:val="001804BF"/>
    <w:rsid w:val="00187180"/>
    <w:rsid w:val="001903C2"/>
    <w:rsid w:val="00190B79"/>
    <w:rsid w:val="001927A6"/>
    <w:rsid w:val="00194F88"/>
    <w:rsid w:val="00196610"/>
    <w:rsid w:val="001B087D"/>
    <w:rsid w:val="001B0CF7"/>
    <w:rsid w:val="001C25D3"/>
    <w:rsid w:val="001C7523"/>
    <w:rsid w:val="001D1FBD"/>
    <w:rsid w:val="001D2D83"/>
    <w:rsid w:val="001D598E"/>
    <w:rsid w:val="001D710C"/>
    <w:rsid w:val="001E54F3"/>
    <w:rsid w:val="001E5D0F"/>
    <w:rsid w:val="001E78D5"/>
    <w:rsid w:val="00203B0E"/>
    <w:rsid w:val="0020763E"/>
    <w:rsid w:val="00210234"/>
    <w:rsid w:val="0021460C"/>
    <w:rsid w:val="0021466B"/>
    <w:rsid w:val="002342D0"/>
    <w:rsid w:val="00241770"/>
    <w:rsid w:val="002456DE"/>
    <w:rsid w:val="00251A27"/>
    <w:rsid w:val="00251C1C"/>
    <w:rsid w:val="0025613C"/>
    <w:rsid w:val="0025718A"/>
    <w:rsid w:val="00261124"/>
    <w:rsid w:val="002666D0"/>
    <w:rsid w:val="00275FA9"/>
    <w:rsid w:val="002872D2"/>
    <w:rsid w:val="0029484B"/>
    <w:rsid w:val="00294AF9"/>
    <w:rsid w:val="002A155F"/>
    <w:rsid w:val="002A3FAB"/>
    <w:rsid w:val="002A4CF8"/>
    <w:rsid w:val="002B1B27"/>
    <w:rsid w:val="002B2903"/>
    <w:rsid w:val="002C0A09"/>
    <w:rsid w:val="002C2904"/>
    <w:rsid w:val="002C3552"/>
    <w:rsid w:val="002C567E"/>
    <w:rsid w:val="002D3996"/>
    <w:rsid w:val="002E072C"/>
    <w:rsid w:val="002F703A"/>
    <w:rsid w:val="00302E5E"/>
    <w:rsid w:val="00305A0B"/>
    <w:rsid w:val="00316550"/>
    <w:rsid w:val="00317BA6"/>
    <w:rsid w:val="00326458"/>
    <w:rsid w:val="0032730C"/>
    <w:rsid w:val="003317EC"/>
    <w:rsid w:val="003342EF"/>
    <w:rsid w:val="00336540"/>
    <w:rsid w:val="00346547"/>
    <w:rsid w:val="003519A5"/>
    <w:rsid w:val="00357084"/>
    <w:rsid w:val="003629C8"/>
    <w:rsid w:val="00365180"/>
    <w:rsid w:val="00370F1B"/>
    <w:rsid w:val="00372F7A"/>
    <w:rsid w:val="003749E8"/>
    <w:rsid w:val="003804AE"/>
    <w:rsid w:val="003806D4"/>
    <w:rsid w:val="00382618"/>
    <w:rsid w:val="00384FDC"/>
    <w:rsid w:val="003878E4"/>
    <w:rsid w:val="003925A3"/>
    <w:rsid w:val="003B69C7"/>
    <w:rsid w:val="003D5C2B"/>
    <w:rsid w:val="003F1E63"/>
    <w:rsid w:val="003F680A"/>
    <w:rsid w:val="00411FD1"/>
    <w:rsid w:val="0041347C"/>
    <w:rsid w:val="00422870"/>
    <w:rsid w:val="00422E99"/>
    <w:rsid w:val="00423947"/>
    <w:rsid w:val="00424CD0"/>
    <w:rsid w:val="00427E16"/>
    <w:rsid w:val="004330E9"/>
    <w:rsid w:val="004354B8"/>
    <w:rsid w:val="0043645D"/>
    <w:rsid w:val="00436CBA"/>
    <w:rsid w:val="00442BAC"/>
    <w:rsid w:val="00443868"/>
    <w:rsid w:val="00447A3A"/>
    <w:rsid w:val="00453FF9"/>
    <w:rsid w:val="004553A7"/>
    <w:rsid w:val="0046621F"/>
    <w:rsid w:val="00480AC9"/>
    <w:rsid w:val="00481AA0"/>
    <w:rsid w:val="00484161"/>
    <w:rsid w:val="00486467"/>
    <w:rsid w:val="00487D05"/>
    <w:rsid w:val="0049522B"/>
    <w:rsid w:val="00495AEE"/>
    <w:rsid w:val="00496125"/>
    <w:rsid w:val="004A5543"/>
    <w:rsid w:val="004B20F8"/>
    <w:rsid w:val="004B6909"/>
    <w:rsid w:val="004B7D0B"/>
    <w:rsid w:val="004C1A48"/>
    <w:rsid w:val="004C3269"/>
    <w:rsid w:val="004C6B17"/>
    <w:rsid w:val="004D19B3"/>
    <w:rsid w:val="004D5D14"/>
    <w:rsid w:val="004D7F34"/>
    <w:rsid w:val="004E0F9B"/>
    <w:rsid w:val="004F234B"/>
    <w:rsid w:val="004F7077"/>
    <w:rsid w:val="005104F3"/>
    <w:rsid w:val="00510B21"/>
    <w:rsid w:val="00523F93"/>
    <w:rsid w:val="00532AA6"/>
    <w:rsid w:val="00534040"/>
    <w:rsid w:val="00534F54"/>
    <w:rsid w:val="0053713F"/>
    <w:rsid w:val="0053727B"/>
    <w:rsid w:val="00542ACC"/>
    <w:rsid w:val="00543350"/>
    <w:rsid w:val="00551BE2"/>
    <w:rsid w:val="00555BC2"/>
    <w:rsid w:val="00560393"/>
    <w:rsid w:val="00564DFD"/>
    <w:rsid w:val="00565306"/>
    <w:rsid w:val="005667B7"/>
    <w:rsid w:val="00575B8A"/>
    <w:rsid w:val="00582A2F"/>
    <w:rsid w:val="00583153"/>
    <w:rsid w:val="00590D45"/>
    <w:rsid w:val="00593B53"/>
    <w:rsid w:val="005A6089"/>
    <w:rsid w:val="005B15FE"/>
    <w:rsid w:val="005C0966"/>
    <w:rsid w:val="005C40DC"/>
    <w:rsid w:val="005D19D9"/>
    <w:rsid w:val="005D3A42"/>
    <w:rsid w:val="005E0EBA"/>
    <w:rsid w:val="005E4E0A"/>
    <w:rsid w:val="005F0BBD"/>
    <w:rsid w:val="005F21FA"/>
    <w:rsid w:val="005F3E7F"/>
    <w:rsid w:val="005F4B28"/>
    <w:rsid w:val="005F54B7"/>
    <w:rsid w:val="00600812"/>
    <w:rsid w:val="00602405"/>
    <w:rsid w:val="0061617B"/>
    <w:rsid w:val="006172B1"/>
    <w:rsid w:val="00620BE3"/>
    <w:rsid w:val="00622876"/>
    <w:rsid w:val="00625B1E"/>
    <w:rsid w:val="0062625A"/>
    <w:rsid w:val="00626926"/>
    <w:rsid w:val="00635ED2"/>
    <w:rsid w:val="00641588"/>
    <w:rsid w:val="00643F96"/>
    <w:rsid w:val="00645056"/>
    <w:rsid w:val="0065071E"/>
    <w:rsid w:val="0065418F"/>
    <w:rsid w:val="00660ECF"/>
    <w:rsid w:val="00661C57"/>
    <w:rsid w:val="00665987"/>
    <w:rsid w:val="0067122C"/>
    <w:rsid w:val="0067364F"/>
    <w:rsid w:val="006751D8"/>
    <w:rsid w:val="006764B5"/>
    <w:rsid w:val="00685E7F"/>
    <w:rsid w:val="0068761B"/>
    <w:rsid w:val="00691708"/>
    <w:rsid w:val="006940A2"/>
    <w:rsid w:val="006A1239"/>
    <w:rsid w:val="006A25C6"/>
    <w:rsid w:val="006C041B"/>
    <w:rsid w:val="006C70C7"/>
    <w:rsid w:val="006D477A"/>
    <w:rsid w:val="006D4E88"/>
    <w:rsid w:val="006D666B"/>
    <w:rsid w:val="006E079A"/>
    <w:rsid w:val="006E6845"/>
    <w:rsid w:val="006E7ED2"/>
    <w:rsid w:val="0070025C"/>
    <w:rsid w:val="00705177"/>
    <w:rsid w:val="0071138F"/>
    <w:rsid w:val="00714B92"/>
    <w:rsid w:val="00716D24"/>
    <w:rsid w:val="0072610C"/>
    <w:rsid w:val="00726DC2"/>
    <w:rsid w:val="00727F9B"/>
    <w:rsid w:val="00730DB6"/>
    <w:rsid w:val="007316FE"/>
    <w:rsid w:val="0074593E"/>
    <w:rsid w:val="007467EC"/>
    <w:rsid w:val="00771CDF"/>
    <w:rsid w:val="00774062"/>
    <w:rsid w:val="00780BDF"/>
    <w:rsid w:val="00786203"/>
    <w:rsid w:val="00796C89"/>
    <w:rsid w:val="00797810"/>
    <w:rsid w:val="007A109F"/>
    <w:rsid w:val="007B0415"/>
    <w:rsid w:val="007B1554"/>
    <w:rsid w:val="007B2B03"/>
    <w:rsid w:val="007B3178"/>
    <w:rsid w:val="007C1065"/>
    <w:rsid w:val="007C6EDA"/>
    <w:rsid w:val="007D3BE8"/>
    <w:rsid w:val="007D6F68"/>
    <w:rsid w:val="007E3426"/>
    <w:rsid w:val="007E3DC4"/>
    <w:rsid w:val="007E5E58"/>
    <w:rsid w:val="007F1DFD"/>
    <w:rsid w:val="007F2252"/>
    <w:rsid w:val="0080322F"/>
    <w:rsid w:val="00811BB2"/>
    <w:rsid w:val="008135A6"/>
    <w:rsid w:val="008279EE"/>
    <w:rsid w:val="008316BB"/>
    <w:rsid w:val="00832639"/>
    <w:rsid w:val="0083493A"/>
    <w:rsid w:val="00836356"/>
    <w:rsid w:val="00843BCF"/>
    <w:rsid w:val="008463DC"/>
    <w:rsid w:val="00853405"/>
    <w:rsid w:val="00854370"/>
    <w:rsid w:val="00854528"/>
    <w:rsid w:val="00864CDA"/>
    <w:rsid w:val="0086700F"/>
    <w:rsid w:val="00867A6F"/>
    <w:rsid w:val="0087098E"/>
    <w:rsid w:val="0088621D"/>
    <w:rsid w:val="0088691D"/>
    <w:rsid w:val="00890433"/>
    <w:rsid w:val="008A3585"/>
    <w:rsid w:val="008A4931"/>
    <w:rsid w:val="008A4D0A"/>
    <w:rsid w:val="008B4F21"/>
    <w:rsid w:val="008C257C"/>
    <w:rsid w:val="008C472D"/>
    <w:rsid w:val="008C642A"/>
    <w:rsid w:val="008C6C2D"/>
    <w:rsid w:val="008D05AB"/>
    <w:rsid w:val="008D1B6D"/>
    <w:rsid w:val="008D3F73"/>
    <w:rsid w:val="008E5872"/>
    <w:rsid w:val="008F298B"/>
    <w:rsid w:val="0090035C"/>
    <w:rsid w:val="00901679"/>
    <w:rsid w:val="00902464"/>
    <w:rsid w:val="0091068C"/>
    <w:rsid w:val="00911716"/>
    <w:rsid w:val="009117EC"/>
    <w:rsid w:val="00912068"/>
    <w:rsid w:val="00915FD7"/>
    <w:rsid w:val="00930349"/>
    <w:rsid w:val="009326AA"/>
    <w:rsid w:val="00934F23"/>
    <w:rsid w:val="00942D75"/>
    <w:rsid w:val="00951824"/>
    <w:rsid w:val="00956B54"/>
    <w:rsid w:val="00967AB4"/>
    <w:rsid w:val="00975941"/>
    <w:rsid w:val="0098503F"/>
    <w:rsid w:val="00990323"/>
    <w:rsid w:val="009941D2"/>
    <w:rsid w:val="00996C98"/>
    <w:rsid w:val="009A14A1"/>
    <w:rsid w:val="009B60D4"/>
    <w:rsid w:val="009B7976"/>
    <w:rsid w:val="009D620E"/>
    <w:rsid w:val="009E1C7F"/>
    <w:rsid w:val="009E68C0"/>
    <w:rsid w:val="009F181A"/>
    <w:rsid w:val="009F564F"/>
    <w:rsid w:val="00A01AFB"/>
    <w:rsid w:val="00A02E48"/>
    <w:rsid w:val="00A11265"/>
    <w:rsid w:val="00A12F3F"/>
    <w:rsid w:val="00A13DAC"/>
    <w:rsid w:val="00A26A3E"/>
    <w:rsid w:val="00A31688"/>
    <w:rsid w:val="00A367AB"/>
    <w:rsid w:val="00A403CA"/>
    <w:rsid w:val="00A43AC4"/>
    <w:rsid w:val="00A45316"/>
    <w:rsid w:val="00A45FCF"/>
    <w:rsid w:val="00A4708C"/>
    <w:rsid w:val="00A47C49"/>
    <w:rsid w:val="00A534FA"/>
    <w:rsid w:val="00A57A32"/>
    <w:rsid w:val="00A660DC"/>
    <w:rsid w:val="00A667E6"/>
    <w:rsid w:val="00A7098A"/>
    <w:rsid w:val="00A73405"/>
    <w:rsid w:val="00A73BF9"/>
    <w:rsid w:val="00A74DC9"/>
    <w:rsid w:val="00A8033D"/>
    <w:rsid w:val="00A815E9"/>
    <w:rsid w:val="00A81D0E"/>
    <w:rsid w:val="00A868B6"/>
    <w:rsid w:val="00AA7BA1"/>
    <w:rsid w:val="00AB5096"/>
    <w:rsid w:val="00AC569B"/>
    <w:rsid w:val="00AD5E2C"/>
    <w:rsid w:val="00AE0906"/>
    <w:rsid w:val="00AE5806"/>
    <w:rsid w:val="00AE723C"/>
    <w:rsid w:val="00B00C48"/>
    <w:rsid w:val="00B01590"/>
    <w:rsid w:val="00B07075"/>
    <w:rsid w:val="00B10216"/>
    <w:rsid w:val="00B12D79"/>
    <w:rsid w:val="00B1554B"/>
    <w:rsid w:val="00B15965"/>
    <w:rsid w:val="00B36239"/>
    <w:rsid w:val="00B4555E"/>
    <w:rsid w:val="00B603F5"/>
    <w:rsid w:val="00B62B2A"/>
    <w:rsid w:val="00B74880"/>
    <w:rsid w:val="00B75B8D"/>
    <w:rsid w:val="00B840A7"/>
    <w:rsid w:val="00B87315"/>
    <w:rsid w:val="00B90464"/>
    <w:rsid w:val="00B933E6"/>
    <w:rsid w:val="00BA00AB"/>
    <w:rsid w:val="00BA1058"/>
    <w:rsid w:val="00BA1992"/>
    <w:rsid w:val="00BA1EAD"/>
    <w:rsid w:val="00BA3542"/>
    <w:rsid w:val="00BA51E2"/>
    <w:rsid w:val="00BB1D08"/>
    <w:rsid w:val="00BB20DE"/>
    <w:rsid w:val="00BB340F"/>
    <w:rsid w:val="00BB5918"/>
    <w:rsid w:val="00BB6BBF"/>
    <w:rsid w:val="00BB74FE"/>
    <w:rsid w:val="00BC1F08"/>
    <w:rsid w:val="00BC635F"/>
    <w:rsid w:val="00BD4289"/>
    <w:rsid w:val="00BE2512"/>
    <w:rsid w:val="00BE44B1"/>
    <w:rsid w:val="00BF5A93"/>
    <w:rsid w:val="00C06766"/>
    <w:rsid w:val="00C069B1"/>
    <w:rsid w:val="00C26BD7"/>
    <w:rsid w:val="00C3152F"/>
    <w:rsid w:val="00C3183C"/>
    <w:rsid w:val="00C34C34"/>
    <w:rsid w:val="00C34F47"/>
    <w:rsid w:val="00C402FC"/>
    <w:rsid w:val="00C42E74"/>
    <w:rsid w:val="00C45EF6"/>
    <w:rsid w:val="00C57887"/>
    <w:rsid w:val="00C63CDA"/>
    <w:rsid w:val="00C83D44"/>
    <w:rsid w:val="00C92323"/>
    <w:rsid w:val="00C92F83"/>
    <w:rsid w:val="00C967F1"/>
    <w:rsid w:val="00CA038E"/>
    <w:rsid w:val="00CA6254"/>
    <w:rsid w:val="00CB1FDA"/>
    <w:rsid w:val="00CB3C28"/>
    <w:rsid w:val="00CB6430"/>
    <w:rsid w:val="00CD1D9E"/>
    <w:rsid w:val="00CE7027"/>
    <w:rsid w:val="00CE70A0"/>
    <w:rsid w:val="00CF20A5"/>
    <w:rsid w:val="00D05782"/>
    <w:rsid w:val="00D17D6A"/>
    <w:rsid w:val="00D249F2"/>
    <w:rsid w:val="00D26D38"/>
    <w:rsid w:val="00D44A7C"/>
    <w:rsid w:val="00D478BA"/>
    <w:rsid w:val="00D47BB6"/>
    <w:rsid w:val="00D52AF1"/>
    <w:rsid w:val="00D6297B"/>
    <w:rsid w:val="00D748BD"/>
    <w:rsid w:val="00D81140"/>
    <w:rsid w:val="00D90DA5"/>
    <w:rsid w:val="00D924A1"/>
    <w:rsid w:val="00D92B39"/>
    <w:rsid w:val="00D9397B"/>
    <w:rsid w:val="00D946D0"/>
    <w:rsid w:val="00DA02B3"/>
    <w:rsid w:val="00DA1937"/>
    <w:rsid w:val="00DA2FB7"/>
    <w:rsid w:val="00DA5BCC"/>
    <w:rsid w:val="00DB0772"/>
    <w:rsid w:val="00DB09A1"/>
    <w:rsid w:val="00DB177F"/>
    <w:rsid w:val="00DB2928"/>
    <w:rsid w:val="00DB60DE"/>
    <w:rsid w:val="00DB7BBF"/>
    <w:rsid w:val="00DC355D"/>
    <w:rsid w:val="00DC6319"/>
    <w:rsid w:val="00DE2644"/>
    <w:rsid w:val="00DE2DB7"/>
    <w:rsid w:val="00DE397C"/>
    <w:rsid w:val="00DE3D52"/>
    <w:rsid w:val="00DE6282"/>
    <w:rsid w:val="00E002A4"/>
    <w:rsid w:val="00E05F4D"/>
    <w:rsid w:val="00E06287"/>
    <w:rsid w:val="00E10B02"/>
    <w:rsid w:val="00E22803"/>
    <w:rsid w:val="00E30111"/>
    <w:rsid w:val="00E340EA"/>
    <w:rsid w:val="00E371DA"/>
    <w:rsid w:val="00E455EC"/>
    <w:rsid w:val="00E528AE"/>
    <w:rsid w:val="00E60F99"/>
    <w:rsid w:val="00E60FEB"/>
    <w:rsid w:val="00E631F9"/>
    <w:rsid w:val="00E652A3"/>
    <w:rsid w:val="00E70D10"/>
    <w:rsid w:val="00E72832"/>
    <w:rsid w:val="00E74398"/>
    <w:rsid w:val="00E810D4"/>
    <w:rsid w:val="00E84F91"/>
    <w:rsid w:val="00E868F0"/>
    <w:rsid w:val="00EA149C"/>
    <w:rsid w:val="00EA17ED"/>
    <w:rsid w:val="00EA1C64"/>
    <w:rsid w:val="00EA7654"/>
    <w:rsid w:val="00EB33C6"/>
    <w:rsid w:val="00EB6D21"/>
    <w:rsid w:val="00EC17CA"/>
    <w:rsid w:val="00EC39B1"/>
    <w:rsid w:val="00ED41DA"/>
    <w:rsid w:val="00EE3130"/>
    <w:rsid w:val="00EF0A84"/>
    <w:rsid w:val="00F052B1"/>
    <w:rsid w:val="00F10619"/>
    <w:rsid w:val="00F1355D"/>
    <w:rsid w:val="00F13F94"/>
    <w:rsid w:val="00F166F6"/>
    <w:rsid w:val="00F3013D"/>
    <w:rsid w:val="00F45761"/>
    <w:rsid w:val="00F556B8"/>
    <w:rsid w:val="00F62FF1"/>
    <w:rsid w:val="00F72BD1"/>
    <w:rsid w:val="00F758D4"/>
    <w:rsid w:val="00F91AEB"/>
    <w:rsid w:val="00F955B4"/>
    <w:rsid w:val="00F96AAB"/>
    <w:rsid w:val="00FA0FE7"/>
    <w:rsid w:val="00FA65DF"/>
    <w:rsid w:val="00FA7BD0"/>
    <w:rsid w:val="00FB4503"/>
    <w:rsid w:val="00FC0294"/>
    <w:rsid w:val="00FC2920"/>
    <w:rsid w:val="00FC79C4"/>
    <w:rsid w:val="00FD3EA9"/>
    <w:rsid w:val="00FD442F"/>
    <w:rsid w:val="00FD667B"/>
    <w:rsid w:val="00FE1A53"/>
    <w:rsid w:val="00FE39B9"/>
    <w:rsid w:val="00FE7ADB"/>
    <w:rsid w:val="00FE7DDB"/>
    <w:rsid w:val="00FF43D9"/>
    <w:rsid w:val="00FF4F36"/>
    <w:rsid w:val="00FF6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646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6467"/>
    <w:rPr>
      <w:color w:val="0066CC"/>
      <w:u w:val="single"/>
    </w:rPr>
  </w:style>
  <w:style w:type="character" w:customStyle="1" w:styleId="Bodytext3">
    <w:name w:val="Body text (3)_"/>
    <w:basedOn w:val="DefaultParagraphFont"/>
    <w:link w:val="Bodytext30"/>
    <w:rsid w:val="00486467"/>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486467"/>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486467"/>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486467"/>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486467"/>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486467"/>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2Bold0">
    <w:name w:val="Body text (2) + Bold"/>
    <w:aliases w:val="Spacing 2 pt"/>
    <w:basedOn w:val="Bodytext2"/>
    <w:rsid w:val="00486467"/>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Headerorfooter">
    <w:name w:val="Header or footer_"/>
    <w:basedOn w:val="DefaultParagraphFont"/>
    <w:link w:val="Headerorfooter0"/>
    <w:rsid w:val="00486467"/>
    <w:rPr>
      <w:rFonts w:ascii="Times New Roman" w:eastAsia="Times New Roman" w:hAnsi="Times New Roman" w:cs="Times New Roman"/>
      <w:b w:val="0"/>
      <w:bCs w:val="0"/>
      <w:i w:val="0"/>
      <w:iCs w:val="0"/>
      <w:smallCaps w:val="0"/>
      <w:strike w:val="0"/>
      <w:sz w:val="28"/>
      <w:szCs w:val="28"/>
      <w:u w:val="none"/>
    </w:rPr>
  </w:style>
  <w:style w:type="character" w:customStyle="1" w:styleId="Heading2">
    <w:name w:val="Heading #2_"/>
    <w:basedOn w:val="DefaultParagraphFont"/>
    <w:link w:val="Heading20"/>
    <w:rsid w:val="00486467"/>
    <w:rPr>
      <w:rFonts w:ascii="Times New Roman" w:eastAsia="Times New Roman" w:hAnsi="Times New Roman" w:cs="Times New Roman"/>
      <w:b/>
      <w:bCs/>
      <w:i w:val="0"/>
      <w:iCs w:val="0"/>
      <w:smallCaps w:val="0"/>
      <w:strike w:val="0"/>
      <w:sz w:val="30"/>
      <w:szCs w:val="30"/>
      <w:u w:val="none"/>
    </w:rPr>
  </w:style>
  <w:style w:type="character" w:customStyle="1" w:styleId="Heading2Spacing2pt">
    <w:name w:val="Heading #2 + Spacing 2 pt"/>
    <w:basedOn w:val="Heading2"/>
    <w:rsid w:val="00486467"/>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Heading2NotBold">
    <w:name w:val="Heading #2 + Not Bold"/>
    <w:basedOn w:val="Heading2"/>
    <w:rsid w:val="00486467"/>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Heading2Spacing2pt0">
    <w:name w:val="Heading #2 + Spacing 2 pt"/>
    <w:basedOn w:val="Heading2"/>
    <w:rsid w:val="00486467"/>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212pt">
    <w:name w:val="Body text (2) + 12 pt"/>
    <w:basedOn w:val="Bodytext2"/>
    <w:rsid w:val="0048646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4">
    <w:name w:val="Body text (4)_"/>
    <w:basedOn w:val="DefaultParagraphFont"/>
    <w:link w:val="Bodytext40"/>
    <w:rsid w:val="00486467"/>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Normal"/>
    <w:link w:val="Bodytext3"/>
    <w:rsid w:val="00486467"/>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486467"/>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486467"/>
    <w:pPr>
      <w:shd w:val="clear" w:color="auto" w:fill="FFFFFF"/>
      <w:spacing w:line="0" w:lineRule="atLeast"/>
      <w:jc w:val="righ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486467"/>
    <w:pPr>
      <w:shd w:val="clear" w:color="auto" w:fill="FFFFFF"/>
      <w:spacing w:before="420" w:after="660" w:line="0" w:lineRule="atLeast"/>
      <w:jc w:val="both"/>
    </w:pPr>
    <w:rPr>
      <w:rFonts w:ascii="Times New Roman" w:eastAsia="Times New Roman" w:hAnsi="Times New Roman" w:cs="Times New Roman"/>
      <w:sz w:val="30"/>
      <w:szCs w:val="30"/>
    </w:rPr>
  </w:style>
  <w:style w:type="paragraph" w:customStyle="1" w:styleId="Headerorfooter0">
    <w:name w:val="Header or footer"/>
    <w:basedOn w:val="Normal"/>
    <w:link w:val="Headerorfooter"/>
    <w:rsid w:val="00486467"/>
    <w:pPr>
      <w:shd w:val="clear" w:color="auto" w:fill="FFFFFF"/>
      <w:spacing w:line="0" w:lineRule="atLeast"/>
    </w:pPr>
    <w:rPr>
      <w:rFonts w:ascii="Times New Roman" w:eastAsia="Times New Roman" w:hAnsi="Times New Roman" w:cs="Times New Roman"/>
      <w:sz w:val="28"/>
      <w:szCs w:val="28"/>
    </w:rPr>
  </w:style>
  <w:style w:type="paragraph" w:customStyle="1" w:styleId="Heading20">
    <w:name w:val="Heading #2"/>
    <w:basedOn w:val="Normal"/>
    <w:link w:val="Heading2"/>
    <w:rsid w:val="00486467"/>
    <w:pPr>
      <w:shd w:val="clear" w:color="auto" w:fill="FFFFFF"/>
      <w:spacing w:before="540" w:after="120" w:line="0" w:lineRule="atLeast"/>
      <w:jc w:val="center"/>
      <w:outlineLvl w:val="1"/>
    </w:pPr>
    <w:rPr>
      <w:rFonts w:ascii="Times New Roman" w:eastAsia="Times New Roman" w:hAnsi="Times New Roman" w:cs="Times New Roman"/>
      <w:b/>
      <w:bCs/>
      <w:sz w:val="30"/>
      <w:szCs w:val="30"/>
    </w:rPr>
  </w:style>
  <w:style w:type="paragraph" w:customStyle="1" w:styleId="Bodytext40">
    <w:name w:val="Body text (4)"/>
    <w:basedOn w:val="Normal"/>
    <w:link w:val="Bodytext4"/>
    <w:rsid w:val="00486467"/>
    <w:pPr>
      <w:shd w:val="clear" w:color="auto" w:fill="FFFFFF"/>
      <w:spacing w:line="277" w:lineRule="exact"/>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367AB"/>
    <w:rPr>
      <w:rFonts w:ascii="Tahoma" w:hAnsi="Tahoma" w:cs="Tahoma"/>
      <w:sz w:val="16"/>
      <w:szCs w:val="16"/>
    </w:rPr>
  </w:style>
  <w:style w:type="character" w:customStyle="1" w:styleId="BalloonTextChar">
    <w:name w:val="Balloon Text Char"/>
    <w:basedOn w:val="DefaultParagraphFont"/>
    <w:link w:val="BalloonText"/>
    <w:uiPriority w:val="99"/>
    <w:semiHidden/>
    <w:rsid w:val="00A367AB"/>
    <w:rPr>
      <w:rFonts w:ascii="Tahoma" w:hAnsi="Tahoma" w:cs="Tahoma"/>
      <w:color w:val="000000"/>
      <w:sz w:val="16"/>
      <w:szCs w:val="16"/>
    </w:rPr>
  </w:style>
  <w:style w:type="paragraph" w:styleId="Header">
    <w:name w:val="header"/>
    <w:basedOn w:val="Normal"/>
    <w:link w:val="HeaderChar"/>
    <w:uiPriority w:val="99"/>
    <w:semiHidden/>
    <w:unhideWhenUsed/>
    <w:rsid w:val="006D4E88"/>
    <w:pPr>
      <w:tabs>
        <w:tab w:val="center" w:pos="4680"/>
        <w:tab w:val="right" w:pos="9360"/>
      </w:tabs>
    </w:pPr>
  </w:style>
  <w:style w:type="character" w:customStyle="1" w:styleId="HeaderChar">
    <w:name w:val="Header Char"/>
    <w:basedOn w:val="DefaultParagraphFont"/>
    <w:link w:val="Header"/>
    <w:uiPriority w:val="99"/>
    <w:semiHidden/>
    <w:rsid w:val="006D4E88"/>
    <w:rPr>
      <w:color w:val="000000"/>
    </w:rPr>
  </w:style>
  <w:style w:type="paragraph" w:styleId="Footer">
    <w:name w:val="footer"/>
    <w:basedOn w:val="Normal"/>
    <w:link w:val="FooterChar"/>
    <w:uiPriority w:val="99"/>
    <w:unhideWhenUsed/>
    <w:rsid w:val="006D4E88"/>
    <w:pPr>
      <w:tabs>
        <w:tab w:val="center" w:pos="4680"/>
        <w:tab w:val="right" w:pos="9360"/>
      </w:tabs>
    </w:pPr>
  </w:style>
  <w:style w:type="character" w:customStyle="1" w:styleId="FooterChar">
    <w:name w:val="Footer Char"/>
    <w:basedOn w:val="DefaultParagraphFont"/>
    <w:link w:val="Footer"/>
    <w:uiPriority w:val="99"/>
    <w:rsid w:val="006D4E88"/>
    <w:rPr>
      <w:color w:val="000000"/>
    </w:rPr>
  </w:style>
  <w:style w:type="character" w:styleId="CommentReference">
    <w:name w:val="annotation reference"/>
    <w:basedOn w:val="DefaultParagraphFont"/>
    <w:uiPriority w:val="99"/>
    <w:semiHidden/>
    <w:unhideWhenUsed/>
    <w:rsid w:val="00C3183C"/>
    <w:rPr>
      <w:sz w:val="16"/>
      <w:szCs w:val="16"/>
    </w:rPr>
  </w:style>
  <w:style w:type="paragraph" w:styleId="CommentText">
    <w:name w:val="annotation text"/>
    <w:basedOn w:val="Normal"/>
    <w:link w:val="CommentTextChar"/>
    <w:uiPriority w:val="99"/>
    <w:semiHidden/>
    <w:unhideWhenUsed/>
    <w:rsid w:val="00C3183C"/>
    <w:rPr>
      <w:sz w:val="20"/>
      <w:szCs w:val="20"/>
    </w:rPr>
  </w:style>
  <w:style w:type="character" w:customStyle="1" w:styleId="CommentTextChar">
    <w:name w:val="Comment Text Char"/>
    <w:basedOn w:val="DefaultParagraphFont"/>
    <w:link w:val="CommentText"/>
    <w:uiPriority w:val="99"/>
    <w:semiHidden/>
    <w:rsid w:val="00C3183C"/>
    <w:rPr>
      <w:color w:val="000000"/>
      <w:sz w:val="20"/>
      <w:szCs w:val="20"/>
    </w:rPr>
  </w:style>
  <w:style w:type="paragraph" w:styleId="CommentSubject">
    <w:name w:val="annotation subject"/>
    <w:basedOn w:val="CommentText"/>
    <w:next w:val="CommentText"/>
    <w:link w:val="CommentSubjectChar"/>
    <w:uiPriority w:val="99"/>
    <w:semiHidden/>
    <w:unhideWhenUsed/>
    <w:rsid w:val="00C3183C"/>
    <w:rPr>
      <w:b/>
      <w:bCs/>
    </w:rPr>
  </w:style>
  <w:style w:type="character" w:customStyle="1" w:styleId="CommentSubjectChar">
    <w:name w:val="Comment Subject Char"/>
    <w:basedOn w:val="CommentTextChar"/>
    <w:link w:val="CommentSubject"/>
    <w:uiPriority w:val="99"/>
    <w:semiHidden/>
    <w:rsid w:val="00C3183C"/>
    <w:rPr>
      <w:b/>
      <w:bCs/>
      <w:color w:val="000000"/>
      <w:sz w:val="20"/>
      <w:szCs w:val="20"/>
    </w:rPr>
  </w:style>
  <w:style w:type="paragraph" w:styleId="FootnoteText">
    <w:name w:val="footnote text"/>
    <w:basedOn w:val="Normal"/>
    <w:link w:val="FootnoteTextChar"/>
    <w:uiPriority w:val="99"/>
    <w:semiHidden/>
    <w:unhideWhenUsed/>
    <w:rsid w:val="004E0F9B"/>
    <w:rPr>
      <w:sz w:val="20"/>
      <w:szCs w:val="20"/>
    </w:rPr>
  </w:style>
  <w:style w:type="character" w:customStyle="1" w:styleId="FootnoteTextChar">
    <w:name w:val="Footnote Text Char"/>
    <w:basedOn w:val="DefaultParagraphFont"/>
    <w:link w:val="FootnoteText"/>
    <w:uiPriority w:val="99"/>
    <w:semiHidden/>
    <w:rsid w:val="004E0F9B"/>
    <w:rPr>
      <w:color w:val="000000"/>
      <w:sz w:val="20"/>
      <w:szCs w:val="20"/>
    </w:rPr>
  </w:style>
  <w:style w:type="character" w:styleId="FootnoteReference">
    <w:name w:val="footnote reference"/>
    <w:basedOn w:val="DefaultParagraphFont"/>
    <w:uiPriority w:val="99"/>
    <w:semiHidden/>
    <w:unhideWhenUsed/>
    <w:rsid w:val="004E0F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308EBA-0582-4BF1-9427-CD0C205C7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14</Pages>
  <Words>2950</Words>
  <Characters>16815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Hayk Engoyan</cp:lastModifiedBy>
  <cp:revision>567</cp:revision>
  <dcterms:created xsi:type="dcterms:W3CDTF">2018-01-15T10:03:00Z</dcterms:created>
  <dcterms:modified xsi:type="dcterms:W3CDTF">2018-09-19T12:43:00Z</dcterms:modified>
</cp:coreProperties>
</file>