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682" w:rsidRDefault="00F24A09" w:rsidP="00AE74ED">
      <w:pPr>
        <w:pStyle w:val="Bodytext20"/>
        <w:shd w:val="clear" w:color="auto" w:fill="auto"/>
        <w:spacing w:before="0" w:after="160" w:line="360" w:lineRule="auto"/>
        <w:ind w:left="6804" w:firstLine="0"/>
        <w:jc w:val="right"/>
        <w:rPr>
          <w:rFonts w:ascii="Sylfaen" w:hAnsi="Sylfaen"/>
          <w:sz w:val="24"/>
          <w:szCs w:val="24"/>
          <w:lang w:val="en-US"/>
        </w:rPr>
      </w:pPr>
      <w:bookmarkStart w:id="0" w:name="_GoBack"/>
      <w:bookmarkEnd w:id="0"/>
      <w:r w:rsidRPr="00AE74ED">
        <w:rPr>
          <w:rFonts w:ascii="Sylfaen" w:hAnsi="Sylfaen"/>
          <w:sz w:val="24"/>
          <w:szCs w:val="24"/>
        </w:rPr>
        <w:t>Նախագիծ</w:t>
      </w:r>
    </w:p>
    <w:p w:rsidR="00AE74ED" w:rsidRPr="00AE74ED" w:rsidRDefault="00AE74ED" w:rsidP="00AE74ED">
      <w:pPr>
        <w:pStyle w:val="Bodytext20"/>
        <w:shd w:val="clear" w:color="auto" w:fill="auto"/>
        <w:spacing w:before="0" w:after="160" w:line="360" w:lineRule="auto"/>
        <w:ind w:left="6804" w:firstLine="0"/>
        <w:jc w:val="right"/>
        <w:rPr>
          <w:rFonts w:ascii="Sylfaen" w:hAnsi="Sylfaen"/>
          <w:sz w:val="24"/>
          <w:szCs w:val="24"/>
          <w:lang w:val="en-US"/>
        </w:rPr>
      </w:pPr>
    </w:p>
    <w:p w:rsidR="00740682" w:rsidRPr="00AE74ED" w:rsidRDefault="00F24A09" w:rsidP="00AE74ED">
      <w:pPr>
        <w:pStyle w:val="Heading20"/>
        <w:shd w:val="clear" w:color="auto" w:fill="auto"/>
        <w:spacing w:after="160" w:line="360" w:lineRule="auto"/>
        <w:ind w:right="1"/>
        <w:outlineLvl w:val="9"/>
        <w:rPr>
          <w:rFonts w:ascii="Sylfaen" w:hAnsi="Sylfaen"/>
          <w:sz w:val="24"/>
          <w:szCs w:val="24"/>
        </w:rPr>
      </w:pPr>
      <w:r w:rsidRPr="00AE74ED">
        <w:rPr>
          <w:rStyle w:val="Heading2Spacing2pt"/>
          <w:rFonts w:ascii="Sylfaen" w:hAnsi="Sylfaen"/>
          <w:b/>
          <w:spacing w:val="0"/>
          <w:sz w:val="24"/>
          <w:szCs w:val="24"/>
        </w:rPr>
        <w:t>ՀԱՄԱՁԱՅՆԱԳԻՐ</w:t>
      </w:r>
    </w:p>
    <w:p w:rsidR="00740682" w:rsidRDefault="00F24A09" w:rsidP="00AE74ED">
      <w:pPr>
        <w:pStyle w:val="Bodytext30"/>
        <w:shd w:val="clear" w:color="auto" w:fill="auto"/>
        <w:spacing w:before="0" w:after="160" w:line="360" w:lineRule="auto"/>
        <w:ind w:right="1"/>
        <w:rPr>
          <w:rFonts w:ascii="Sylfaen" w:hAnsi="Sylfaen"/>
          <w:sz w:val="24"/>
          <w:szCs w:val="24"/>
          <w:lang w:val="en-US"/>
        </w:rPr>
      </w:pPr>
      <w:r w:rsidRPr="00AE74ED">
        <w:rPr>
          <w:rFonts w:ascii="Sylfaen" w:hAnsi="Sylfaen"/>
          <w:sz w:val="24"/>
          <w:szCs w:val="24"/>
        </w:rPr>
        <w:t>Եվրասիական տնտեսական միության շրջանակներում գյուղատնտեսական կենդանիների հետ սելեկցիոն տոհմային աշխատանքի կատարման միասնականացմանն ուղղված միջոցների վերաբերյալ</w:t>
      </w:r>
    </w:p>
    <w:p w:rsidR="00AE74ED" w:rsidRPr="00AE74ED" w:rsidRDefault="00AE74ED" w:rsidP="00AE74ED">
      <w:pPr>
        <w:pStyle w:val="Bodytext30"/>
        <w:shd w:val="clear" w:color="auto" w:fill="auto"/>
        <w:spacing w:before="0" w:after="160" w:line="341" w:lineRule="auto"/>
        <w:ind w:right="1"/>
        <w:rPr>
          <w:rFonts w:ascii="Sylfaen" w:hAnsi="Sylfaen"/>
          <w:sz w:val="24"/>
          <w:szCs w:val="24"/>
          <w:lang w:val="en-US"/>
        </w:rPr>
      </w:pPr>
    </w:p>
    <w:p w:rsidR="00740682" w:rsidRPr="00AE74ED" w:rsidRDefault="00F24A09" w:rsidP="00AE74ED">
      <w:pPr>
        <w:pStyle w:val="Bodytext20"/>
        <w:shd w:val="clear" w:color="auto" w:fill="auto"/>
        <w:spacing w:before="0" w:after="160" w:line="341" w:lineRule="auto"/>
        <w:ind w:right="1" w:firstLine="567"/>
        <w:rPr>
          <w:rFonts w:ascii="Sylfaen" w:hAnsi="Sylfaen"/>
          <w:sz w:val="24"/>
          <w:szCs w:val="24"/>
        </w:rPr>
      </w:pPr>
      <w:r w:rsidRPr="00AE74ED">
        <w:rPr>
          <w:rFonts w:ascii="Sylfaen" w:hAnsi="Sylfaen"/>
          <w:sz w:val="24"/>
          <w:szCs w:val="24"/>
        </w:rPr>
        <w:t>Եվրասիական տնտեսական միության անդամ պետությունները, այսուհետ՝ անդամ պետություններ,</w:t>
      </w:r>
    </w:p>
    <w:p w:rsidR="00740682" w:rsidRPr="00AE74ED" w:rsidRDefault="00F24A09" w:rsidP="00AE74ED">
      <w:pPr>
        <w:pStyle w:val="Bodytext20"/>
        <w:shd w:val="clear" w:color="auto" w:fill="auto"/>
        <w:spacing w:before="0" w:after="160" w:line="341" w:lineRule="auto"/>
        <w:ind w:right="1" w:firstLine="567"/>
        <w:rPr>
          <w:rFonts w:ascii="Sylfaen" w:hAnsi="Sylfaen"/>
          <w:sz w:val="24"/>
          <w:szCs w:val="24"/>
        </w:rPr>
      </w:pPr>
      <w:r w:rsidRPr="00AE74ED">
        <w:rPr>
          <w:rFonts w:ascii="Sylfaen" w:hAnsi="Sylfaen"/>
          <w:sz w:val="24"/>
          <w:szCs w:val="24"/>
        </w:rPr>
        <w:t>հիմնվելով «Եվրասիական տնտեսական միության մասին» 2014 թվականի մայիսի 29–ի պայմանագրի XXV բաժնի դրույթների վրա,</w:t>
      </w:r>
    </w:p>
    <w:p w:rsidR="00740682" w:rsidRPr="00AE74ED" w:rsidRDefault="00F24A09" w:rsidP="00AE74ED">
      <w:pPr>
        <w:pStyle w:val="Bodytext20"/>
        <w:shd w:val="clear" w:color="auto" w:fill="auto"/>
        <w:spacing w:before="0" w:after="160" w:line="341" w:lineRule="auto"/>
        <w:ind w:right="1" w:firstLine="567"/>
        <w:rPr>
          <w:rFonts w:ascii="Sylfaen" w:hAnsi="Sylfaen"/>
          <w:sz w:val="24"/>
          <w:szCs w:val="24"/>
        </w:rPr>
      </w:pPr>
      <w:r w:rsidRPr="00AE74ED">
        <w:rPr>
          <w:rFonts w:ascii="Sylfaen" w:hAnsi="Sylfaen"/>
          <w:sz w:val="24"/>
          <w:szCs w:val="24"/>
        </w:rPr>
        <w:t>ձգտելով մեծացնել մրցունակ գյուղատնտեսական արտադրանքի արտադրության ծավալները,</w:t>
      </w:r>
    </w:p>
    <w:p w:rsidR="00740682" w:rsidRPr="00AE74ED" w:rsidRDefault="00F24A09" w:rsidP="00AE74ED">
      <w:pPr>
        <w:pStyle w:val="Bodytext20"/>
        <w:shd w:val="clear" w:color="auto" w:fill="auto"/>
        <w:spacing w:before="0" w:after="160" w:line="341" w:lineRule="auto"/>
        <w:ind w:right="1" w:firstLine="567"/>
        <w:rPr>
          <w:rFonts w:ascii="Sylfaen" w:hAnsi="Sylfaen"/>
          <w:sz w:val="24"/>
          <w:szCs w:val="24"/>
        </w:rPr>
      </w:pPr>
      <w:r w:rsidRPr="00AE74ED">
        <w:rPr>
          <w:rFonts w:ascii="Sylfaen" w:hAnsi="Sylfaen"/>
          <w:sz w:val="24"/>
          <w:szCs w:val="24"/>
        </w:rPr>
        <w:t>հաշվի առնելով, որ գյուղատնտեսական կենդանիների արտադրողականությունը զգալիորեն կախված է տոհմային կենդանիների օգտագործումից, համաձայնեցին հետ</w:t>
      </w:r>
      <w:r w:rsidR="00AE74ED">
        <w:rPr>
          <w:rFonts w:ascii="Sylfaen" w:hAnsi="Sylfaen"/>
          <w:sz w:val="24"/>
          <w:szCs w:val="24"/>
        </w:rPr>
        <w:t>եւ</w:t>
      </w:r>
      <w:r w:rsidRPr="00AE74ED">
        <w:rPr>
          <w:rFonts w:ascii="Sylfaen" w:hAnsi="Sylfaen"/>
          <w:sz w:val="24"/>
          <w:szCs w:val="24"/>
        </w:rPr>
        <w:t>յալի մասին.</w:t>
      </w:r>
    </w:p>
    <w:p w:rsidR="009025AA" w:rsidRPr="00AE74ED" w:rsidRDefault="009025AA" w:rsidP="00AE74ED">
      <w:pPr>
        <w:pStyle w:val="Bodytext20"/>
        <w:shd w:val="clear" w:color="auto" w:fill="auto"/>
        <w:spacing w:before="0" w:after="160" w:line="341" w:lineRule="auto"/>
        <w:ind w:left="80" w:firstLine="0"/>
        <w:jc w:val="center"/>
        <w:rPr>
          <w:rFonts w:ascii="Sylfaen" w:hAnsi="Sylfaen"/>
          <w:sz w:val="24"/>
          <w:szCs w:val="24"/>
        </w:rPr>
      </w:pPr>
    </w:p>
    <w:p w:rsidR="00740682" w:rsidRPr="00AE74ED" w:rsidRDefault="00F24A09" w:rsidP="00AE74ED">
      <w:pPr>
        <w:pStyle w:val="Bodytext20"/>
        <w:shd w:val="clear" w:color="auto" w:fill="auto"/>
        <w:spacing w:before="0" w:after="160" w:line="341" w:lineRule="auto"/>
        <w:ind w:left="80" w:firstLine="0"/>
        <w:jc w:val="center"/>
        <w:rPr>
          <w:rFonts w:ascii="Sylfaen" w:hAnsi="Sylfaen"/>
          <w:sz w:val="24"/>
          <w:szCs w:val="24"/>
        </w:rPr>
      </w:pPr>
      <w:r w:rsidRPr="00AE74ED">
        <w:rPr>
          <w:rFonts w:ascii="Sylfaen" w:hAnsi="Sylfaen"/>
          <w:sz w:val="24"/>
          <w:szCs w:val="24"/>
        </w:rPr>
        <w:t>Հոդված 1</w:t>
      </w:r>
    </w:p>
    <w:p w:rsidR="00740682" w:rsidRPr="00AE74ED" w:rsidRDefault="00F24A09" w:rsidP="00AE74ED">
      <w:pPr>
        <w:pStyle w:val="Bodytext20"/>
        <w:shd w:val="clear" w:color="auto" w:fill="auto"/>
        <w:spacing w:before="0" w:after="160" w:line="341" w:lineRule="auto"/>
        <w:ind w:right="1" w:firstLine="567"/>
        <w:rPr>
          <w:rFonts w:ascii="Sylfaen" w:hAnsi="Sylfaen"/>
          <w:sz w:val="24"/>
          <w:szCs w:val="24"/>
        </w:rPr>
      </w:pPr>
      <w:r w:rsidRPr="00AE74ED">
        <w:rPr>
          <w:rFonts w:ascii="Sylfaen" w:hAnsi="Sylfaen"/>
          <w:sz w:val="24"/>
          <w:szCs w:val="24"/>
        </w:rPr>
        <w:t xml:space="preserve">Սույն Համաձայնագիրը մշակված է համաձայնեցված (համակարգված) ագրոարդյունաբերական քաղաքականություն իրականացնելու նպատակով, </w:t>
      </w:r>
      <w:r w:rsidR="00AE74ED">
        <w:rPr>
          <w:rFonts w:ascii="Sylfaen" w:hAnsi="Sylfaen"/>
          <w:sz w:val="24"/>
          <w:szCs w:val="24"/>
        </w:rPr>
        <w:t>եւ</w:t>
      </w:r>
      <w:r w:rsidRPr="00AE74ED">
        <w:rPr>
          <w:rFonts w:ascii="Sylfaen" w:hAnsi="Sylfaen"/>
          <w:sz w:val="24"/>
          <w:szCs w:val="24"/>
        </w:rPr>
        <w:t xml:space="preserve"> դրանով կարգավորվում է Եվրասիական տնտեսական միության շրջանակներում գյուղատնտեսական կենդանիների հետ սելեկցիոն տոհմային աշխատանքի կատարումը:</w:t>
      </w:r>
    </w:p>
    <w:p w:rsidR="00740682" w:rsidRPr="00AE74ED" w:rsidRDefault="00F24A09" w:rsidP="00AE74ED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E74ED">
        <w:rPr>
          <w:rFonts w:ascii="Sylfaen" w:hAnsi="Sylfaen"/>
          <w:sz w:val="24"/>
          <w:szCs w:val="24"/>
        </w:rPr>
        <w:t>Անդամ պետությունների տարածքներում գյուղատնտեսական կենդանիների հետ սելեկցիոն տոհմային աշխատանքի կատարումն իրականացվում է՝ հաշվի առնելով սույն Համաձայնագրի դրույթները:</w:t>
      </w:r>
    </w:p>
    <w:p w:rsidR="00740682" w:rsidRPr="00AE74ED" w:rsidRDefault="00F24A09" w:rsidP="00AE74ED">
      <w:pPr>
        <w:pStyle w:val="Bodytext20"/>
        <w:shd w:val="clear" w:color="auto" w:fill="auto"/>
        <w:spacing w:before="0" w:after="160" w:line="360" w:lineRule="auto"/>
        <w:ind w:left="100" w:firstLine="0"/>
        <w:jc w:val="center"/>
        <w:rPr>
          <w:rFonts w:ascii="Sylfaen" w:hAnsi="Sylfaen"/>
          <w:sz w:val="24"/>
          <w:szCs w:val="24"/>
        </w:rPr>
      </w:pPr>
      <w:r w:rsidRPr="00AE74ED">
        <w:rPr>
          <w:rFonts w:ascii="Sylfaen" w:hAnsi="Sylfaen"/>
          <w:sz w:val="24"/>
          <w:szCs w:val="24"/>
        </w:rPr>
        <w:lastRenderedPageBreak/>
        <w:t>Հոդված 2</w:t>
      </w:r>
    </w:p>
    <w:p w:rsidR="00740682" w:rsidRPr="00AE74ED" w:rsidRDefault="00F24A09" w:rsidP="00AE74ED">
      <w:pPr>
        <w:pStyle w:val="Bodytext20"/>
        <w:shd w:val="clear" w:color="auto" w:fill="auto"/>
        <w:spacing w:before="0" w:after="160" w:line="346" w:lineRule="auto"/>
        <w:ind w:right="1" w:firstLine="567"/>
        <w:rPr>
          <w:rFonts w:ascii="Sylfaen" w:hAnsi="Sylfaen"/>
          <w:sz w:val="24"/>
          <w:szCs w:val="24"/>
        </w:rPr>
      </w:pPr>
      <w:r w:rsidRPr="00AE74ED">
        <w:rPr>
          <w:rFonts w:ascii="Sylfaen" w:hAnsi="Sylfaen"/>
          <w:sz w:val="24"/>
          <w:szCs w:val="24"/>
        </w:rPr>
        <w:t>Սույն Համաձայնագրի նպատակներով օգտագործվում են հասկացություններ, որոնք ունեն հետ</w:t>
      </w:r>
      <w:r w:rsidR="00AE74ED">
        <w:rPr>
          <w:rFonts w:ascii="Sylfaen" w:hAnsi="Sylfaen"/>
          <w:sz w:val="24"/>
          <w:szCs w:val="24"/>
        </w:rPr>
        <w:t>եւ</w:t>
      </w:r>
      <w:r w:rsidRPr="00AE74ED">
        <w:rPr>
          <w:rFonts w:ascii="Sylfaen" w:hAnsi="Sylfaen"/>
          <w:sz w:val="24"/>
          <w:szCs w:val="24"/>
        </w:rPr>
        <w:t>յալ իմաստը՝</w:t>
      </w:r>
    </w:p>
    <w:p w:rsidR="00740682" w:rsidRPr="00AE74ED" w:rsidRDefault="00F24A09" w:rsidP="00AE74ED">
      <w:pPr>
        <w:pStyle w:val="Bodytext20"/>
        <w:shd w:val="clear" w:color="auto" w:fill="auto"/>
        <w:spacing w:before="0" w:after="160" w:line="346" w:lineRule="auto"/>
        <w:ind w:right="1" w:firstLine="567"/>
        <w:rPr>
          <w:rFonts w:ascii="Sylfaen" w:hAnsi="Sylfaen"/>
          <w:sz w:val="24"/>
          <w:szCs w:val="24"/>
        </w:rPr>
      </w:pPr>
      <w:r w:rsidRPr="00AE74ED">
        <w:rPr>
          <w:rFonts w:ascii="Sylfaen" w:hAnsi="Sylfaen"/>
          <w:sz w:val="24"/>
          <w:szCs w:val="24"/>
        </w:rPr>
        <w:t>«տոհմային արտադրանք»՝ տոհմային կենդանի, դրա սերմը, սաղմերը, թրթուրները, մեղվափաթեթները.</w:t>
      </w:r>
    </w:p>
    <w:p w:rsidR="00740682" w:rsidRPr="00AE74ED" w:rsidRDefault="00F24A09" w:rsidP="00AE74ED">
      <w:pPr>
        <w:pStyle w:val="Bodytext20"/>
        <w:shd w:val="clear" w:color="auto" w:fill="auto"/>
        <w:spacing w:before="0" w:after="160" w:line="346" w:lineRule="auto"/>
        <w:ind w:right="1" w:firstLine="567"/>
        <w:rPr>
          <w:rFonts w:ascii="Sylfaen" w:hAnsi="Sylfaen"/>
          <w:sz w:val="24"/>
          <w:szCs w:val="24"/>
        </w:rPr>
      </w:pPr>
      <w:r w:rsidRPr="00AE74ED">
        <w:rPr>
          <w:rFonts w:ascii="Sylfaen" w:hAnsi="Sylfaen"/>
          <w:sz w:val="24"/>
          <w:szCs w:val="24"/>
        </w:rPr>
        <w:t xml:space="preserve">«տոհմային արժեք»՝ տոհմային կենդանուց, տոհմային հոտից ընտրվող հատկանիշների մակարդակը </w:t>
      </w:r>
      <w:r w:rsidR="00AE74ED">
        <w:rPr>
          <w:rFonts w:ascii="Sylfaen" w:hAnsi="Sylfaen"/>
          <w:sz w:val="24"/>
          <w:szCs w:val="24"/>
        </w:rPr>
        <w:t>եւ</w:t>
      </w:r>
      <w:r w:rsidRPr="00AE74ED">
        <w:rPr>
          <w:rFonts w:ascii="Sylfaen" w:hAnsi="Sylfaen"/>
          <w:sz w:val="24"/>
          <w:szCs w:val="24"/>
        </w:rPr>
        <w:t xml:space="preserve"> դրանց՝ սերնդին փոխանցելու հնարավորությունը,</w:t>
      </w:r>
    </w:p>
    <w:p w:rsidR="00740682" w:rsidRPr="00AE74ED" w:rsidRDefault="00F24A09" w:rsidP="00AE74ED">
      <w:pPr>
        <w:pStyle w:val="Bodytext20"/>
        <w:shd w:val="clear" w:color="auto" w:fill="auto"/>
        <w:spacing w:before="0" w:after="160" w:line="346" w:lineRule="auto"/>
        <w:ind w:right="1" w:firstLine="567"/>
        <w:rPr>
          <w:rFonts w:ascii="Sylfaen" w:hAnsi="Sylfaen"/>
          <w:sz w:val="24"/>
          <w:szCs w:val="24"/>
        </w:rPr>
      </w:pPr>
      <w:r w:rsidRPr="00AE74ED">
        <w:rPr>
          <w:rFonts w:ascii="Sylfaen" w:hAnsi="Sylfaen"/>
          <w:sz w:val="24"/>
          <w:szCs w:val="24"/>
        </w:rPr>
        <w:t xml:space="preserve">«տոհմային կենդանի»՝ բուծման համար օգտագործվող գյուղատնտեսական կենդանի, որն ունի տոհմային վկայական (վկայագիր, անձնագիր) </w:t>
      </w:r>
      <w:r w:rsidR="00AE74ED">
        <w:rPr>
          <w:rFonts w:ascii="Sylfaen" w:hAnsi="Sylfaen"/>
          <w:sz w:val="24"/>
          <w:szCs w:val="24"/>
        </w:rPr>
        <w:t>եւ</w:t>
      </w:r>
      <w:r w:rsidRPr="00AE74ED">
        <w:rPr>
          <w:rFonts w:ascii="Sylfaen" w:hAnsi="Sylfaen"/>
          <w:sz w:val="24"/>
          <w:szCs w:val="24"/>
        </w:rPr>
        <w:t xml:space="preserve"> գրանցված է պետական ռեեստրում (տոհմային գրքում),</w:t>
      </w:r>
    </w:p>
    <w:p w:rsidR="00740682" w:rsidRPr="00AE74ED" w:rsidRDefault="00F24A09" w:rsidP="00AE74ED">
      <w:pPr>
        <w:pStyle w:val="Bodytext20"/>
        <w:shd w:val="clear" w:color="auto" w:fill="auto"/>
        <w:spacing w:before="0" w:after="160" w:line="346" w:lineRule="auto"/>
        <w:ind w:right="1" w:firstLine="567"/>
        <w:rPr>
          <w:rFonts w:ascii="Sylfaen" w:hAnsi="Sylfaen"/>
          <w:sz w:val="24"/>
          <w:szCs w:val="24"/>
        </w:rPr>
      </w:pPr>
      <w:r w:rsidRPr="00AE74ED">
        <w:rPr>
          <w:rFonts w:ascii="Sylfaen" w:hAnsi="Sylfaen"/>
          <w:sz w:val="24"/>
          <w:szCs w:val="24"/>
        </w:rPr>
        <w:t>«սելեկցիոն տոհմային աշխատանք»՝ համալիր միջոցառումներ, որոնք ուղղված</w:t>
      </w:r>
      <w:r w:rsidR="00EA720E" w:rsidRPr="00AE74ED">
        <w:rPr>
          <w:rFonts w:ascii="Sylfaen" w:hAnsi="Sylfaen"/>
          <w:sz w:val="24"/>
          <w:szCs w:val="24"/>
        </w:rPr>
        <w:t xml:space="preserve"> են</w:t>
      </w:r>
      <w:r w:rsidRPr="00AE74ED">
        <w:rPr>
          <w:rFonts w:ascii="Sylfaen" w:hAnsi="Sylfaen"/>
          <w:sz w:val="24"/>
          <w:szCs w:val="24"/>
        </w:rPr>
        <w:t xml:space="preserve"> գյուղատնտեսական կենդանիների տոհմային </w:t>
      </w:r>
      <w:r w:rsidR="00AE74ED">
        <w:rPr>
          <w:rFonts w:ascii="Sylfaen" w:hAnsi="Sylfaen"/>
          <w:sz w:val="24"/>
          <w:szCs w:val="24"/>
        </w:rPr>
        <w:t>եւ</w:t>
      </w:r>
      <w:r w:rsidRPr="00AE74ED">
        <w:rPr>
          <w:rFonts w:ascii="Sylfaen" w:hAnsi="Sylfaen"/>
          <w:sz w:val="24"/>
          <w:szCs w:val="24"/>
        </w:rPr>
        <w:t xml:space="preserve"> մթերատու հատկանիշների կատարելագործմանը,</w:t>
      </w:r>
    </w:p>
    <w:p w:rsidR="00740682" w:rsidRPr="00AE74ED" w:rsidRDefault="00F24A09" w:rsidP="00AE74ED">
      <w:pPr>
        <w:pStyle w:val="Bodytext20"/>
        <w:shd w:val="clear" w:color="auto" w:fill="auto"/>
        <w:spacing w:before="0" w:after="160" w:line="346" w:lineRule="auto"/>
        <w:ind w:right="1" w:firstLine="567"/>
        <w:rPr>
          <w:rFonts w:ascii="Sylfaen" w:hAnsi="Sylfaen"/>
          <w:sz w:val="24"/>
          <w:szCs w:val="24"/>
        </w:rPr>
      </w:pPr>
      <w:r w:rsidRPr="00AE74ED">
        <w:rPr>
          <w:rFonts w:ascii="Sylfaen" w:hAnsi="Sylfaen"/>
          <w:sz w:val="24"/>
          <w:szCs w:val="24"/>
        </w:rPr>
        <w:t>«գյուղատնտեսական կենդանիներ»՝ կենդանիներ, որոնց բուծում են անասնաբուծական արտադրանք ստանալու նպատակներով:</w:t>
      </w:r>
    </w:p>
    <w:p w:rsidR="009025AA" w:rsidRPr="00AE74ED" w:rsidRDefault="009025AA" w:rsidP="00AE74ED">
      <w:pPr>
        <w:pStyle w:val="Bodytext20"/>
        <w:shd w:val="clear" w:color="auto" w:fill="auto"/>
        <w:spacing w:before="0" w:after="160" w:line="346" w:lineRule="auto"/>
        <w:ind w:left="100" w:firstLine="0"/>
        <w:jc w:val="center"/>
        <w:rPr>
          <w:rFonts w:ascii="Sylfaen" w:hAnsi="Sylfaen"/>
          <w:sz w:val="24"/>
          <w:szCs w:val="24"/>
        </w:rPr>
      </w:pPr>
    </w:p>
    <w:p w:rsidR="00740682" w:rsidRPr="00AE74ED" w:rsidRDefault="00F24A09" w:rsidP="00AE74ED">
      <w:pPr>
        <w:pStyle w:val="Bodytext20"/>
        <w:shd w:val="clear" w:color="auto" w:fill="auto"/>
        <w:spacing w:before="0" w:after="160" w:line="346" w:lineRule="auto"/>
        <w:ind w:firstLine="0"/>
        <w:jc w:val="center"/>
        <w:rPr>
          <w:rFonts w:ascii="Sylfaen" w:hAnsi="Sylfaen"/>
          <w:sz w:val="24"/>
          <w:szCs w:val="24"/>
        </w:rPr>
      </w:pPr>
      <w:r w:rsidRPr="00AE74ED">
        <w:rPr>
          <w:rFonts w:ascii="Sylfaen" w:hAnsi="Sylfaen"/>
          <w:sz w:val="24"/>
          <w:szCs w:val="24"/>
        </w:rPr>
        <w:t>Հոդված 3</w:t>
      </w:r>
    </w:p>
    <w:p w:rsidR="00740682" w:rsidRPr="00AE74ED" w:rsidRDefault="00F24A09" w:rsidP="00AE74ED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E74ED">
        <w:rPr>
          <w:rFonts w:ascii="Sylfaen" w:hAnsi="Sylfaen"/>
          <w:sz w:val="24"/>
          <w:szCs w:val="24"/>
        </w:rPr>
        <w:t xml:space="preserve">Եվրասիական տնտեսական միության շրջանակներում տոհմային արտադրանքի արտադրության ոլորտում միասնական պահանջների կիրառման նպատակով սելեկցիոն տոհմային աշխատանք կատարելիս անդամ պետություններն իրականացնում են գյուղատնտեսական կենդանիների՝ ստեղծված նոր տեսակների, շարքերի (ցեղատեսակների) </w:t>
      </w:r>
      <w:r w:rsidR="00AE74ED">
        <w:rPr>
          <w:rFonts w:ascii="Sylfaen" w:hAnsi="Sylfaen"/>
          <w:sz w:val="24"/>
          <w:szCs w:val="24"/>
        </w:rPr>
        <w:t>եւ</w:t>
      </w:r>
      <w:r w:rsidRPr="00AE74ED">
        <w:rPr>
          <w:rFonts w:ascii="Sylfaen" w:hAnsi="Sylfaen"/>
          <w:sz w:val="24"/>
          <w:szCs w:val="24"/>
        </w:rPr>
        <w:t xml:space="preserve"> խաչասերումների փորձարկում անցկացնելու, տոհմային արտադրանքի մոլեկուլային գենետիկ փորձաքննություն անցկացնելու, հարակից ցեղատեսակների օգտագործմամբ ստացված տոհմային կենդանիների ցեղատեսակը որոշելու, ինչպես նա</w:t>
      </w:r>
      <w:r w:rsidR="00AE74ED">
        <w:rPr>
          <w:rFonts w:ascii="Sylfaen" w:hAnsi="Sylfaen"/>
          <w:sz w:val="24"/>
          <w:szCs w:val="24"/>
        </w:rPr>
        <w:t>եւ</w:t>
      </w:r>
      <w:r w:rsidRPr="00AE74ED">
        <w:rPr>
          <w:rFonts w:ascii="Sylfaen" w:hAnsi="Sylfaen"/>
          <w:sz w:val="24"/>
          <w:szCs w:val="24"/>
        </w:rPr>
        <w:t xml:space="preserve"> տոհմային արժեքը գնահատելու միասնականացում՝ սույն Համաձայնագրին համապատասխան:</w:t>
      </w:r>
    </w:p>
    <w:p w:rsidR="00740682" w:rsidRPr="00AE74ED" w:rsidRDefault="00F24A09" w:rsidP="00AE74ED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E74ED">
        <w:rPr>
          <w:rFonts w:ascii="Sylfaen" w:hAnsi="Sylfaen"/>
          <w:sz w:val="24"/>
          <w:szCs w:val="24"/>
        </w:rPr>
        <w:lastRenderedPageBreak/>
        <w:t xml:space="preserve">Գյուղատնտեսական կենդանիների՝ ստեղծված նոր տեսակների, շարքերի (ցեղատեսակների) </w:t>
      </w:r>
      <w:r w:rsidR="00AE74ED">
        <w:rPr>
          <w:rFonts w:ascii="Sylfaen" w:hAnsi="Sylfaen"/>
          <w:sz w:val="24"/>
          <w:szCs w:val="24"/>
        </w:rPr>
        <w:t>եւ</w:t>
      </w:r>
      <w:r w:rsidRPr="00AE74ED">
        <w:rPr>
          <w:rFonts w:ascii="Sylfaen" w:hAnsi="Sylfaen"/>
          <w:sz w:val="24"/>
          <w:szCs w:val="24"/>
        </w:rPr>
        <w:t xml:space="preserve"> խաչասերումների փորձարկում անցկացնելու կարգը, տոհմային արտադրանքի մոլեկուլային գենետիկ փորձաքննություն անցկացնելու կարգը, հարակից ցեղատեսակների օգտագործմամբ ստացված տոհմային կենդանիների ցեղատեսակը որոշելու կարգը, ինչպես նա</w:t>
      </w:r>
      <w:r w:rsidR="00AE74ED">
        <w:rPr>
          <w:rFonts w:ascii="Sylfaen" w:hAnsi="Sylfaen"/>
          <w:sz w:val="24"/>
          <w:szCs w:val="24"/>
        </w:rPr>
        <w:t>եւ</w:t>
      </w:r>
      <w:r w:rsidRPr="00AE74ED">
        <w:rPr>
          <w:rFonts w:ascii="Sylfaen" w:hAnsi="Sylfaen"/>
          <w:sz w:val="24"/>
          <w:szCs w:val="24"/>
        </w:rPr>
        <w:t xml:space="preserve"> տոհմային արժեքը գնահատելու մեթոդիկաները հաստատվում են Եվրասիական տնտեսական հանձնաժողովի կողմից:</w:t>
      </w:r>
    </w:p>
    <w:p w:rsidR="009025AA" w:rsidRPr="00AE74ED" w:rsidRDefault="009025AA" w:rsidP="00AE74ED">
      <w:pPr>
        <w:pStyle w:val="Bodytext20"/>
        <w:shd w:val="clear" w:color="auto" w:fill="auto"/>
        <w:spacing w:before="0" w:after="160" w:line="360" w:lineRule="auto"/>
        <w:ind w:left="80" w:firstLine="0"/>
        <w:jc w:val="center"/>
        <w:rPr>
          <w:rFonts w:ascii="Sylfaen" w:hAnsi="Sylfaen"/>
          <w:sz w:val="24"/>
          <w:szCs w:val="24"/>
        </w:rPr>
      </w:pPr>
    </w:p>
    <w:p w:rsidR="00740682" w:rsidRPr="00AE74ED" w:rsidRDefault="00F24A09" w:rsidP="00AE74ED">
      <w:pPr>
        <w:pStyle w:val="Bodytext20"/>
        <w:shd w:val="clear" w:color="auto" w:fill="auto"/>
        <w:spacing w:before="0" w:after="160" w:line="360" w:lineRule="auto"/>
        <w:ind w:left="80" w:firstLine="0"/>
        <w:jc w:val="center"/>
        <w:rPr>
          <w:rFonts w:ascii="Sylfaen" w:hAnsi="Sylfaen"/>
          <w:sz w:val="24"/>
          <w:szCs w:val="24"/>
        </w:rPr>
      </w:pPr>
      <w:r w:rsidRPr="00AE74ED">
        <w:rPr>
          <w:rFonts w:ascii="Sylfaen" w:hAnsi="Sylfaen"/>
          <w:sz w:val="24"/>
          <w:szCs w:val="24"/>
        </w:rPr>
        <w:t>Հոդված 4</w:t>
      </w:r>
    </w:p>
    <w:p w:rsidR="00740682" w:rsidRPr="00AE74ED" w:rsidRDefault="00F24A09" w:rsidP="00AE74ED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E74ED">
        <w:rPr>
          <w:rFonts w:ascii="Sylfaen" w:hAnsi="Sylfaen"/>
          <w:sz w:val="24"/>
          <w:szCs w:val="24"/>
        </w:rPr>
        <w:t xml:space="preserve">Եվրասիական տնտեսական միության շրջանակներում նորարարական տեխնոլոգիաների, այդ թվում՝ գենոմային սելեկցիայի մշակման </w:t>
      </w:r>
      <w:r w:rsidR="00AE74ED">
        <w:rPr>
          <w:rFonts w:ascii="Sylfaen" w:hAnsi="Sylfaen"/>
          <w:sz w:val="24"/>
          <w:szCs w:val="24"/>
        </w:rPr>
        <w:t>եւ</w:t>
      </w:r>
      <w:r w:rsidRPr="00AE74ED">
        <w:rPr>
          <w:rFonts w:ascii="Sylfaen" w:hAnsi="Sylfaen"/>
          <w:sz w:val="24"/>
          <w:szCs w:val="24"/>
        </w:rPr>
        <w:t xml:space="preserve"> ներդրման նպատակով՝ տոհմային անասնաբուծության ոլորտում անդամ պետություններում անցկացվող սելեկցիոն տոհմային աշխատանքի համակարգում</w:t>
      </w:r>
      <w:r w:rsidR="00796FC5" w:rsidRPr="00AE74ED">
        <w:rPr>
          <w:rFonts w:ascii="Sylfaen" w:hAnsi="Sylfaen"/>
          <w:sz w:val="24"/>
          <w:szCs w:val="24"/>
        </w:rPr>
        <w:t>ն ու</w:t>
      </w:r>
      <w:r w:rsidRPr="00AE74ED">
        <w:rPr>
          <w:rFonts w:ascii="Sylfaen" w:hAnsi="Sylfaen"/>
          <w:sz w:val="24"/>
          <w:szCs w:val="24"/>
        </w:rPr>
        <w:t xml:space="preserve"> վերլուծական ապահովումն իրականացվում են Եվրասիական միջկառավարական խորհրդի կողմից սահմանվող կարգով՝ Եվրասիական միջկառավարական խորհրդի կողմից որոշվող՝ անդամ պետությունների գործող հաստատությունների հիման վրա:</w:t>
      </w:r>
    </w:p>
    <w:p w:rsidR="009025AA" w:rsidRPr="00AE74ED" w:rsidRDefault="009025AA" w:rsidP="00AE74ED">
      <w:pPr>
        <w:pStyle w:val="Bodytext20"/>
        <w:shd w:val="clear" w:color="auto" w:fill="auto"/>
        <w:spacing w:before="0" w:after="160" w:line="360" w:lineRule="auto"/>
        <w:ind w:left="80" w:firstLine="0"/>
        <w:jc w:val="center"/>
        <w:rPr>
          <w:rFonts w:ascii="Sylfaen" w:hAnsi="Sylfaen"/>
          <w:sz w:val="24"/>
          <w:szCs w:val="24"/>
        </w:rPr>
      </w:pPr>
    </w:p>
    <w:p w:rsidR="00740682" w:rsidRPr="00AE74ED" w:rsidRDefault="00F24A09" w:rsidP="00AE74ED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AE74ED">
        <w:rPr>
          <w:rFonts w:ascii="Sylfaen" w:hAnsi="Sylfaen"/>
          <w:sz w:val="24"/>
          <w:szCs w:val="24"/>
        </w:rPr>
        <w:t>Հոդված 5</w:t>
      </w:r>
    </w:p>
    <w:p w:rsidR="00740682" w:rsidRPr="00AE74ED" w:rsidRDefault="00F24A09" w:rsidP="00AE74ED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E74ED">
        <w:rPr>
          <w:rFonts w:ascii="Sylfaen" w:hAnsi="Sylfaen"/>
          <w:sz w:val="24"/>
          <w:szCs w:val="24"/>
        </w:rPr>
        <w:t xml:space="preserve">Անդամ պետություններն ապահովում են տոհմային կենդանիների </w:t>
      </w:r>
      <w:r w:rsidR="00AE74ED">
        <w:rPr>
          <w:rFonts w:ascii="Sylfaen" w:hAnsi="Sylfaen"/>
          <w:sz w:val="24"/>
          <w:szCs w:val="24"/>
        </w:rPr>
        <w:t>եւ</w:t>
      </w:r>
      <w:r w:rsidRPr="00AE74ED">
        <w:rPr>
          <w:rFonts w:ascii="Sylfaen" w:hAnsi="Sylfaen"/>
          <w:sz w:val="24"/>
          <w:szCs w:val="24"/>
        </w:rPr>
        <w:t xml:space="preserve"> սելեկցիոն ձեռքբերումների վերաբերյալ տեղեկությունների փոխանակման կազմակերպումը, այդ թվում՝ էլեկտրոնային ձ</w:t>
      </w:r>
      <w:r w:rsidR="00AE74ED">
        <w:rPr>
          <w:rFonts w:ascii="Sylfaen" w:hAnsi="Sylfaen"/>
          <w:sz w:val="24"/>
          <w:szCs w:val="24"/>
        </w:rPr>
        <w:t>եւ</w:t>
      </w:r>
      <w:r w:rsidRPr="00AE74ED">
        <w:rPr>
          <w:rFonts w:ascii="Sylfaen" w:hAnsi="Sylfaen"/>
          <w:sz w:val="24"/>
          <w:szCs w:val="24"/>
        </w:rPr>
        <w:t>ով:</w:t>
      </w:r>
    </w:p>
    <w:p w:rsidR="00740682" w:rsidRPr="00AE74ED" w:rsidRDefault="00F24A09" w:rsidP="00AE74ED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E74ED">
        <w:rPr>
          <w:rFonts w:ascii="Sylfaen" w:hAnsi="Sylfaen"/>
          <w:sz w:val="24"/>
          <w:szCs w:val="24"/>
        </w:rPr>
        <w:t xml:space="preserve">Փոխանակման ենթակա տեղեկությունների կազմը </w:t>
      </w:r>
      <w:r w:rsidR="00AE74ED">
        <w:rPr>
          <w:rFonts w:ascii="Sylfaen" w:hAnsi="Sylfaen"/>
          <w:sz w:val="24"/>
          <w:szCs w:val="24"/>
        </w:rPr>
        <w:t>եւ</w:t>
      </w:r>
      <w:r w:rsidRPr="00AE74ED">
        <w:rPr>
          <w:rFonts w:ascii="Sylfaen" w:hAnsi="Sylfaen"/>
          <w:sz w:val="24"/>
          <w:szCs w:val="24"/>
        </w:rPr>
        <w:t xml:space="preserve"> այդպիսի փոխանակման կարգը հաստատվում են Եվրասիական տնտեսական հանձնաժողովի կողմից:</w:t>
      </w:r>
    </w:p>
    <w:p w:rsidR="00740682" w:rsidRPr="00AE74ED" w:rsidRDefault="00740682" w:rsidP="00AE74ED">
      <w:pPr>
        <w:spacing w:after="160" w:line="360" w:lineRule="auto"/>
        <w:rPr>
          <w:rFonts w:ascii="Sylfaen" w:hAnsi="Sylfaen"/>
        </w:rPr>
      </w:pPr>
    </w:p>
    <w:p w:rsidR="00AE74ED" w:rsidRDefault="00AE74ED" w:rsidP="00AE74ED">
      <w:pPr>
        <w:pStyle w:val="Bodytext20"/>
        <w:shd w:val="clear" w:color="auto" w:fill="auto"/>
        <w:spacing w:before="0" w:after="160" w:line="360" w:lineRule="auto"/>
        <w:ind w:left="80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740682" w:rsidRPr="00AE74ED" w:rsidRDefault="00F24A09" w:rsidP="00AE74ED">
      <w:pPr>
        <w:pStyle w:val="Bodytext20"/>
        <w:shd w:val="clear" w:color="auto" w:fill="auto"/>
        <w:spacing w:before="0" w:after="160" w:line="360" w:lineRule="auto"/>
        <w:ind w:left="80" w:firstLine="0"/>
        <w:jc w:val="center"/>
        <w:rPr>
          <w:rFonts w:ascii="Sylfaen" w:hAnsi="Sylfaen"/>
          <w:sz w:val="24"/>
          <w:szCs w:val="24"/>
        </w:rPr>
      </w:pPr>
      <w:r w:rsidRPr="00AE74ED">
        <w:rPr>
          <w:rFonts w:ascii="Sylfaen" w:hAnsi="Sylfaen"/>
          <w:sz w:val="24"/>
          <w:szCs w:val="24"/>
        </w:rPr>
        <w:lastRenderedPageBreak/>
        <w:t>Հոդված 6</w:t>
      </w:r>
    </w:p>
    <w:p w:rsidR="00740682" w:rsidRPr="00AE74ED" w:rsidRDefault="00F24A09" w:rsidP="00AE74ED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E74ED">
        <w:rPr>
          <w:rFonts w:ascii="Sylfaen" w:hAnsi="Sylfaen"/>
          <w:sz w:val="24"/>
          <w:szCs w:val="24"/>
        </w:rPr>
        <w:t>Մինչ</w:t>
      </w:r>
      <w:r w:rsidR="00AE74ED">
        <w:rPr>
          <w:rFonts w:ascii="Sylfaen" w:hAnsi="Sylfaen"/>
          <w:sz w:val="24"/>
          <w:szCs w:val="24"/>
        </w:rPr>
        <w:t>եւ</w:t>
      </w:r>
      <w:r w:rsidRPr="00AE74ED">
        <w:rPr>
          <w:rFonts w:ascii="Sylfaen" w:hAnsi="Sylfaen"/>
          <w:sz w:val="24"/>
          <w:szCs w:val="24"/>
        </w:rPr>
        <w:t xml:space="preserve"> սույն Համաձայնագրի 3-րդ հոդվածով նախատեսված կարգերի </w:t>
      </w:r>
      <w:r w:rsidR="00AE74ED">
        <w:rPr>
          <w:rFonts w:ascii="Sylfaen" w:hAnsi="Sylfaen"/>
          <w:sz w:val="24"/>
          <w:szCs w:val="24"/>
        </w:rPr>
        <w:t>եւ</w:t>
      </w:r>
      <w:r w:rsidRPr="00AE74ED">
        <w:rPr>
          <w:rFonts w:ascii="Sylfaen" w:hAnsi="Sylfaen"/>
          <w:sz w:val="24"/>
          <w:szCs w:val="24"/>
        </w:rPr>
        <w:t xml:space="preserve"> մեթոդիկաների հաստատման վերաբերյալ Եվրասիական տնտեսական </w:t>
      </w:r>
      <w:r w:rsidRPr="00AE74ED">
        <w:rPr>
          <w:rFonts w:ascii="Sylfaen" w:hAnsi="Sylfaen"/>
          <w:spacing w:val="-6"/>
          <w:sz w:val="24"/>
          <w:szCs w:val="24"/>
        </w:rPr>
        <w:t>հանձնաժողովի ակտեր</w:t>
      </w:r>
      <w:r w:rsidR="00BD03F4" w:rsidRPr="00AE74ED">
        <w:rPr>
          <w:rFonts w:ascii="Sylfaen" w:hAnsi="Sylfaen"/>
          <w:spacing w:val="-6"/>
          <w:sz w:val="24"/>
          <w:szCs w:val="24"/>
        </w:rPr>
        <w:t>ն</w:t>
      </w:r>
      <w:r w:rsidRPr="00AE74ED">
        <w:rPr>
          <w:rFonts w:ascii="Sylfaen" w:hAnsi="Sylfaen"/>
          <w:spacing w:val="-6"/>
          <w:sz w:val="24"/>
          <w:szCs w:val="24"/>
        </w:rPr>
        <w:t xml:space="preserve"> ուժի մեջ մտնել</w:t>
      </w:r>
      <w:r w:rsidR="00BD03F4" w:rsidRPr="00AE74ED">
        <w:rPr>
          <w:rFonts w:ascii="Sylfaen" w:hAnsi="Sylfaen"/>
          <w:spacing w:val="-6"/>
          <w:sz w:val="24"/>
          <w:szCs w:val="24"/>
        </w:rPr>
        <w:t>ը՝</w:t>
      </w:r>
      <w:r w:rsidRPr="00AE74ED">
        <w:rPr>
          <w:rFonts w:ascii="Sylfaen" w:hAnsi="Sylfaen"/>
          <w:spacing w:val="-6"/>
          <w:sz w:val="24"/>
          <w:szCs w:val="24"/>
        </w:rPr>
        <w:t xml:space="preserve"> անդամ պետություններում կիրառվում են անդամ</w:t>
      </w:r>
      <w:r w:rsidRPr="00AE74ED">
        <w:rPr>
          <w:rFonts w:ascii="Sylfaen" w:hAnsi="Sylfaen"/>
          <w:sz w:val="24"/>
          <w:szCs w:val="24"/>
        </w:rPr>
        <w:t xml:space="preserve"> պետությունների օրենսդրությամբ նախատեսված համապատասխան կարգերը </w:t>
      </w:r>
      <w:r w:rsidR="00AE74ED">
        <w:rPr>
          <w:rFonts w:ascii="Sylfaen" w:hAnsi="Sylfaen"/>
          <w:sz w:val="24"/>
          <w:szCs w:val="24"/>
        </w:rPr>
        <w:t>եւ</w:t>
      </w:r>
      <w:r w:rsidRPr="00AE74ED">
        <w:rPr>
          <w:rFonts w:ascii="Sylfaen" w:hAnsi="Sylfaen"/>
          <w:sz w:val="24"/>
          <w:szCs w:val="24"/>
        </w:rPr>
        <w:t xml:space="preserve"> մեթոդիկաները:</w:t>
      </w:r>
    </w:p>
    <w:p w:rsidR="00AE74ED" w:rsidRDefault="00AE74ED" w:rsidP="00AE74ED">
      <w:pPr>
        <w:pStyle w:val="Bodytext20"/>
        <w:shd w:val="clear" w:color="auto" w:fill="auto"/>
        <w:spacing w:before="0" w:after="160" w:line="360" w:lineRule="auto"/>
        <w:ind w:left="80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740682" w:rsidRPr="00AE74ED" w:rsidRDefault="00F24A09" w:rsidP="00AE74ED">
      <w:pPr>
        <w:pStyle w:val="Bodytext20"/>
        <w:shd w:val="clear" w:color="auto" w:fill="auto"/>
        <w:spacing w:before="0" w:after="160" w:line="360" w:lineRule="auto"/>
        <w:ind w:left="80" w:firstLine="0"/>
        <w:jc w:val="center"/>
        <w:rPr>
          <w:rFonts w:ascii="Sylfaen" w:hAnsi="Sylfaen"/>
          <w:sz w:val="24"/>
          <w:szCs w:val="24"/>
        </w:rPr>
      </w:pPr>
      <w:r w:rsidRPr="00AE74ED">
        <w:rPr>
          <w:rFonts w:ascii="Sylfaen" w:hAnsi="Sylfaen"/>
          <w:sz w:val="24"/>
          <w:szCs w:val="24"/>
        </w:rPr>
        <w:t>Հոդված 7</w:t>
      </w:r>
    </w:p>
    <w:p w:rsidR="00740682" w:rsidRDefault="00F24A09" w:rsidP="00AE74ED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  <w:lang w:val="en-US"/>
        </w:rPr>
      </w:pPr>
      <w:r w:rsidRPr="00AE74ED">
        <w:rPr>
          <w:rFonts w:ascii="Sylfaen" w:hAnsi="Sylfaen"/>
          <w:sz w:val="24"/>
          <w:szCs w:val="24"/>
        </w:rPr>
        <w:t xml:space="preserve">Սույն Համաձայնագիրը Եվրասիական տնտեսական միության շրջանակներում կնքված միջազգային պայմանագիր է </w:t>
      </w:r>
      <w:r w:rsidR="00AE74ED">
        <w:rPr>
          <w:rFonts w:ascii="Sylfaen" w:hAnsi="Sylfaen"/>
          <w:sz w:val="24"/>
          <w:szCs w:val="24"/>
        </w:rPr>
        <w:t>եւ</w:t>
      </w:r>
      <w:r w:rsidRPr="00AE74ED">
        <w:rPr>
          <w:rFonts w:ascii="Sylfaen" w:hAnsi="Sylfaen"/>
          <w:sz w:val="24"/>
          <w:szCs w:val="24"/>
        </w:rPr>
        <w:t xml:space="preserve"> Եվրասիական տնտեսական միության իրավունքի մասն է կազմում։</w:t>
      </w:r>
    </w:p>
    <w:p w:rsidR="00AE74ED" w:rsidRPr="00AE74ED" w:rsidRDefault="00AE74ED" w:rsidP="00AE74ED">
      <w:pPr>
        <w:pStyle w:val="Bodytext20"/>
        <w:shd w:val="clear" w:color="auto" w:fill="auto"/>
        <w:spacing w:before="0" w:after="160" w:line="360" w:lineRule="auto"/>
        <w:ind w:right="1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740682" w:rsidRPr="00AE74ED" w:rsidRDefault="00F24A09" w:rsidP="00AE74ED">
      <w:pPr>
        <w:pStyle w:val="Bodytext20"/>
        <w:shd w:val="clear" w:color="auto" w:fill="auto"/>
        <w:spacing w:before="0" w:after="160" w:line="360" w:lineRule="auto"/>
        <w:ind w:left="80" w:firstLine="0"/>
        <w:jc w:val="center"/>
        <w:rPr>
          <w:rFonts w:ascii="Sylfaen" w:hAnsi="Sylfaen"/>
          <w:sz w:val="24"/>
          <w:szCs w:val="24"/>
        </w:rPr>
      </w:pPr>
      <w:r w:rsidRPr="00AE74ED">
        <w:rPr>
          <w:rFonts w:ascii="Sylfaen" w:hAnsi="Sylfaen"/>
          <w:sz w:val="24"/>
          <w:szCs w:val="24"/>
        </w:rPr>
        <w:t>Հոդված 8</w:t>
      </w:r>
    </w:p>
    <w:p w:rsidR="00740682" w:rsidRPr="00AE74ED" w:rsidRDefault="00F24A09" w:rsidP="00AE74ED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E74ED">
        <w:rPr>
          <w:rFonts w:ascii="Sylfaen" w:hAnsi="Sylfaen"/>
          <w:sz w:val="24"/>
          <w:szCs w:val="24"/>
        </w:rPr>
        <w:t xml:space="preserve">Սույն Համաձայնագրի կիրառման </w:t>
      </w:r>
      <w:r w:rsidR="00AE74ED">
        <w:rPr>
          <w:rFonts w:ascii="Sylfaen" w:hAnsi="Sylfaen"/>
          <w:sz w:val="24"/>
          <w:szCs w:val="24"/>
        </w:rPr>
        <w:t>եւ</w:t>
      </w:r>
      <w:r w:rsidRPr="00AE74ED">
        <w:rPr>
          <w:rFonts w:ascii="Sylfaen" w:hAnsi="Sylfaen"/>
          <w:sz w:val="24"/>
          <w:szCs w:val="24"/>
        </w:rPr>
        <w:t xml:space="preserve"> (կամ) մեկնաբանման հետ կապված վեճերը կարգավորվում են «Եվրասիական տնտեսական միության մասին» 2014</w:t>
      </w:r>
      <w:r w:rsidR="00AE74ED">
        <w:rPr>
          <w:rFonts w:ascii="Sylfaen" w:hAnsi="Sylfaen"/>
          <w:sz w:val="24"/>
          <w:szCs w:val="24"/>
          <w:lang w:val="en-US"/>
        </w:rPr>
        <w:t> </w:t>
      </w:r>
      <w:r w:rsidRPr="00AE74ED">
        <w:rPr>
          <w:rFonts w:ascii="Sylfaen" w:hAnsi="Sylfaen"/>
          <w:sz w:val="24"/>
          <w:szCs w:val="24"/>
        </w:rPr>
        <w:t>թվականի մայիսի 29-ի պայմանագրով սահմանված կարգով:</w:t>
      </w:r>
    </w:p>
    <w:p w:rsidR="00AE74ED" w:rsidRDefault="00AE74ED" w:rsidP="00AE74ED">
      <w:pPr>
        <w:pStyle w:val="Bodytext20"/>
        <w:shd w:val="clear" w:color="auto" w:fill="auto"/>
        <w:spacing w:before="0" w:after="160" w:line="360" w:lineRule="auto"/>
        <w:ind w:left="80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740682" w:rsidRPr="00AE74ED" w:rsidRDefault="00F24A09" w:rsidP="00AE74ED">
      <w:pPr>
        <w:pStyle w:val="Bodytext20"/>
        <w:shd w:val="clear" w:color="auto" w:fill="auto"/>
        <w:spacing w:before="0" w:after="160" w:line="360" w:lineRule="auto"/>
        <w:ind w:left="80" w:firstLine="0"/>
        <w:jc w:val="center"/>
        <w:rPr>
          <w:rFonts w:ascii="Sylfaen" w:hAnsi="Sylfaen"/>
          <w:sz w:val="24"/>
          <w:szCs w:val="24"/>
        </w:rPr>
      </w:pPr>
      <w:r w:rsidRPr="00AE74ED">
        <w:rPr>
          <w:rFonts w:ascii="Sylfaen" w:hAnsi="Sylfaen"/>
          <w:sz w:val="24"/>
          <w:szCs w:val="24"/>
        </w:rPr>
        <w:t>Հոդված 9</w:t>
      </w:r>
    </w:p>
    <w:p w:rsidR="00740682" w:rsidRPr="00AE74ED" w:rsidRDefault="00F24A09" w:rsidP="00AE74ED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E74ED">
        <w:rPr>
          <w:rFonts w:ascii="Sylfaen" w:hAnsi="Sylfaen"/>
          <w:sz w:val="24"/>
          <w:szCs w:val="24"/>
        </w:rPr>
        <w:t>Անդամ պետությունների փոխադարձ համաձայնությամբ սույն Համաձայնագրում կարող են կատարվել փոփոխություններ եւ լրացումներ, որոնք ձեւակերպվում են առանձին արձանագրություններով եւ կազմում են սույն Համաձայնագրի անբաժանելի մասը։</w:t>
      </w:r>
    </w:p>
    <w:p w:rsidR="00AE74ED" w:rsidRDefault="00AE74ED">
      <w:pPr>
        <w:rPr>
          <w:rFonts w:ascii="Sylfaen" w:eastAsia="Times New Roman" w:hAnsi="Sylfaen" w:cs="Times New Roman"/>
        </w:rPr>
      </w:pPr>
      <w:r>
        <w:rPr>
          <w:rFonts w:ascii="Sylfaen" w:hAnsi="Sylfaen"/>
        </w:rPr>
        <w:br w:type="page"/>
      </w:r>
    </w:p>
    <w:p w:rsidR="00740682" w:rsidRPr="00AE74ED" w:rsidRDefault="00F24A09" w:rsidP="00AE74ED">
      <w:pPr>
        <w:pStyle w:val="Bodytext20"/>
        <w:shd w:val="clear" w:color="auto" w:fill="auto"/>
        <w:spacing w:before="0" w:after="160" w:line="360" w:lineRule="auto"/>
        <w:ind w:left="60" w:firstLine="0"/>
        <w:jc w:val="center"/>
        <w:rPr>
          <w:rFonts w:ascii="Sylfaen" w:hAnsi="Sylfaen"/>
          <w:sz w:val="24"/>
          <w:szCs w:val="24"/>
        </w:rPr>
      </w:pPr>
      <w:r w:rsidRPr="00AE74ED">
        <w:rPr>
          <w:rFonts w:ascii="Sylfaen" w:hAnsi="Sylfaen"/>
          <w:sz w:val="24"/>
          <w:szCs w:val="24"/>
        </w:rPr>
        <w:lastRenderedPageBreak/>
        <w:t>Հոդված 10</w:t>
      </w:r>
    </w:p>
    <w:p w:rsidR="00740682" w:rsidRPr="00AE74ED" w:rsidRDefault="00F24A09" w:rsidP="00AE74ED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E74ED">
        <w:rPr>
          <w:rFonts w:ascii="Sylfaen" w:hAnsi="Sylfaen"/>
          <w:sz w:val="24"/>
          <w:szCs w:val="24"/>
        </w:rPr>
        <w:t>Սույն Համաձայնագիրն ուժի մեջ է մտնում սույն Համաձայնագիրն ուժի մեջ մտնելու համար անհրաժեշտ ներպետական ընթացակարգերն անդամ պետությունների կողմից կատարված լինելու մասին վերջին գրավոր ծանուցումն ավանդապահի կողմից դիվանագիտական ուղիներով ստանալու օրվանից 30</w:t>
      </w:r>
      <w:r w:rsidR="00AE74ED" w:rsidRPr="00AE74ED">
        <w:rPr>
          <w:rFonts w:ascii="Sylfaen" w:hAnsi="Sylfaen"/>
          <w:sz w:val="24"/>
          <w:szCs w:val="24"/>
        </w:rPr>
        <w:t> </w:t>
      </w:r>
      <w:r w:rsidRPr="00AE74ED">
        <w:rPr>
          <w:rFonts w:ascii="Sylfaen" w:hAnsi="Sylfaen"/>
          <w:sz w:val="24"/>
          <w:szCs w:val="24"/>
        </w:rPr>
        <w:t>օրացուցային օրը լրանալուց հետո։</w:t>
      </w:r>
    </w:p>
    <w:p w:rsidR="00740682" w:rsidRPr="00AE74ED" w:rsidRDefault="00F24A09" w:rsidP="00AE74ED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E74ED">
        <w:rPr>
          <w:rFonts w:ascii="Sylfaen" w:hAnsi="Sylfaen"/>
          <w:sz w:val="24"/>
          <w:szCs w:val="24"/>
        </w:rPr>
        <w:t>Կատարված է ——————քաղաքում, 201__ թվականի ____________, մեկ բնօրինակից՝ ռուսերենով։</w:t>
      </w:r>
    </w:p>
    <w:p w:rsidR="00740682" w:rsidRPr="00AE74ED" w:rsidRDefault="00F24A09" w:rsidP="00AE74ED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E74ED">
        <w:rPr>
          <w:rFonts w:ascii="Sylfaen" w:hAnsi="Sylfaen"/>
          <w:sz w:val="24"/>
          <w:szCs w:val="24"/>
        </w:rPr>
        <w:t>Սույն Համաձայնագրի բնօրինակը պահվում է Եվրասիական տնտեսական հանձնաժողովում, որը, որպես սույն Համաձայնագրի ավանդապահ, յուրաքանչյուր անդամ պետության կտրամադրի դրա հաստատված պատճենը։</w:t>
      </w:r>
    </w:p>
    <w:p w:rsidR="009025AA" w:rsidRPr="00AE74ED" w:rsidRDefault="009025AA" w:rsidP="00AE74ED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</w:p>
    <w:tbl>
      <w:tblPr>
        <w:tblOverlap w:val="never"/>
        <w:tblW w:w="11269" w:type="dxa"/>
        <w:tblInd w:w="-11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6"/>
        <w:gridCol w:w="2366"/>
        <w:gridCol w:w="2365"/>
        <w:gridCol w:w="2324"/>
        <w:gridCol w:w="1918"/>
      </w:tblGrid>
      <w:tr w:rsidR="00FD3394" w:rsidRPr="00AE74ED" w:rsidTr="00FD3394">
        <w:tc>
          <w:tcPr>
            <w:tcW w:w="2296" w:type="dxa"/>
            <w:shd w:val="clear" w:color="auto" w:fill="FFFFFF"/>
          </w:tcPr>
          <w:p w:rsidR="009025AA" w:rsidRPr="00AE74ED" w:rsidRDefault="009025AA" w:rsidP="00FD3394">
            <w:pPr>
              <w:pStyle w:val="Bodytext20"/>
              <w:shd w:val="clear" w:color="auto" w:fill="auto"/>
              <w:spacing w:before="0" w:after="160" w:line="360" w:lineRule="auto"/>
              <w:ind w:right="-10" w:firstLine="0"/>
              <w:jc w:val="center"/>
              <w:rPr>
                <w:rFonts w:ascii="Sylfaen" w:hAnsi="Sylfaen"/>
                <w:b/>
                <w:spacing w:val="-6"/>
                <w:sz w:val="22"/>
                <w:szCs w:val="22"/>
              </w:rPr>
            </w:pPr>
            <w:r w:rsidRPr="00AE74ED">
              <w:rPr>
                <w:rStyle w:val="Bodytext213pt"/>
                <w:rFonts w:ascii="Sylfaen" w:hAnsi="Sylfaen"/>
                <w:b/>
                <w:spacing w:val="-6"/>
                <w:sz w:val="22"/>
                <w:szCs w:val="22"/>
              </w:rPr>
              <w:t>Հայաստանի Հանրապետության կողմից՝</w:t>
            </w:r>
          </w:p>
        </w:tc>
        <w:tc>
          <w:tcPr>
            <w:tcW w:w="2366" w:type="dxa"/>
            <w:shd w:val="clear" w:color="auto" w:fill="FFFFFF"/>
          </w:tcPr>
          <w:p w:rsidR="009025AA" w:rsidRPr="00AE74ED" w:rsidRDefault="009025AA" w:rsidP="00AE74ED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b/>
                <w:spacing w:val="-6"/>
                <w:sz w:val="22"/>
                <w:szCs w:val="22"/>
              </w:rPr>
            </w:pPr>
            <w:r w:rsidRPr="00AE74ED">
              <w:rPr>
                <w:rStyle w:val="Bodytext213pt"/>
                <w:rFonts w:ascii="Sylfaen" w:hAnsi="Sylfaen"/>
                <w:b/>
                <w:spacing w:val="-6"/>
                <w:sz w:val="22"/>
                <w:szCs w:val="22"/>
              </w:rPr>
              <w:t>Բելառուսի Հանրապետության կողմից՝</w:t>
            </w:r>
          </w:p>
        </w:tc>
        <w:tc>
          <w:tcPr>
            <w:tcW w:w="2365" w:type="dxa"/>
            <w:shd w:val="clear" w:color="auto" w:fill="FFFFFF"/>
          </w:tcPr>
          <w:p w:rsidR="009025AA" w:rsidRPr="00AE74ED" w:rsidRDefault="009025AA" w:rsidP="00AE74ED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b/>
                <w:spacing w:val="-6"/>
                <w:sz w:val="22"/>
                <w:szCs w:val="22"/>
              </w:rPr>
            </w:pPr>
            <w:r w:rsidRPr="00AE74ED">
              <w:rPr>
                <w:rStyle w:val="Bodytext213pt"/>
                <w:rFonts w:ascii="Sylfaen" w:hAnsi="Sylfaen"/>
                <w:b/>
                <w:spacing w:val="-6"/>
                <w:sz w:val="22"/>
                <w:szCs w:val="22"/>
              </w:rPr>
              <w:t>Ղազախստանի Հանրապետության կողմից՝</w:t>
            </w:r>
          </w:p>
        </w:tc>
        <w:tc>
          <w:tcPr>
            <w:tcW w:w="2324" w:type="dxa"/>
            <w:shd w:val="clear" w:color="auto" w:fill="FFFFFF"/>
          </w:tcPr>
          <w:p w:rsidR="009025AA" w:rsidRPr="00AE74ED" w:rsidRDefault="009025AA" w:rsidP="00AE74ED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b/>
                <w:spacing w:val="-6"/>
                <w:sz w:val="22"/>
                <w:szCs w:val="22"/>
              </w:rPr>
            </w:pPr>
            <w:r w:rsidRPr="00AE74ED">
              <w:rPr>
                <w:rStyle w:val="Bodytext213pt"/>
                <w:rFonts w:ascii="Sylfaen" w:hAnsi="Sylfaen"/>
                <w:b/>
                <w:spacing w:val="-6"/>
                <w:sz w:val="22"/>
                <w:szCs w:val="22"/>
              </w:rPr>
              <w:t>Ղրղզստանի Հանրապետության կողմից՝</w:t>
            </w:r>
          </w:p>
        </w:tc>
        <w:tc>
          <w:tcPr>
            <w:tcW w:w="1918" w:type="dxa"/>
            <w:shd w:val="clear" w:color="auto" w:fill="FFFFFF"/>
          </w:tcPr>
          <w:p w:rsidR="009025AA" w:rsidRPr="00AE74ED" w:rsidRDefault="009025AA" w:rsidP="00AE74ED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b/>
                <w:spacing w:val="-6"/>
                <w:sz w:val="22"/>
                <w:szCs w:val="22"/>
              </w:rPr>
            </w:pPr>
            <w:r w:rsidRPr="00AE74ED">
              <w:rPr>
                <w:rStyle w:val="Bodytext213pt"/>
                <w:rFonts w:ascii="Sylfaen" w:hAnsi="Sylfaen"/>
                <w:b/>
                <w:spacing w:val="-6"/>
                <w:sz w:val="22"/>
                <w:szCs w:val="22"/>
              </w:rPr>
              <w:t>Ռուսաստանի Դաշնության կողմից՝</w:t>
            </w:r>
          </w:p>
        </w:tc>
      </w:tr>
    </w:tbl>
    <w:p w:rsidR="00740682" w:rsidRPr="00AE74ED" w:rsidRDefault="00740682" w:rsidP="00AE74ED">
      <w:pPr>
        <w:spacing w:after="160" w:line="360" w:lineRule="auto"/>
        <w:rPr>
          <w:rFonts w:ascii="Sylfaen" w:hAnsi="Sylfaen"/>
        </w:rPr>
      </w:pPr>
    </w:p>
    <w:sectPr w:rsidR="00740682" w:rsidRPr="00AE74ED" w:rsidSect="00FD3394">
      <w:footerReference w:type="default" r:id="rId8"/>
      <w:pgSz w:w="11909" w:h="16840" w:code="9"/>
      <w:pgMar w:top="1418" w:right="1418" w:bottom="1418" w:left="1418" w:header="0" w:footer="63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3D3" w:rsidRDefault="005E53D3" w:rsidP="00740682">
      <w:r>
        <w:separator/>
      </w:r>
    </w:p>
  </w:endnote>
  <w:endnote w:type="continuationSeparator" w:id="0">
    <w:p w:rsidR="005E53D3" w:rsidRDefault="005E53D3" w:rsidP="0074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25141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FD3394" w:rsidRPr="00FD3394" w:rsidRDefault="00FD3394">
        <w:pPr>
          <w:pStyle w:val="Footer"/>
          <w:jc w:val="center"/>
          <w:rPr>
            <w:rFonts w:ascii="Sylfaen" w:hAnsi="Sylfaen"/>
          </w:rPr>
        </w:pPr>
        <w:r w:rsidRPr="00FD3394">
          <w:rPr>
            <w:rFonts w:ascii="Sylfaen" w:hAnsi="Sylfaen"/>
          </w:rPr>
          <w:fldChar w:fldCharType="begin"/>
        </w:r>
        <w:r w:rsidRPr="00FD3394">
          <w:rPr>
            <w:rFonts w:ascii="Sylfaen" w:hAnsi="Sylfaen"/>
          </w:rPr>
          <w:instrText xml:space="preserve"> PAGE   \* MERGEFORMAT </w:instrText>
        </w:r>
        <w:r w:rsidRPr="00FD3394">
          <w:rPr>
            <w:rFonts w:ascii="Sylfaen" w:hAnsi="Sylfaen"/>
          </w:rPr>
          <w:fldChar w:fldCharType="separate"/>
        </w:r>
        <w:r w:rsidR="009A1CA3">
          <w:rPr>
            <w:rFonts w:ascii="Sylfaen" w:hAnsi="Sylfaen"/>
            <w:noProof/>
          </w:rPr>
          <w:t>2</w:t>
        </w:r>
        <w:r w:rsidRPr="00FD3394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3D3" w:rsidRDefault="005E53D3"/>
  </w:footnote>
  <w:footnote w:type="continuationSeparator" w:id="0">
    <w:p w:rsidR="005E53D3" w:rsidRDefault="005E53D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33092"/>
    <w:multiLevelType w:val="multilevel"/>
    <w:tmpl w:val="08DAD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82"/>
    <w:rsid w:val="00072EED"/>
    <w:rsid w:val="000B6B90"/>
    <w:rsid w:val="001F6780"/>
    <w:rsid w:val="00201EA9"/>
    <w:rsid w:val="00283BBC"/>
    <w:rsid w:val="0031030B"/>
    <w:rsid w:val="00370981"/>
    <w:rsid w:val="005E53D3"/>
    <w:rsid w:val="005E603B"/>
    <w:rsid w:val="00740682"/>
    <w:rsid w:val="00796FC5"/>
    <w:rsid w:val="007F3E26"/>
    <w:rsid w:val="00824043"/>
    <w:rsid w:val="00847E88"/>
    <w:rsid w:val="009025AA"/>
    <w:rsid w:val="009851D3"/>
    <w:rsid w:val="009A1CA3"/>
    <w:rsid w:val="009E36F7"/>
    <w:rsid w:val="00AE74ED"/>
    <w:rsid w:val="00AF4F42"/>
    <w:rsid w:val="00B350BB"/>
    <w:rsid w:val="00BD03F4"/>
    <w:rsid w:val="00CB24F9"/>
    <w:rsid w:val="00D5523B"/>
    <w:rsid w:val="00D924E9"/>
    <w:rsid w:val="00DE3F38"/>
    <w:rsid w:val="00EA720E"/>
    <w:rsid w:val="00F24A09"/>
    <w:rsid w:val="00FD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068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40682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740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740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740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740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7406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,Spacing 2 pt"/>
    <w:basedOn w:val="Bodytext2"/>
    <w:rsid w:val="00740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3pt">
    <w:name w:val="Body text (2) + 13 pt"/>
    <w:basedOn w:val="Bodytext2"/>
    <w:rsid w:val="007406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740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Spacing2pt">
    <w:name w:val="Heading #2 + Spacing 2 pt"/>
    <w:basedOn w:val="Heading2"/>
    <w:rsid w:val="00740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740682"/>
    <w:pPr>
      <w:shd w:val="clear" w:color="auto" w:fill="FFFFFF"/>
      <w:spacing w:before="420" w:after="30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740682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7406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740682"/>
    <w:pPr>
      <w:shd w:val="clear" w:color="auto" w:fill="FFFFFF"/>
      <w:spacing w:before="300" w:line="518" w:lineRule="exact"/>
      <w:ind w:hanging="68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740682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12pt">
    <w:name w:val="Body text (2) + 12 pt"/>
    <w:aliases w:val="Spacing -1 pt"/>
    <w:basedOn w:val="Bodytext2"/>
    <w:rsid w:val="00902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4E9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D3394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339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D3394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339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068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40682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740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740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740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740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7406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,Spacing 2 pt"/>
    <w:basedOn w:val="Bodytext2"/>
    <w:rsid w:val="00740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3pt">
    <w:name w:val="Body text (2) + 13 pt"/>
    <w:basedOn w:val="Bodytext2"/>
    <w:rsid w:val="007406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740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Spacing2pt">
    <w:name w:val="Heading #2 + Spacing 2 pt"/>
    <w:basedOn w:val="Heading2"/>
    <w:rsid w:val="00740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740682"/>
    <w:pPr>
      <w:shd w:val="clear" w:color="auto" w:fill="FFFFFF"/>
      <w:spacing w:before="420" w:after="30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740682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7406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740682"/>
    <w:pPr>
      <w:shd w:val="clear" w:color="auto" w:fill="FFFFFF"/>
      <w:spacing w:before="300" w:line="518" w:lineRule="exact"/>
      <w:ind w:hanging="68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740682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12pt">
    <w:name w:val="Body text (2) + 12 pt"/>
    <w:aliases w:val="Spacing -1 pt"/>
    <w:basedOn w:val="Bodytext2"/>
    <w:rsid w:val="00902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4E9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D3394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339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D3394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339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 Baghdasaryan</dc:creator>
  <cp:lastModifiedBy>Vahagn Karamyan</cp:lastModifiedBy>
  <cp:revision>2</cp:revision>
  <dcterms:created xsi:type="dcterms:W3CDTF">2018-08-24T06:54:00Z</dcterms:created>
  <dcterms:modified xsi:type="dcterms:W3CDTF">2018-08-24T06:54:00Z</dcterms:modified>
</cp:coreProperties>
</file>