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EB" w:rsidRPr="00FA4B92" w:rsidRDefault="00C35A21" w:rsidP="009C1B0C">
      <w:pPr>
        <w:pStyle w:val="Headingnumber20"/>
        <w:shd w:val="clear" w:color="auto" w:fill="auto"/>
        <w:spacing w:after="160" w:line="360" w:lineRule="auto"/>
        <w:ind w:left="9639" w:right="-3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FA4B92">
        <w:rPr>
          <w:rFonts w:ascii="Sylfaen" w:hAnsi="Sylfaen"/>
          <w:sz w:val="24"/>
          <w:szCs w:val="24"/>
        </w:rPr>
        <w:t>ՀԱՎԵԼՎԱԾ</w:t>
      </w:r>
    </w:p>
    <w:p w:rsidR="00630FEB" w:rsidRPr="00FA4B92" w:rsidRDefault="00C35A21" w:rsidP="009C1B0C">
      <w:pPr>
        <w:pStyle w:val="Headingnumber20"/>
        <w:shd w:val="clear" w:color="auto" w:fill="auto"/>
        <w:spacing w:after="160" w:line="360" w:lineRule="auto"/>
        <w:ind w:left="9639" w:right="-30"/>
        <w:jc w:val="center"/>
        <w:rPr>
          <w:rFonts w:ascii="Sylfaen" w:hAnsi="Sylfaen"/>
          <w:sz w:val="24"/>
          <w:szCs w:val="24"/>
        </w:rPr>
      </w:pPr>
      <w:bookmarkStart w:id="1" w:name="bookmark1"/>
      <w:r w:rsidRPr="00FA4B92">
        <w:rPr>
          <w:rStyle w:val="Heading2NotBold"/>
          <w:rFonts w:ascii="Sylfaen" w:hAnsi="Sylfaen"/>
          <w:sz w:val="24"/>
          <w:szCs w:val="24"/>
        </w:rPr>
        <w:t>Եվրասիական տնտեսական հանձնաժողովի խորհրդի</w:t>
      </w:r>
      <w:bookmarkEnd w:id="1"/>
      <w:r w:rsidR="009C1B0C">
        <w:rPr>
          <w:rFonts w:ascii="Sylfaen" w:hAnsi="Sylfaen"/>
          <w:sz w:val="24"/>
          <w:szCs w:val="24"/>
        </w:rPr>
        <w:br/>
      </w:r>
      <w:r w:rsidRPr="00FA4B92">
        <w:rPr>
          <w:rStyle w:val="Heading2NotBold"/>
          <w:rFonts w:ascii="Sylfaen" w:hAnsi="Sylfaen"/>
          <w:sz w:val="24"/>
          <w:szCs w:val="24"/>
        </w:rPr>
        <w:t xml:space="preserve">2017 թվականի մայիսի 17-ի </w:t>
      </w:r>
      <w:r w:rsidR="009C1B0C">
        <w:rPr>
          <w:rStyle w:val="Heading2NotBold"/>
          <w:rFonts w:ascii="Sylfaen" w:hAnsi="Sylfaen"/>
          <w:sz w:val="24"/>
          <w:szCs w:val="24"/>
        </w:rPr>
        <w:br/>
      </w:r>
      <w:r w:rsidRPr="00FA4B92">
        <w:rPr>
          <w:rStyle w:val="Heading2NotBold"/>
          <w:rFonts w:ascii="Sylfaen" w:hAnsi="Sylfaen"/>
          <w:sz w:val="24"/>
          <w:szCs w:val="24"/>
        </w:rPr>
        <w:t>թիվ 15 կարգադրության</w:t>
      </w:r>
    </w:p>
    <w:p w:rsidR="00325A46" w:rsidRPr="00FA4B92" w:rsidRDefault="00325A46" w:rsidP="00FA4B92">
      <w:pPr>
        <w:pStyle w:val="Heading220"/>
        <w:shd w:val="clear" w:color="auto" w:fill="auto"/>
        <w:spacing w:before="0" w:after="160" w:line="360" w:lineRule="auto"/>
        <w:ind w:right="20"/>
        <w:jc w:val="both"/>
        <w:outlineLvl w:val="9"/>
        <w:rPr>
          <w:rStyle w:val="Heading22Spacing3pt"/>
          <w:rFonts w:ascii="Sylfaen" w:hAnsi="Sylfaen"/>
          <w:b/>
          <w:bCs/>
          <w:spacing w:val="0"/>
          <w:sz w:val="24"/>
          <w:szCs w:val="24"/>
        </w:rPr>
      </w:pPr>
    </w:p>
    <w:p w:rsidR="00630FEB" w:rsidRPr="00FA4B92" w:rsidRDefault="00C35A21" w:rsidP="006E0EBE">
      <w:pPr>
        <w:pStyle w:val="Heading220"/>
        <w:shd w:val="clear" w:color="auto" w:fill="auto"/>
        <w:spacing w:before="0" w:after="160" w:line="360" w:lineRule="auto"/>
        <w:ind w:left="567" w:right="679"/>
        <w:outlineLvl w:val="9"/>
        <w:rPr>
          <w:rFonts w:ascii="Sylfaen" w:hAnsi="Sylfaen"/>
          <w:sz w:val="24"/>
          <w:szCs w:val="24"/>
        </w:rPr>
      </w:pPr>
      <w:r w:rsidRPr="00FA4B92">
        <w:rPr>
          <w:rStyle w:val="Heading22Spacing3pt"/>
          <w:rFonts w:ascii="Sylfaen" w:hAnsi="Sylfaen"/>
          <w:b/>
          <w:spacing w:val="0"/>
          <w:sz w:val="24"/>
          <w:szCs w:val="24"/>
        </w:rPr>
        <w:t>ՑԱՆԿ</w:t>
      </w:r>
    </w:p>
    <w:p w:rsidR="00630FEB" w:rsidRPr="00FA4B92" w:rsidRDefault="00C35A21" w:rsidP="006E0EBE">
      <w:pPr>
        <w:pStyle w:val="Heading220"/>
        <w:shd w:val="clear" w:color="auto" w:fill="auto"/>
        <w:spacing w:before="0" w:after="160" w:line="360" w:lineRule="auto"/>
        <w:ind w:left="567" w:right="679"/>
        <w:outlineLvl w:val="9"/>
        <w:rPr>
          <w:rFonts w:ascii="Sylfaen" w:hAnsi="Sylfaen"/>
          <w:sz w:val="24"/>
          <w:szCs w:val="24"/>
        </w:rPr>
      </w:pPr>
      <w:r w:rsidRPr="00FA4B92">
        <w:rPr>
          <w:rFonts w:ascii="Sylfaen" w:hAnsi="Sylfaen"/>
          <w:sz w:val="24"/>
          <w:szCs w:val="24"/>
        </w:rPr>
        <w:t xml:space="preserve">Եվրասիական տնտեսական հանձնաժողովի՝ Եվրասիական տնտեսական միության շրջանակներում դեղամիջոցների </w:t>
      </w:r>
      <w:r w:rsidR="00FA4B92">
        <w:rPr>
          <w:rFonts w:ascii="Sylfaen" w:hAnsi="Sylfaen"/>
          <w:sz w:val="24"/>
          <w:szCs w:val="24"/>
        </w:rPr>
        <w:t>եւ</w:t>
      </w:r>
      <w:r w:rsidRPr="00FA4B92">
        <w:rPr>
          <w:rFonts w:ascii="Sylfaen" w:hAnsi="Sylfaen"/>
          <w:sz w:val="24"/>
          <w:szCs w:val="24"/>
        </w:rPr>
        <w:t xml:space="preserve"> բժշկական արտադրատեսակների ընդհանուր շուկաների կարգավորման հարցերին առնչվող ակտերի</w:t>
      </w:r>
      <w:r w:rsidR="004C5F13" w:rsidRPr="00FA4B92">
        <w:rPr>
          <w:rFonts w:ascii="Sylfaen" w:hAnsi="Sylfaen"/>
          <w:sz w:val="24"/>
          <w:szCs w:val="24"/>
        </w:rPr>
        <w:t>՝ 2017-2019 թվականների համար</w:t>
      </w:r>
    </w:p>
    <w:p w:rsidR="00325A46" w:rsidRPr="00FA4B92" w:rsidRDefault="00325A46" w:rsidP="00FA4B92">
      <w:pPr>
        <w:pStyle w:val="Heading220"/>
        <w:shd w:val="clear" w:color="auto" w:fill="auto"/>
        <w:spacing w:before="0" w:after="160" w:line="360" w:lineRule="auto"/>
        <w:ind w:right="20"/>
        <w:jc w:val="both"/>
        <w:outlineLvl w:val="9"/>
        <w:rPr>
          <w:rFonts w:ascii="Sylfaen" w:hAnsi="Sylfae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26"/>
        <w:gridCol w:w="1667"/>
        <w:gridCol w:w="2113"/>
      </w:tblGrid>
      <w:tr w:rsidR="00630FEB" w:rsidRPr="006E0EBE" w:rsidTr="006E0EBE">
        <w:trPr>
          <w:tblHeader/>
          <w:jc w:val="center"/>
        </w:trPr>
        <w:tc>
          <w:tcPr>
            <w:tcW w:w="10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FEB" w:rsidRPr="006E0EBE" w:rsidRDefault="00C35A21" w:rsidP="006E0EB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հանձնաժողովի ակտի նախագծի անվանումը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FEB" w:rsidRPr="006E0EBE" w:rsidRDefault="00C35A21" w:rsidP="006E0EB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Ակնկալվող արդյունքը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FEB" w:rsidRPr="006E0EBE" w:rsidRDefault="00C35A21" w:rsidP="006E0EBE">
            <w:pPr>
              <w:pStyle w:val="Bodytext20"/>
              <w:shd w:val="clear" w:color="auto" w:fill="auto"/>
              <w:spacing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Պատասխանատու մշակողը</w:t>
            </w:r>
          </w:p>
        </w:tc>
      </w:tr>
      <w:tr w:rsidR="00630FEB" w:rsidRPr="006E0EBE" w:rsidTr="006E0EBE">
        <w:trPr>
          <w:jc w:val="center"/>
        </w:trPr>
        <w:tc>
          <w:tcPr>
            <w:tcW w:w="10926" w:type="dxa"/>
            <w:tcBorders>
              <w:top w:val="single" w:sz="4" w:space="0" w:color="auto"/>
            </w:tcBorders>
            <w:shd w:val="clear" w:color="auto" w:fill="FFFFFF"/>
          </w:tcPr>
          <w:p w:rsidR="00630FEB" w:rsidRPr="006E0EBE" w:rsidRDefault="00C35A21" w:rsidP="006E0EBE">
            <w:pPr>
              <w:pStyle w:val="Bodytext20"/>
              <w:shd w:val="clear" w:color="auto" w:fill="auto"/>
              <w:tabs>
                <w:tab w:val="left" w:pos="509"/>
              </w:tabs>
              <w:spacing w:after="120" w:line="240" w:lineRule="auto"/>
              <w:ind w:left="47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6E0EBE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հանձնաժողովի՝ (այսուհետ` Հանձնաժողով) «</w:t>
            </w:r>
            <w:r w:rsidR="00E00BB8"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Հակաբիոտիկներում առկա </w:t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հարակից խառնուկներին ներկայացվող մասնագրերի պահանջների ընտրության ձեռնարկի մասին» որոշման նախագիծ</w:t>
            </w:r>
          </w:p>
        </w:tc>
        <w:tc>
          <w:tcPr>
            <w:tcW w:w="1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30FEB" w:rsidRPr="006E0EBE" w:rsidRDefault="00C35A21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 որոշում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30FEB" w:rsidRPr="006E0EBE" w:rsidRDefault="00C35A21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630FEB" w:rsidRPr="006E0EBE" w:rsidTr="006E0EBE">
        <w:trPr>
          <w:trHeight w:val="383"/>
          <w:jc w:val="center"/>
        </w:trPr>
        <w:tc>
          <w:tcPr>
            <w:tcW w:w="10926" w:type="dxa"/>
            <w:vMerge w:val="restart"/>
            <w:shd w:val="clear" w:color="auto" w:fill="FFFFFF"/>
          </w:tcPr>
          <w:p w:rsidR="00630FEB" w:rsidRPr="006E0EBE" w:rsidRDefault="00C35A21" w:rsidP="006E0EBE">
            <w:pPr>
              <w:pStyle w:val="Bodytext20"/>
              <w:shd w:val="clear" w:color="auto" w:fill="auto"/>
              <w:tabs>
                <w:tab w:val="left" w:pos="509"/>
              </w:tabs>
              <w:spacing w:after="120" w:line="240" w:lineRule="auto"/>
              <w:ind w:left="47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6E0EBE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Հանձնաժողովի՝ «Անալիտիկ մեթոդիկաների վալիդացման ձեռնարկի մասին» որոշման նախագիծ</w:t>
            </w:r>
          </w:p>
        </w:tc>
        <w:tc>
          <w:tcPr>
            <w:tcW w:w="1667" w:type="dxa"/>
            <w:vMerge w:val="restart"/>
            <w:shd w:val="clear" w:color="auto" w:fill="FFFFFF"/>
            <w:vAlign w:val="center"/>
          </w:tcPr>
          <w:p w:rsidR="00630FEB" w:rsidRPr="006E0EBE" w:rsidRDefault="00C35A21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 որոշում</w:t>
            </w:r>
          </w:p>
        </w:tc>
        <w:tc>
          <w:tcPr>
            <w:tcW w:w="2113" w:type="dxa"/>
            <w:vMerge w:val="restart"/>
            <w:shd w:val="clear" w:color="auto" w:fill="FFFFFF"/>
            <w:vAlign w:val="center"/>
          </w:tcPr>
          <w:p w:rsidR="00630FEB" w:rsidRPr="006E0EBE" w:rsidRDefault="00C35A21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630FEB" w:rsidRPr="006E0EBE" w:rsidTr="006E0EBE">
        <w:trPr>
          <w:trHeight w:val="383"/>
          <w:jc w:val="center"/>
        </w:trPr>
        <w:tc>
          <w:tcPr>
            <w:tcW w:w="10926" w:type="dxa"/>
            <w:vMerge/>
            <w:shd w:val="clear" w:color="auto" w:fill="FFFFFF"/>
          </w:tcPr>
          <w:p w:rsidR="00630FEB" w:rsidRPr="006E0EBE" w:rsidRDefault="00630FEB" w:rsidP="006E0EBE">
            <w:pPr>
              <w:tabs>
                <w:tab w:val="left" w:pos="509"/>
              </w:tabs>
              <w:spacing w:after="120"/>
              <w:ind w:left="47"/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shd w:val="clear" w:color="auto" w:fill="FFFFFF"/>
            <w:vAlign w:val="center"/>
          </w:tcPr>
          <w:p w:rsidR="00630FEB" w:rsidRPr="006E0EBE" w:rsidRDefault="00630FEB" w:rsidP="006E0EBE">
            <w:pPr>
              <w:spacing w:after="120"/>
              <w:ind w:left="54" w:right="41"/>
              <w:jc w:val="center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FFFFFF"/>
            <w:vAlign w:val="center"/>
          </w:tcPr>
          <w:p w:rsidR="00630FEB" w:rsidRPr="006E0EBE" w:rsidRDefault="00630FEB" w:rsidP="006E0EBE">
            <w:pPr>
              <w:spacing w:after="120"/>
              <w:ind w:left="54" w:right="41"/>
              <w:jc w:val="center"/>
              <w:rPr>
                <w:sz w:val="20"/>
                <w:szCs w:val="20"/>
              </w:rPr>
            </w:pPr>
          </w:p>
        </w:tc>
      </w:tr>
      <w:tr w:rsidR="00630FEB" w:rsidRPr="006E0EBE" w:rsidTr="006E0EBE">
        <w:trPr>
          <w:trHeight w:val="383"/>
          <w:jc w:val="center"/>
        </w:trPr>
        <w:tc>
          <w:tcPr>
            <w:tcW w:w="10926" w:type="dxa"/>
            <w:vMerge w:val="restart"/>
            <w:shd w:val="clear" w:color="auto" w:fill="FFFFFF"/>
          </w:tcPr>
          <w:p w:rsidR="00630FEB" w:rsidRPr="006E0EBE" w:rsidRDefault="00C35A21" w:rsidP="006E0EBE">
            <w:pPr>
              <w:pStyle w:val="Bodytext20"/>
              <w:shd w:val="clear" w:color="auto" w:fill="auto"/>
              <w:tabs>
                <w:tab w:val="left" w:pos="509"/>
              </w:tabs>
              <w:spacing w:after="120" w:line="240" w:lineRule="auto"/>
              <w:ind w:left="47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6E0EBE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Հանձնաժողովի՝ «Դեղապատրաստուկների </w:t>
            </w:r>
            <w:r w:rsidR="00FA4B92" w:rsidRPr="006E0EBE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 դեղագործական </w:t>
            </w:r>
            <w:r w:rsidR="00E00BB8"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սուբստանցիաների </w:t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կայունության հետազոտությանը ներկայացվող պահանջների մասին» որոշման նախագիծ</w:t>
            </w:r>
          </w:p>
        </w:tc>
        <w:tc>
          <w:tcPr>
            <w:tcW w:w="1667" w:type="dxa"/>
            <w:vMerge w:val="restart"/>
            <w:shd w:val="clear" w:color="auto" w:fill="FFFFFF"/>
            <w:vAlign w:val="center"/>
          </w:tcPr>
          <w:p w:rsidR="00630FEB" w:rsidRPr="006E0EBE" w:rsidRDefault="00C35A21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 որոշում</w:t>
            </w:r>
          </w:p>
        </w:tc>
        <w:tc>
          <w:tcPr>
            <w:tcW w:w="2113" w:type="dxa"/>
            <w:vMerge w:val="restart"/>
            <w:shd w:val="clear" w:color="auto" w:fill="FFFFFF"/>
            <w:vAlign w:val="center"/>
          </w:tcPr>
          <w:p w:rsidR="00630FEB" w:rsidRPr="006E0EBE" w:rsidRDefault="00C35A21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630FEB" w:rsidRPr="006E0EBE" w:rsidTr="006E0EBE">
        <w:trPr>
          <w:trHeight w:val="383"/>
          <w:jc w:val="center"/>
        </w:trPr>
        <w:tc>
          <w:tcPr>
            <w:tcW w:w="10926" w:type="dxa"/>
            <w:vMerge/>
            <w:shd w:val="clear" w:color="auto" w:fill="FFFFFF"/>
          </w:tcPr>
          <w:p w:rsidR="00630FEB" w:rsidRPr="006E0EBE" w:rsidRDefault="00630FEB" w:rsidP="006E0EBE">
            <w:pPr>
              <w:tabs>
                <w:tab w:val="left" w:pos="509"/>
              </w:tabs>
              <w:spacing w:after="120"/>
              <w:ind w:left="47"/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shd w:val="clear" w:color="auto" w:fill="FFFFFF"/>
            <w:vAlign w:val="center"/>
          </w:tcPr>
          <w:p w:rsidR="00630FEB" w:rsidRPr="006E0EBE" w:rsidRDefault="00630FEB" w:rsidP="006E0EBE">
            <w:pPr>
              <w:spacing w:after="120"/>
              <w:ind w:left="54" w:right="41"/>
              <w:jc w:val="center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FFFFFF"/>
            <w:vAlign w:val="center"/>
          </w:tcPr>
          <w:p w:rsidR="00630FEB" w:rsidRPr="006E0EBE" w:rsidRDefault="00630FEB" w:rsidP="006E0EBE">
            <w:pPr>
              <w:spacing w:after="120"/>
              <w:ind w:left="54" w:right="41"/>
              <w:jc w:val="center"/>
              <w:rPr>
                <w:sz w:val="20"/>
                <w:szCs w:val="20"/>
              </w:rPr>
            </w:pPr>
          </w:p>
        </w:tc>
      </w:tr>
      <w:tr w:rsidR="00630FEB" w:rsidRPr="006E0EBE" w:rsidTr="006E0EBE">
        <w:trPr>
          <w:trHeight w:val="383"/>
          <w:jc w:val="center"/>
        </w:trPr>
        <w:tc>
          <w:tcPr>
            <w:tcW w:w="10926" w:type="dxa"/>
            <w:vMerge w:val="restart"/>
            <w:shd w:val="clear" w:color="auto" w:fill="FFFFFF"/>
          </w:tcPr>
          <w:p w:rsidR="00630FEB" w:rsidRPr="006E0EBE" w:rsidRDefault="00C35A21" w:rsidP="006E0EBE">
            <w:pPr>
              <w:pStyle w:val="Bodytext20"/>
              <w:shd w:val="clear" w:color="auto" w:fill="auto"/>
              <w:tabs>
                <w:tab w:val="left" w:pos="509"/>
              </w:tabs>
              <w:spacing w:after="120" w:line="240" w:lineRule="auto"/>
              <w:ind w:left="47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4.</w:t>
            </w:r>
            <w:r w:rsidR="006E0EBE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Հանձնաժողովի՝ «Դեղամիջոցներում</w:t>
            </w:r>
            <w:r w:rsidR="00E00BB8"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 առկա</w:t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 խառնուկների ուսումնասիրության </w:t>
            </w:r>
            <w:r w:rsidR="00FA4B92" w:rsidRPr="006E0EBE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մասնագրերում դրանց նկատմամբ պահանջներ սահմանելու կանոնների մասին» որոշման նախագիծ</w:t>
            </w:r>
          </w:p>
        </w:tc>
        <w:tc>
          <w:tcPr>
            <w:tcW w:w="1667" w:type="dxa"/>
            <w:vMerge w:val="restart"/>
            <w:shd w:val="clear" w:color="auto" w:fill="FFFFFF"/>
            <w:vAlign w:val="center"/>
          </w:tcPr>
          <w:p w:rsidR="00630FEB" w:rsidRPr="006E0EBE" w:rsidRDefault="00C35A21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 որոշում</w:t>
            </w:r>
          </w:p>
        </w:tc>
        <w:tc>
          <w:tcPr>
            <w:tcW w:w="2113" w:type="dxa"/>
            <w:vMerge w:val="restart"/>
            <w:shd w:val="clear" w:color="auto" w:fill="FFFFFF"/>
            <w:vAlign w:val="center"/>
          </w:tcPr>
          <w:p w:rsidR="00630FEB" w:rsidRPr="006E0EBE" w:rsidRDefault="00C35A21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630FEB" w:rsidRPr="006E0EBE" w:rsidTr="006E0EBE">
        <w:trPr>
          <w:trHeight w:val="383"/>
          <w:jc w:val="center"/>
        </w:trPr>
        <w:tc>
          <w:tcPr>
            <w:tcW w:w="10926" w:type="dxa"/>
            <w:vMerge/>
            <w:shd w:val="clear" w:color="auto" w:fill="FFFFFF"/>
          </w:tcPr>
          <w:p w:rsidR="00630FEB" w:rsidRPr="006E0EBE" w:rsidRDefault="00630FEB" w:rsidP="006E0EBE">
            <w:pPr>
              <w:tabs>
                <w:tab w:val="left" w:pos="509"/>
              </w:tabs>
              <w:spacing w:after="120"/>
              <w:ind w:left="47"/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shd w:val="clear" w:color="auto" w:fill="FFFFFF"/>
            <w:vAlign w:val="center"/>
          </w:tcPr>
          <w:p w:rsidR="00630FEB" w:rsidRPr="006E0EBE" w:rsidRDefault="00630FEB" w:rsidP="006E0EBE">
            <w:pPr>
              <w:spacing w:after="120"/>
              <w:ind w:left="54" w:right="41"/>
              <w:jc w:val="center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FFFFFF"/>
            <w:vAlign w:val="center"/>
          </w:tcPr>
          <w:p w:rsidR="00630FEB" w:rsidRPr="006E0EBE" w:rsidRDefault="00630FEB" w:rsidP="006E0EBE">
            <w:pPr>
              <w:spacing w:after="120"/>
              <w:ind w:left="54" w:right="41"/>
              <w:jc w:val="center"/>
              <w:rPr>
                <w:sz w:val="20"/>
                <w:szCs w:val="20"/>
              </w:rPr>
            </w:pPr>
          </w:p>
        </w:tc>
      </w:tr>
      <w:tr w:rsidR="00630FEB" w:rsidRPr="006E0EBE" w:rsidTr="006E0EBE">
        <w:trPr>
          <w:trHeight w:val="383"/>
          <w:jc w:val="center"/>
        </w:trPr>
        <w:tc>
          <w:tcPr>
            <w:tcW w:w="10926" w:type="dxa"/>
            <w:vMerge w:val="restart"/>
            <w:shd w:val="clear" w:color="auto" w:fill="FFFFFF"/>
          </w:tcPr>
          <w:p w:rsidR="00630FEB" w:rsidRPr="006E0EBE" w:rsidRDefault="00C35A21" w:rsidP="006E0EBE">
            <w:pPr>
              <w:pStyle w:val="Bodytext20"/>
              <w:shd w:val="clear" w:color="auto" w:fill="auto"/>
              <w:tabs>
                <w:tab w:val="left" w:pos="509"/>
              </w:tabs>
              <w:spacing w:after="120" w:line="240" w:lineRule="auto"/>
              <w:ind w:left="47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6E0EBE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Հանձնաժողովի՝ «մեկ արտադրամասում տարբեր դեղամիջոցների արտադրության ժամանակ ռիսկերը որոշելու նպատակով մարդու առողջության վրա ազդեցության թույլատրելի սահմանները որոշելու ձեռնարկի մասին» որոշման նախագիծ</w:t>
            </w:r>
          </w:p>
        </w:tc>
        <w:tc>
          <w:tcPr>
            <w:tcW w:w="1667" w:type="dxa"/>
            <w:vMerge w:val="restart"/>
            <w:shd w:val="clear" w:color="auto" w:fill="FFFFFF"/>
            <w:vAlign w:val="center"/>
          </w:tcPr>
          <w:p w:rsidR="00630FEB" w:rsidRPr="006E0EBE" w:rsidRDefault="00C35A21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 որոշում</w:t>
            </w:r>
          </w:p>
        </w:tc>
        <w:tc>
          <w:tcPr>
            <w:tcW w:w="2113" w:type="dxa"/>
            <w:vMerge w:val="restart"/>
            <w:shd w:val="clear" w:color="auto" w:fill="FFFFFF"/>
            <w:vAlign w:val="center"/>
          </w:tcPr>
          <w:p w:rsidR="00630FEB" w:rsidRPr="006E0EBE" w:rsidRDefault="00C35A21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7F5C95" w:rsidRPr="006E0EBE" w:rsidTr="006E0EBE">
        <w:trPr>
          <w:trHeight w:val="383"/>
          <w:jc w:val="center"/>
        </w:trPr>
        <w:tc>
          <w:tcPr>
            <w:tcW w:w="10926" w:type="dxa"/>
            <w:vMerge/>
            <w:shd w:val="clear" w:color="auto" w:fill="FFFFFF"/>
          </w:tcPr>
          <w:p w:rsidR="007F5C95" w:rsidRPr="006E0EBE" w:rsidRDefault="007F5C95" w:rsidP="006E0EBE">
            <w:pPr>
              <w:pStyle w:val="Bodytext20"/>
              <w:shd w:val="clear" w:color="auto" w:fill="auto"/>
              <w:tabs>
                <w:tab w:val="left" w:pos="509"/>
              </w:tabs>
              <w:spacing w:after="120" w:line="240" w:lineRule="auto"/>
              <w:ind w:left="47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1667" w:type="dxa"/>
            <w:vMerge/>
            <w:shd w:val="clear" w:color="auto" w:fill="FFFFFF"/>
            <w:vAlign w:val="center"/>
          </w:tcPr>
          <w:p w:rsidR="007F5C95" w:rsidRPr="006E0EBE" w:rsidRDefault="007F5C95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FFFFFF"/>
            <w:vAlign w:val="center"/>
          </w:tcPr>
          <w:p w:rsidR="007F5C95" w:rsidRPr="006E0EBE" w:rsidRDefault="007F5C95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</w:tr>
      <w:tr w:rsidR="00630FEB" w:rsidRPr="006E0EBE" w:rsidTr="006E0EBE">
        <w:trPr>
          <w:trHeight w:val="383"/>
          <w:jc w:val="center"/>
        </w:trPr>
        <w:tc>
          <w:tcPr>
            <w:tcW w:w="10926" w:type="dxa"/>
            <w:vMerge/>
            <w:shd w:val="clear" w:color="auto" w:fill="FFFFFF"/>
            <w:vAlign w:val="bottom"/>
          </w:tcPr>
          <w:p w:rsidR="00630FEB" w:rsidRPr="006E0EBE" w:rsidRDefault="00630FEB" w:rsidP="006E0EBE">
            <w:pPr>
              <w:tabs>
                <w:tab w:val="left" w:pos="509"/>
              </w:tabs>
              <w:spacing w:after="120"/>
              <w:ind w:left="47"/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shd w:val="clear" w:color="auto" w:fill="FFFFFF"/>
            <w:vAlign w:val="center"/>
          </w:tcPr>
          <w:p w:rsidR="00630FEB" w:rsidRPr="006E0EBE" w:rsidRDefault="00630FEB" w:rsidP="006E0EBE">
            <w:pPr>
              <w:spacing w:after="120"/>
              <w:ind w:left="54" w:right="41"/>
              <w:jc w:val="center"/>
              <w:rPr>
                <w:sz w:val="20"/>
                <w:szCs w:val="20"/>
              </w:rPr>
            </w:pPr>
          </w:p>
        </w:tc>
        <w:tc>
          <w:tcPr>
            <w:tcW w:w="2113" w:type="dxa"/>
            <w:vMerge/>
            <w:shd w:val="clear" w:color="auto" w:fill="FFFFFF"/>
            <w:vAlign w:val="center"/>
          </w:tcPr>
          <w:p w:rsidR="00630FEB" w:rsidRPr="006E0EBE" w:rsidRDefault="00630FEB" w:rsidP="006E0EBE">
            <w:pPr>
              <w:spacing w:after="120"/>
              <w:ind w:left="54" w:right="41"/>
              <w:jc w:val="center"/>
              <w:rPr>
                <w:sz w:val="20"/>
                <w:szCs w:val="20"/>
              </w:rPr>
            </w:pPr>
          </w:p>
        </w:tc>
      </w:tr>
      <w:tr w:rsidR="007F5C95" w:rsidRPr="006E0EBE" w:rsidTr="006E0EBE">
        <w:trPr>
          <w:jc w:val="center"/>
        </w:trPr>
        <w:tc>
          <w:tcPr>
            <w:tcW w:w="10926" w:type="dxa"/>
            <w:shd w:val="clear" w:color="auto" w:fill="FFFFFF"/>
            <w:vAlign w:val="center"/>
          </w:tcPr>
          <w:p w:rsidR="007F5C95" w:rsidRPr="006E0EBE" w:rsidRDefault="007F5C95" w:rsidP="006E0EBE">
            <w:pPr>
              <w:pStyle w:val="Bodytext20"/>
              <w:shd w:val="clear" w:color="auto" w:fill="auto"/>
              <w:tabs>
                <w:tab w:val="left" w:pos="509"/>
              </w:tabs>
              <w:spacing w:after="120" w:line="240" w:lineRule="auto"/>
              <w:ind w:left="47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6E0EBE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Հանձնաժողովի՝ «Դեղամիջոցների որակի</w:t>
            </w:r>
            <w:r w:rsidR="00E00BB8"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 վերաբերյալ</w:t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 նորմատիվ փաստաթղթի նախապատրաստման ձեռնարկի մասին» որոշման նախագիծ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7F5C95" w:rsidRPr="006E0EBE" w:rsidRDefault="007F5C95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 որոշում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7F5C95" w:rsidRPr="006E0EBE" w:rsidRDefault="007F5C95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Ղազախստանի Հանրապետություն</w:t>
            </w:r>
          </w:p>
        </w:tc>
      </w:tr>
      <w:tr w:rsidR="007F5C95" w:rsidRPr="006E0EBE" w:rsidTr="006E0EBE">
        <w:trPr>
          <w:jc w:val="center"/>
        </w:trPr>
        <w:tc>
          <w:tcPr>
            <w:tcW w:w="10926" w:type="dxa"/>
            <w:shd w:val="clear" w:color="auto" w:fill="FFFFFF"/>
            <w:vAlign w:val="center"/>
          </w:tcPr>
          <w:p w:rsidR="007F5C95" w:rsidRPr="006E0EBE" w:rsidRDefault="007F5C95" w:rsidP="006E0EBE">
            <w:pPr>
              <w:pStyle w:val="Bodytext20"/>
              <w:shd w:val="clear" w:color="auto" w:fill="auto"/>
              <w:tabs>
                <w:tab w:val="left" w:pos="509"/>
              </w:tabs>
              <w:spacing w:after="60" w:line="240" w:lineRule="auto"/>
              <w:ind w:left="47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6E0EBE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Հանձնաժողովի՝ «Դեղաբուսական հումքի (GACP) աճեցման, հավաքման, պահպանման պատշաճ </w:t>
            </w:r>
            <w:r w:rsidR="00144E55"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գործելակերպի </w:t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կանոնների մասին» որոշման նախագիծ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7F5C95" w:rsidRPr="006E0EBE" w:rsidRDefault="007F5C95" w:rsidP="006E0EBE">
            <w:pPr>
              <w:pStyle w:val="Bodytext20"/>
              <w:shd w:val="clear" w:color="auto" w:fill="auto"/>
              <w:spacing w:after="6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 որոշում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7F5C95" w:rsidRPr="006E0EBE" w:rsidRDefault="007F5C95" w:rsidP="006E0EBE">
            <w:pPr>
              <w:pStyle w:val="Bodytext20"/>
              <w:shd w:val="clear" w:color="auto" w:fill="auto"/>
              <w:spacing w:after="6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7F5C95" w:rsidRPr="006E0EBE" w:rsidTr="006E0EBE">
        <w:trPr>
          <w:jc w:val="center"/>
        </w:trPr>
        <w:tc>
          <w:tcPr>
            <w:tcW w:w="10926" w:type="dxa"/>
            <w:shd w:val="clear" w:color="auto" w:fill="FFFFFF"/>
            <w:vAlign w:val="center"/>
          </w:tcPr>
          <w:p w:rsidR="007F5C95" w:rsidRPr="006E0EBE" w:rsidRDefault="007F5C95" w:rsidP="006E0EBE">
            <w:pPr>
              <w:pStyle w:val="Bodytext20"/>
              <w:shd w:val="clear" w:color="auto" w:fill="auto"/>
              <w:tabs>
                <w:tab w:val="left" w:pos="509"/>
              </w:tabs>
              <w:spacing w:after="60" w:line="240" w:lineRule="auto"/>
              <w:ind w:left="47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6E0EBE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Հանձնաժողովի՝ «Դեղաբուսական հումքից պատրաստուկների կայունության հետազոտության</w:t>
            </w:r>
            <w:r w:rsidR="00E77A5A" w:rsidRPr="006E0EBE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FA4B92"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E77A5A" w:rsidRPr="006E0EBE">
              <w:rPr>
                <w:rStyle w:val="Bodytext211pt"/>
                <w:rFonts w:ascii="Sylfaen" w:hAnsi="Sylfaen"/>
                <w:sz w:val="20"/>
                <w:szCs w:val="20"/>
              </w:rPr>
              <w:t>ներկայացվող</w:t>
            </w:r>
            <w:r w:rsidR="00E37A2E"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պահանջների մասին» որոշման նախագիծ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7F5C95" w:rsidRPr="006E0EBE" w:rsidRDefault="007F5C95" w:rsidP="006E0EBE">
            <w:pPr>
              <w:pStyle w:val="Bodytext20"/>
              <w:shd w:val="clear" w:color="auto" w:fill="auto"/>
              <w:spacing w:after="6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 որոշում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7F5C95" w:rsidRPr="006E0EBE" w:rsidRDefault="007F5C95" w:rsidP="006E0EBE">
            <w:pPr>
              <w:pStyle w:val="Bodytext20"/>
              <w:shd w:val="clear" w:color="auto" w:fill="auto"/>
              <w:spacing w:after="6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7F5C95" w:rsidRPr="006E0EBE" w:rsidTr="006E0EBE">
        <w:trPr>
          <w:jc w:val="center"/>
        </w:trPr>
        <w:tc>
          <w:tcPr>
            <w:tcW w:w="10926" w:type="dxa"/>
            <w:shd w:val="clear" w:color="auto" w:fill="FFFFFF"/>
            <w:vAlign w:val="center"/>
          </w:tcPr>
          <w:p w:rsidR="007F5C95" w:rsidRPr="006E0EBE" w:rsidRDefault="007F5C95" w:rsidP="006E0EBE">
            <w:pPr>
              <w:pStyle w:val="Bodytext20"/>
              <w:shd w:val="clear" w:color="auto" w:fill="auto"/>
              <w:tabs>
                <w:tab w:val="left" w:pos="509"/>
              </w:tabs>
              <w:spacing w:after="60" w:line="240" w:lineRule="auto"/>
              <w:ind w:left="47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6E0EBE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Հանձնաժողովի՝ «Դեղապատրաստուկների մականշվածքում </w:t>
            </w:r>
            <w:r w:rsidR="00FA4B92" w:rsidRPr="006E0EBE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 բժշկական կիրառության ցուցումներում ազդող նյութերի կամ դեղաբուսական հումքից </w:t>
            </w:r>
            <w:r w:rsidR="000735ED"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հանուկների պարունակությունը </w:t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նշելու</w:t>
            </w:r>
            <w:r w:rsidR="000735ED"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 վերաբերյալ</w:t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 ձեռնարկի մասին» որոշման նախագիծ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7F5C95" w:rsidRPr="006E0EBE" w:rsidRDefault="007F5C95" w:rsidP="006E0EBE">
            <w:pPr>
              <w:pStyle w:val="Bodytext20"/>
              <w:shd w:val="clear" w:color="auto" w:fill="auto"/>
              <w:spacing w:after="6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 որոշում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7F5C95" w:rsidRPr="006E0EBE" w:rsidRDefault="007F5C95" w:rsidP="006E0EBE">
            <w:pPr>
              <w:pStyle w:val="Bodytext20"/>
              <w:shd w:val="clear" w:color="auto" w:fill="auto"/>
              <w:spacing w:after="6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7F5C95" w:rsidRPr="006E0EBE" w:rsidTr="006E0EBE">
        <w:trPr>
          <w:jc w:val="center"/>
        </w:trPr>
        <w:tc>
          <w:tcPr>
            <w:tcW w:w="10926" w:type="dxa"/>
            <w:shd w:val="clear" w:color="auto" w:fill="FFFFFF"/>
            <w:vAlign w:val="center"/>
          </w:tcPr>
          <w:p w:rsidR="007F5C95" w:rsidRPr="006E0EBE" w:rsidRDefault="007F5C95" w:rsidP="006E0EBE">
            <w:pPr>
              <w:pStyle w:val="Bodytext20"/>
              <w:shd w:val="clear" w:color="auto" w:fill="auto"/>
              <w:tabs>
                <w:tab w:val="left" w:pos="509"/>
              </w:tabs>
              <w:spacing w:after="60" w:line="240" w:lineRule="auto"/>
              <w:ind w:left="47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10.</w:t>
            </w:r>
            <w:r w:rsidR="006E0EBE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Հանձնաժողովի՝ «Կլինիկական հետազոտությունների նշանակման համար ներկայացվող</w:t>
            </w:r>
            <w:r w:rsidR="000735ED" w:rsidRPr="006E0EBE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 հետազոտվող պատրաստուկի դոսյեի պահպանման </w:t>
            </w:r>
            <w:r w:rsidR="00FA4B92" w:rsidRPr="006E0EBE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 կլինիկական հետազոտությունների անցկացման շրջանակներում զեկուցման ձեռնարկի մասին» որոշման նախագիծ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7F5C95" w:rsidRPr="006E0EBE" w:rsidRDefault="007F5C95" w:rsidP="006E0EBE">
            <w:pPr>
              <w:pStyle w:val="Bodytext20"/>
              <w:shd w:val="clear" w:color="auto" w:fill="auto"/>
              <w:spacing w:after="6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 որոշում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7F5C95" w:rsidRPr="006E0EBE" w:rsidRDefault="007F5C95" w:rsidP="006E0EBE">
            <w:pPr>
              <w:pStyle w:val="Bodytext20"/>
              <w:shd w:val="clear" w:color="auto" w:fill="auto"/>
              <w:spacing w:after="6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7F5C95" w:rsidRPr="006E0EBE" w:rsidTr="006E0EBE">
        <w:trPr>
          <w:jc w:val="center"/>
        </w:trPr>
        <w:tc>
          <w:tcPr>
            <w:tcW w:w="10926" w:type="dxa"/>
            <w:shd w:val="clear" w:color="auto" w:fill="FFFFFF"/>
            <w:vAlign w:val="center"/>
          </w:tcPr>
          <w:p w:rsidR="007F5C95" w:rsidRPr="006E0EBE" w:rsidRDefault="007F5C95" w:rsidP="006E0EBE">
            <w:pPr>
              <w:pStyle w:val="Bodytext20"/>
              <w:shd w:val="clear" w:color="auto" w:fill="auto"/>
              <w:tabs>
                <w:tab w:val="left" w:pos="509"/>
              </w:tabs>
              <w:spacing w:after="60" w:line="240" w:lineRule="auto"/>
              <w:ind w:left="47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11.</w:t>
            </w:r>
            <w:r w:rsidR="006E0EBE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Հանձնաժողովի՝ «Կլինիկական հետազոտությունների անցկացման թույլտվություններ տրամադրելու կանոնների մասին» որոշման նախագիծ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7F5C95" w:rsidRPr="006E0EBE" w:rsidRDefault="007F5C95" w:rsidP="006E0EBE">
            <w:pPr>
              <w:pStyle w:val="Bodytext20"/>
              <w:shd w:val="clear" w:color="auto" w:fill="auto"/>
              <w:spacing w:after="6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 որոշում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7F5C95" w:rsidRPr="006E0EBE" w:rsidRDefault="007F5C95" w:rsidP="006E0EBE">
            <w:pPr>
              <w:pStyle w:val="Bodytext20"/>
              <w:shd w:val="clear" w:color="auto" w:fill="auto"/>
              <w:spacing w:after="6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7F5C95" w:rsidRPr="006E0EBE" w:rsidTr="006E0EBE">
        <w:trPr>
          <w:jc w:val="center"/>
        </w:trPr>
        <w:tc>
          <w:tcPr>
            <w:tcW w:w="10926" w:type="dxa"/>
            <w:shd w:val="clear" w:color="auto" w:fill="FFFFFF"/>
            <w:vAlign w:val="center"/>
          </w:tcPr>
          <w:p w:rsidR="007F5C95" w:rsidRPr="006E0EBE" w:rsidRDefault="007F5C95" w:rsidP="006E0EBE">
            <w:pPr>
              <w:pStyle w:val="Bodytext20"/>
              <w:shd w:val="clear" w:color="auto" w:fill="auto"/>
              <w:tabs>
                <w:tab w:val="left" w:pos="509"/>
              </w:tabs>
              <w:spacing w:after="60" w:line="240" w:lineRule="auto"/>
              <w:ind w:left="47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12.</w:t>
            </w:r>
            <w:r w:rsidR="006E0EBE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Հանձնաժողովի՝ «Ժամանակին ծնված </w:t>
            </w:r>
            <w:r w:rsidR="00FA4B92" w:rsidRPr="006E0EBE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վաղածին նորածինների մոտ դեղամիջոցների հետազոտություններ անցկացնելու ձեռնարկի մասին» որոշման նախագիծ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7F5C95" w:rsidRPr="006E0EBE" w:rsidRDefault="007F5C95" w:rsidP="006E0EBE">
            <w:pPr>
              <w:pStyle w:val="Bodytext20"/>
              <w:shd w:val="clear" w:color="auto" w:fill="auto"/>
              <w:spacing w:after="6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 որոշում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7F5C95" w:rsidRPr="006E0EBE" w:rsidRDefault="007F5C95" w:rsidP="006E0EBE">
            <w:pPr>
              <w:pStyle w:val="Bodytext20"/>
              <w:shd w:val="clear" w:color="auto" w:fill="auto"/>
              <w:spacing w:after="6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Ղազախստանի Հանրապետություն</w:t>
            </w:r>
          </w:p>
        </w:tc>
      </w:tr>
      <w:tr w:rsidR="007F5C95" w:rsidRPr="006E0EBE" w:rsidTr="006E0EBE">
        <w:trPr>
          <w:jc w:val="center"/>
        </w:trPr>
        <w:tc>
          <w:tcPr>
            <w:tcW w:w="10926" w:type="dxa"/>
            <w:shd w:val="clear" w:color="auto" w:fill="FFFFFF"/>
            <w:vAlign w:val="center"/>
          </w:tcPr>
          <w:p w:rsidR="007F5C95" w:rsidRPr="006E0EBE" w:rsidRDefault="007F5C95" w:rsidP="006E0EBE">
            <w:pPr>
              <w:pStyle w:val="Bodytext20"/>
              <w:shd w:val="clear" w:color="auto" w:fill="auto"/>
              <w:tabs>
                <w:tab w:val="left" w:pos="509"/>
              </w:tabs>
              <w:spacing w:after="60" w:line="240" w:lineRule="auto"/>
              <w:ind w:left="47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13.</w:t>
            </w:r>
            <w:r w:rsidR="006E0EBE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Հանձնաժողովի՝ «Մանկաբուժական պրակտիկայում կամ մանկաբուժական պոպուլյացիայի սահմանափակ հատվածի վրա դեղաձ</w:t>
            </w:r>
            <w:r w:rsidR="00FA4B92" w:rsidRPr="006E0EBE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ի օգտագործման հնարավորությունը որոշելու ձեռնարկի մասին» որոշման նախագիծ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7F5C95" w:rsidRPr="006E0EBE" w:rsidRDefault="007F5C95" w:rsidP="006E0EBE">
            <w:pPr>
              <w:pStyle w:val="Bodytext20"/>
              <w:shd w:val="clear" w:color="auto" w:fill="auto"/>
              <w:spacing w:after="6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 որոշում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7F5C95" w:rsidRPr="006E0EBE" w:rsidRDefault="007F5C95" w:rsidP="006E0EBE">
            <w:pPr>
              <w:pStyle w:val="Bodytext20"/>
              <w:shd w:val="clear" w:color="auto" w:fill="auto"/>
              <w:spacing w:after="6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Ղազախստանի Հանրապետություն</w:t>
            </w:r>
          </w:p>
        </w:tc>
      </w:tr>
      <w:tr w:rsidR="007F5C95" w:rsidRPr="006E0EBE" w:rsidTr="006E0EBE">
        <w:trPr>
          <w:jc w:val="center"/>
        </w:trPr>
        <w:tc>
          <w:tcPr>
            <w:tcW w:w="10926" w:type="dxa"/>
            <w:shd w:val="clear" w:color="auto" w:fill="FFFFFF"/>
            <w:vAlign w:val="center"/>
          </w:tcPr>
          <w:p w:rsidR="007F5C95" w:rsidRPr="006E0EBE" w:rsidRDefault="007F5C95" w:rsidP="006E0EBE">
            <w:pPr>
              <w:pStyle w:val="Bodytext20"/>
              <w:shd w:val="clear" w:color="auto" w:fill="auto"/>
              <w:tabs>
                <w:tab w:val="left" w:pos="509"/>
              </w:tabs>
              <w:spacing w:after="60" w:line="240" w:lineRule="auto"/>
              <w:ind w:left="47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14.</w:t>
            </w:r>
            <w:r w:rsidR="006E0EBE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Հանձնաժողովի՝ «</w:t>
            </w:r>
            <w:r w:rsidR="005327B6" w:rsidRPr="006E0EBE">
              <w:rPr>
                <w:rStyle w:val="Bodytext211pt"/>
                <w:rFonts w:ascii="Sylfaen" w:hAnsi="Sylfaen"/>
                <w:sz w:val="20"/>
                <w:szCs w:val="20"/>
              </w:rPr>
              <w:t>Մաշկաբանության մեջ տեղային կիրառման համար</w:t>
            </w:r>
            <w:r w:rsidR="002438C0" w:rsidRPr="006E0EBE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="005327B6"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 կ</w:t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արգավորված ձերբազատմամբ դեղապատրաստուկների կենսահամարժեքության, լիպոսոմալ պատրաստուկների կենսահամարժեքության, կորտիկոստերոիդների կենսահամարժեքության դեղակինետիկ </w:t>
            </w:r>
            <w:r w:rsidR="00FA4B92" w:rsidRPr="006E0EBE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 կլինիկական ուսումնասիրության ձեռնարկի մասին» որոշման նախագիծ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7F5C95" w:rsidRPr="006E0EBE" w:rsidRDefault="007F5C95" w:rsidP="006E0EBE">
            <w:pPr>
              <w:pStyle w:val="Bodytext20"/>
              <w:shd w:val="clear" w:color="auto" w:fill="auto"/>
              <w:spacing w:after="6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 որոշում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7F5C95" w:rsidRPr="006E0EBE" w:rsidRDefault="007F5C95" w:rsidP="006E0EBE">
            <w:pPr>
              <w:pStyle w:val="Bodytext20"/>
              <w:shd w:val="clear" w:color="auto" w:fill="auto"/>
              <w:spacing w:after="6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0456F0" w:rsidRPr="006E0EBE" w:rsidTr="006E0EBE">
        <w:trPr>
          <w:jc w:val="center"/>
        </w:trPr>
        <w:tc>
          <w:tcPr>
            <w:tcW w:w="10926" w:type="dxa"/>
            <w:shd w:val="clear" w:color="auto" w:fill="FFFFFF"/>
            <w:vAlign w:val="bottom"/>
          </w:tcPr>
          <w:p w:rsidR="000456F0" w:rsidRPr="006E0EBE" w:rsidRDefault="000456F0" w:rsidP="006E0EBE">
            <w:pPr>
              <w:pStyle w:val="Bodytext20"/>
              <w:shd w:val="clear" w:color="auto" w:fill="auto"/>
              <w:tabs>
                <w:tab w:val="left" w:pos="509"/>
              </w:tabs>
              <w:spacing w:after="120" w:line="240" w:lineRule="auto"/>
              <w:ind w:left="47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15.</w:t>
            </w:r>
            <w:r w:rsidR="006E0EBE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Հանձնաժողովի՝ «Կլինիկական հետազոտությունների անցկացման </w:t>
            </w:r>
            <w:r w:rsidR="00FA4B92" w:rsidRPr="006E0EBE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 դեղապատրաստուկների գրանցման նպատակներով անվտանգության նախակլինիկական հետազոտությունների ձեռնարկի մասին» որոշման նախագիծ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0456F0" w:rsidRPr="006E0EBE" w:rsidRDefault="000456F0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 որոշում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0456F0" w:rsidRPr="006E0EBE" w:rsidRDefault="000456F0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0456F0" w:rsidRPr="006E0EBE" w:rsidTr="006E0EBE">
        <w:trPr>
          <w:jc w:val="center"/>
        </w:trPr>
        <w:tc>
          <w:tcPr>
            <w:tcW w:w="10926" w:type="dxa"/>
            <w:shd w:val="clear" w:color="auto" w:fill="FFFFFF"/>
            <w:vAlign w:val="center"/>
          </w:tcPr>
          <w:p w:rsidR="000456F0" w:rsidRPr="006E0EBE" w:rsidRDefault="000456F0" w:rsidP="006E0EBE">
            <w:pPr>
              <w:pStyle w:val="Bodytext20"/>
              <w:shd w:val="clear" w:color="auto" w:fill="auto"/>
              <w:tabs>
                <w:tab w:val="left" w:pos="509"/>
              </w:tabs>
              <w:spacing w:after="120" w:line="240" w:lineRule="auto"/>
              <w:ind w:left="47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16.</w:t>
            </w:r>
            <w:r w:rsidR="006E0EBE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Հանձնաժողովի՝ «Դեղապատրաստուկների </w:t>
            </w:r>
            <w:r w:rsidR="000B0481" w:rsidRPr="006E0EBE">
              <w:rPr>
                <w:rStyle w:val="Bodytext211pt"/>
                <w:rFonts w:ascii="Sylfaen" w:hAnsi="Sylfaen"/>
                <w:sz w:val="20"/>
                <w:szCs w:val="20"/>
              </w:rPr>
              <w:t>դեղաչափ</w:t>
            </w:r>
            <w:r w:rsidR="002438C0" w:rsidRPr="006E0EBE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="000B0481"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ընտրելու ձեռնարկի մասին» որոշման նախագիծ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0456F0" w:rsidRPr="006E0EBE" w:rsidRDefault="000456F0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 որոշում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0456F0" w:rsidRPr="006E0EBE" w:rsidRDefault="000456F0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0456F0" w:rsidRPr="006E0EBE" w:rsidTr="006E0EBE">
        <w:trPr>
          <w:jc w:val="center"/>
        </w:trPr>
        <w:tc>
          <w:tcPr>
            <w:tcW w:w="10926" w:type="dxa"/>
            <w:shd w:val="clear" w:color="auto" w:fill="FFFFFF"/>
          </w:tcPr>
          <w:p w:rsidR="000456F0" w:rsidRPr="006E0EBE" w:rsidRDefault="000456F0" w:rsidP="006E0EBE">
            <w:pPr>
              <w:pStyle w:val="Bodytext20"/>
              <w:shd w:val="clear" w:color="auto" w:fill="auto"/>
              <w:tabs>
                <w:tab w:val="left" w:pos="509"/>
              </w:tabs>
              <w:spacing w:after="120" w:line="240" w:lineRule="auto"/>
              <w:ind w:left="47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17.</w:t>
            </w:r>
            <w:r w:rsidR="006E0EBE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Հանձնաժողովի՝ «Մանկական պոպուլյացիայում դեղապատրաստուկների կլինիկական ուսումնասիրության ձեռնարկի մասին» որոշման նախագիծ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0456F0" w:rsidRPr="006E0EBE" w:rsidRDefault="000456F0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 որոշում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0456F0" w:rsidRPr="006E0EBE" w:rsidRDefault="000456F0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Ղազախստանի Հանրապետություն</w:t>
            </w:r>
          </w:p>
        </w:tc>
      </w:tr>
      <w:tr w:rsidR="000456F0" w:rsidRPr="006E0EBE" w:rsidTr="006E0EBE">
        <w:trPr>
          <w:jc w:val="center"/>
        </w:trPr>
        <w:tc>
          <w:tcPr>
            <w:tcW w:w="10926" w:type="dxa"/>
            <w:shd w:val="clear" w:color="auto" w:fill="FFFFFF"/>
            <w:vAlign w:val="center"/>
          </w:tcPr>
          <w:p w:rsidR="000456F0" w:rsidRPr="006E0EBE" w:rsidRDefault="000456F0" w:rsidP="006E0EBE">
            <w:pPr>
              <w:pStyle w:val="Bodytext20"/>
              <w:shd w:val="clear" w:color="auto" w:fill="auto"/>
              <w:tabs>
                <w:tab w:val="left" w:pos="509"/>
              </w:tabs>
              <w:spacing w:after="120" w:line="240" w:lineRule="auto"/>
              <w:ind w:left="47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18.</w:t>
            </w:r>
            <w:r w:rsidR="006E0EBE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Հանձնաժողովի՝ «Եվրասիական տնտեսական միության պատշաճ կլինիկական պրակտիկայի պահանջներին համապատասխանության գծով տեսչական ստուգումներ անցկացնելու կանոնների մասին» որոշման նախագիծ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0456F0" w:rsidRPr="006E0EBE" w:rsidRDefault="000456F0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 որոշում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0456F0" w:rsidRPr="006E0EBE" w:rsidRDefault="000456F0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Ղազախստանի Հանրապետություն</w:t>
            </w:r>
          </w:p>
        </w:tc>
      </w:tr>
      <w:tr w:rsidR="000456F0" w:rsidRPr="006E0EBE" w:rsidTr="006E0EBE">
        <w:trPr>
          <w:jc w:val="center"/>
        </w:trPr>
        <w:tc>
          <w:tcPr>
            <w:tcW w:w="10926" w:type="dxa"/>
            <w:shd w:val="clear" w:color="auto" w:fill="FFFFFF"/>
            <w:vAlign w:val="center"/>
          </w:tcPr>
          <w:p w:rsidR="000456F0" w:rsidRPr="006E0EBE" w:rsidRDefault="000456F0" w:rsidP="006E0EBE">
            <w:pPr>
              <w:pStyle w:val="Bodytext20"/>
              <w:shd w:val="clear" w:color="auto" w:fill="auto"/>
              <w:tabs>
                <w:tab w:val="left" w:pos="509"/>
              </w:tabs>
              <w:spacing w:after="120" w:line="240" w:lineRule="auto"/>
              <w:ind w:left="47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19.</w:t>
            </w:r>
            <w:r w:rsidR="006E0EBE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Հանձնաժողովի՝ «Եվրասիական տնտեսական միության դեղազգոնության պատշաճ պրակտիկայի պահանջներին համապատասխանության գծով տեսչական ստուգումներ անցկացնելու կանոնների մասին» որոշման նախագիծ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0456F0" w:rsidRPr="006E0EBE" w:rsidRDefault="000456F0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 որոշում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0456F0" w:rsidRPr="006E0EBE" w:rsidRDefault="000456F0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0456F0" w:rsidRPr="006E0EBE" w:rsidTr="006E0EBE">
        <w:trPr>
          <w:jc w:val="center"/>
        </w:trPr>
        <w:tc>
          <w:tcPr>
            <w:tcW w:w="10926" w:type="dxa"/>
            <w:shd w:val="clear" w:color="auto" w:fill="FFFFFF"/>
            <w:vAlign w:val="center"/>
          </w:tcPr>
          <w:p w:rsidR="000456F0" w:rsidRPr="006E0EBE" w:rsidRDefault="000456F0" w:rsidP="006E0EBE">
            <w:pPr>
              <w:pStyle w:val="Bodytext20"/>
              <w:shd w:val="clear" w:color="auto" w:fill="auto"/>
              <w:tabs>
                <w:tab w:val="left" w:pos="509"/>
              </w:tabs>
              <w:spacing w:after="120" w:line="240" w:lineRule="auto"/>
              <w:ind w:left="47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20.</w:t>
            </w:r>
            <w:r w:rsidR="006E0EBE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Հանձնաժողովի՝ «Գրանցման հավաստագրի տիրոջ դեղազգոնության համակարգի տեսչական ստուգման ընթացակարգի</w:t>
            </w:r>
            <w:r w:rsidR="00353AA0" w:rsidRPr="006E0EBE">
              <w:rPr>
                <w:rStyle w:val="Bodytext211pt"/>
                <w:rFonts w:ascii="Sylfaen" w:hAnsi="Sylfaen"/>
                <w:sz w:val="20"/>
                <w:szCs w:val="20"/>
              </w:rPr>
              <w:t>ն ներկայացվող</w:t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 պահանջների մասին» որոշման նախագիծ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0456F0" w:rsidRPr="006E0EBE" w:rsidRDefault="000456F0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 որոշում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0456F0" w:rsidRPr="006E0EBE" w:rsidRDefault="000456F0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0456F0" w:rsidRPr="006E0EBE" w:rsidTr="006E0EBE">
        <w:trPr>
          <w:jc w:val="center"/>
        </w:trPr>
        <w:tc>
          <w:tcPr>
            <w:tcW w:w="10926" w:type="dxa"/>
            <w:shd w:val="clear" w:color="auto" w:fill="FFFFFF"/>
            <w:vAlign w:val="bottom"/>
          </w:tcPr>
          <w:p w:rsidR="000456F0" w:rsidRPr="006E0EBE" w:rsidRDefault="000456F0" w:rsidP="006E0EBE">
            <w:pPr>
              <w:pStyle w:val="Bodytext20"/>
              <w:shd w:val="clear" w:color="auto" w:fill="auto"/>
              <w:tabs>
                <w:tab w:val="left" w:pos="509"/>
              </w:tabs>
              <w:spacing w:after="120" w:line="240" w:lineRule="auto"/>
              <w:ind w:left="47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21.</w:t>
            </w:r>
            <w:r w:rsidR="006E0EBE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Հանձնաժողովի՝ «Եվրասիական տնտեսական միությունում կիրառվող՝ բժշկական արտադրատեսակների անվանացանկին համապատասխան՝ բժշկական արտադրատեսակի մի քանի մոդիֆիկացիաները</w:t>
            </w:r>
            <w:r w:rsidR="00056E7F" w:rsidRPr="006E0EBE">
              <w:rPr>
                <w:rStyle w:val="Bodytext211pt"/>
                <w:rFonts w:ascii="Sylfaen" w:hAnsi="Sylfaen"/>
                <w:sz w:val="20"/>
                <w:szCs w:val="20"/>
              </w:rPr>
              <w:t>, որոնք դասվում են բժշկական արտադրատեսակի մեկ տեսակին,</w:t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մեկ գրանցման հավաստագրում ներառելու չափանիշների մասին» որոշման նախագիծ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0456F0" w:rsidRPr="006E0EBE" w:rsidRDefault="000456F0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 որոշում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0456F0" w:rsidRPr="006E0EBE" w:rsidRDefault="000456F0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0456F0" w:rsidRPr="006E0EBE" w:rsidTr="006E0EBE">
        <w:trPr>
          <w:jc w:val="center"/>
        </w:trPr>
        <w:tc>
          <w:tcPr>
            <w:tcW w:w="10926" w:type="dxa"/>
            <w:shd w:val="clear" w:color="auto" w:fill="FFFFFF"/>
            <w:vAlign w:val="center"/>
          </w:tcPr>
          <w:p w:rsidR="000456F0" w:rsidRPr="006E0EBE" w:rsidRDefault="000456F0" w:rsidP="006E0EBE">
            <w:pPr>
              <w:pStyle w:val="Bodytext20"/>
              <w:shd w:val="clear" w:color="auto" w:fill="auto"/>
              <w:tabs>
                <w:tab w:val="left" w:pos="509"/>
              </w:tabs>
              <w:spacing w:after="120" w:line="240" w:lineRule="auto"/>
              <w:ind w:left="47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22.</w:t>
            </w:r>
            <w:r w:rsidR="006E0EBE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Հանձնաժողովի՝ «Արտադրանքը բժշկական արտադրատեսակների շարքին դասելու մասին» որոշման նախագիծ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0456F0" w:rsidRPr="006E0EBE" w:rsidRDefault="000456F0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 որոշում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0456F0" w:rsidRPr="006E0EBE" w:rsidRDefault="000456F0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0456F0" w:rsidRPr="006E0EBE" w:rsidTr="006E0EBE">
        <w:trPr>
          <w:jc w:val="center"/>
        </w:trPr>
        <w:tc>
          <w:tcPr>
            <w:tcW w:w="10926" w:type="dxa"/>
            <w:shd w:val="clear" w:color="auto" w:fill="FFFFFF"/>
            <w:vAlign w:val="bottom"/>
          </w:tcPr>
          <w:p w:rsidR="000456F0" w:rsidRPr="006E0EBE" w:rsidRDefault="000456F0" w:rsidP="006E0EBE">
            <w:pPr>
              <w:pStyle w:val="Bodytext20"/>
              <w:shd w:val="clear" w:color="auto" w:fill="auto"/>
              <w:tabs>
                <w:tab w:val="left" w:pos="509"/>
              </w:tabs>
              <w:spacing w:after="120" w:line="240" w:lineRule="auto"/>
              <w:ind w:left="47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23.</w:t>
            </w:r>
            <w:r w:rsidR="006E0EBE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Հանձնաժողովի՝ «Բժշկական արտադրատեսակի գրանցման նպատակներով բժշկական արտադրատեսակի բաղկացուցիչ մաս համարվող բժշկական արտադրատեսակի տարրերը, բժշկական արտադրատեսակի պարագաները </w:t>
            </w:r>
            <w:r w:rsidR="00FA4B92" w:rsidRPr="006E0EBE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համալրակազմողները սահմանազատելու չափանիշների մասին» որոշման նախագիծ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0456F0" w:rsidRPr="006E0EBE" w:rsidRDefault="000456F0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 որոշում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0456F0" w:rsidRPr="006E0EBE" w:rsidRDefault="000456F0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0456F0" w:rsidRPr="006E0EBE" w:rsidTr="006E0EBE">
        <w:trPr>
          <w:jc w:val="center"/>
        </w:trPr>
        <w:tc>
          <w:tcPr>
            <w:tcW w:w="10926" w:type="dxa"/>
            <w:shd w:val="clear" w:color="auto" w:fill="FFFFFF"/>
            <w:vAlign w:val="center"/>
          </w:tcPr>
          <w:p w:rsidR="000456F0" w:rsidRDefault="000456F0" w:rsidP="006E0EBE">
            <w:pPr>
              <w:pStyle w:val="Bodytext20"/>
              <w:shd w:val="clear" w:color="auto" w:fill="auto"/>
              <w:tabs>
                <w:tab w:val="left" w:pos="509"/>
              </w:tabs>
              <w:spacing w:after="120" w:line="240" w:lineRule="auto"/>
              <w:ind w:left="47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24.</w:t>
            </w:r>
            <w:r w:rsidR="006E0EBE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Հանձնաժողովի՝ «Կիրառման պոտենցիալ </w:t>
            </w:r>
            <w:r w:rsidR="00ED3AC4"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ռիսկով </w:t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պայմանավորված՝ բժշկական արտադրատեսակների որակի կառավարման համակարգի ներդրմանը, պահպանմանը </w:t>
            </w:r>
            <w:r w:rsidR="00FA4B92" w:rsidRPr="006E0EBE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 գնահատմանը ներկայացվող պահանջներին բժշկական արտադրատեսակների </w:t>
            </w:r>
            <w:r w:rsidR="00ED3AC4"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արտադրության համապատասխանության մասով </w:t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տեսչական ստուգում անցկացնելու իրավունք ունեցող կազմակերպություններին ներկայացվող պահանջների մասին, ինչպես նա</w:t>
            </w:r>
            <w:r w:rsidR="00FA4B92" w:rsidRPr="006E0EBE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այդ պահանջներին լիազորված կազմակերպությունների </w:t>
            </w:r>
            <w:r w:rsidR="00ED3AC4"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համապատասխանության </w:t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գնահատման կարգը» որոշման նախագիծ</w:t>
            </w:r>
          </w:p>
          <w:p w:rsidR="006E0EBE" w:rsidRPr="006E0EBE" w:rsidRDefault="006E0EBE" w:rsidP="006E0EBE">
            <w:pPr>
              <w:pStyle w:val="Bodytext20"/>
              <w:shd w:val="clear" w:color="auto" w:fill="auto"/>
              <w:tabs>
                <w:tab w:val="left" w:pos="509"/>
              </w:tabs>
              <w:spacing w:line="240" w:lineRule="auto"/>
              <w:ind w:left="45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67" w:type="dxa"/>
            <w:shd w:val="clear" w:color="auto" w:fill="FFFFFF"/>
            <w:vAlign w:val="center"/>
          </w:tcPr>
          <w:p w:rsidR="000456F0" w:rsidRPr="006E0EBE" w:rsidRDefault="000456F0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 որոշում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0456F0" w:rsidRPr="006E0EBE" w:rsidRDefault="000456F0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0456F0" w:rsidRPr="006E0EBE" w:rsidTr="006E0EBE">
        <w:trPr>
          <w:jc w:val="center"/>
        </w:trPr>
        <w:tc>
          <w:tcPr>
            <w:tcW w:w="10926" w:type="dxa"/>
            <w:shd w:val="clear" w:color="auto" w:fill="FFFFFF"/>
          </w:tcPr>
          <w:p w:rsidR="000456F0" w:rsidRPr="006E0EBE" w:rsidRDefault="000456F0" w:rsidP="006E0EBE">
            <w:pPr>
              <w:pStyle w:val="Bodytext20"/>
              <w:shd w:val="clear" w:color="auto" w:fill="auto"/>
              <w:tabs>
                <w:tab w:val="left" w:pos="509"/>
              </w:tabs>
              <w:spacing w:after="120" w:line="240" w:lineRule="auto"/>
              <w:ind w:left="47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25.</w:t>
            </w:r>
            <w:r w:rsidR="006E0EBE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Հանձնաժողովի՝ «Կիրառման պոտենցիալ </w:t>
            </w:r>
            <w:r w:rsidR="00ED3AC4"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ռիսկով </w:t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պայմանավորված՝ բժշկական արտադրատեսակների որակի կառավարման համակարգի ներդրմանը, պահպանմանը </w:t>
            </w:r>
            <w:r w:rsidR="00FA4B92" w:rsidRPr="006E0EBE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 գնահատմանը ներկայացվող պահանջներին բժշկական արտադրատեսակների </w:t>
            </w:r>
            <w:r w:rsidR="00ED3AC4"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արտադրության համապատասխանության մասով </w:t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տեսչական ստուգում իրականացնող տեսուչներին ներկայացվող պահանջների, ինչպես նա</w:t>
            </w:r>
            <w:r w:rsidR="00FA4B92" w:rsidRPr="006E0EBE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այդ պահանջներին</w:t>
            </w:r>
            <w:r w:rsidR="00ED3AC4"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տեսուչների</w:t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ED3AC4" w:rsidRPr="006E0EBE">
              <w:rPr>
                <w:rStyle w:val="Bodytext211pt"/>
                <w:rFonts w:ascii="Sylfaen" w:hAnsi="Sylfaen"/>
                <w:sz w:val="20"/>
                <w:szCs w:val="20"/>
              </w:rPr>
              <w:t xml:space="preserve">համապատասխանությունը որոշելու </w:t>
            </w: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կարգի մասին» որոշման նախագիծ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0456F0" w:rsidRPr="006E0EBE" w:rsidRDefault="000456F0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Հանձնաժողովի որոշում</w:t>
            </w:r>
          </w:p>
        </w:tc>
        <w:tc>
          <w:tcPr>
            <w:tcW w:w="2113" w:type="dxa"/>
            <w:shd w:val="clear" w:color="auto" w:fill="FFFFFF"/>
            <w:vAlign w:val="center"/>
          </w:tcPr>
          <w:p w:rsidR="000456F0" w:rsidRPr="006E0EBE" w:rsidRDefault="000456F0" w:rsidP="006E0EBE">
            <w:pPr>
              <w:pStyle w:val="Bodytext20"/>
              <w:shd w:val="clear" w:color="auto" w:fill="auto"/>
              <w:spacing w:after="120" w:line="240" w:lineRule="auto"/>
              <w:ind w:left="54" w:right="41"/>
              <w:jc w:val="center"/>
              <w:rPr>
                <w:rFonts w:ascii="Sylfaen" w:hAnsi="Sylfaen"/>
                <w:sz w:val="20"/>
                <w:szCs w:val="20"/>
              </w:rPr>
            </w:pPr>
            <w:r w:rsidRPr="006E0EBE">
              <w:rPr>
                <w:rStyle w:val="Bodytext211pt"/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</w:tbl>
    <w:p w:rsidR="00650683" w:rsidRDefault="00650683" w:rsidP="00FA4B92">
      <w:pPr>
        <w:spacing w:after="160" w:line="360" w:lineRule="auto"/>
        <w:jc w:val="both"/>
      </w:pPr>
    </w:p>
    <w:p w:rsidR="006E0EBE" w:rsidRPr="00FA4B92" w:rsidRDefault="006E0EBE" w:rsidP="006E0EBE">
      <w:pPr>
        <w:spacing w:after="160" w:line="360" w:lineRule="auto"/>
        <w:jc w:val="center"/>
      </w:pPr>
      <w:r>
        <w:t>——————————</w:t>
      </w:r>
    </w:p>
    <w:sectPr w:rsidR="006E0EBE" w:rsidRPr="00FA4B92" w:rsidSect="006E0EBE">
      <w:footerReference w:type="default" r:id="rId8"/>
      <w:pgSz w:w="16840" w:h="11907" w:code="9"/>
      <w:pgMar w:top="1418" w:right="1418" w:bottom="1418" w:left="1418" w:header="0" w:footer="81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1AC" w:rsidRDefault="009A11AC" w:rsidP="00630FEB">
      <w:r>
        <w:separator/>
      </w:r>
    </w:p>
  </w:endnote>
  <w:endnote w:type="continuationSeparator" w:id="0">
    <w:p w:rsidR="009A11AC" w:rsidRDefault="009A11AC" w:rsidP="0063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3479"/>
      <w:docPartObj>
        <w:docPartGallery w:val="Page Numbers (Bottom of Page)"/>
        <w:docPartUnique/>
      </w:docPartObj>
    </w:sdtPr>
    <w:sdtEndPr/>
    <w:sdtContent>
      <w:p w:rsidR="006E0EBE" w:rsidRDefault="009A4C49" w:rsidP="006E0E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1AC" w:rsidRDefault="009A11AC"/>
  </w:footnote>
  <w:footnote w:type="continuationSeparator" w:id="0">
    <w:p w:rsidR="009A11AC" w:rsidRDefault="009A11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279C3"/>
    <w:multiLevelType w:val="multilevel"/>
    <w:tmpl w:val="2CF64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FEB"/>
    <w:rsid w:val="00034CE6"/>
    <w:rsid w:val="000456F0"/>
    <w:rsid w:val="00056E7F"/>
    <w:rsid w:val="000735ED"/>
    <w:rsid w:val="000B0481"/>
    <w:rsid w:val="00144E55"/>
    <w:rsid w:val="00175025"/>
    <w:rsid w:val="002438C0"/>
    <w:rsid w:val="002D0D98"/>
    <w:rsid w:val="002E1950"/>
    <w:rsid w:val="00325A46"/>
    <w:rsid w:val="003277AC"/>
    <w:rsid w:val="00353AA0"/>
    <w:rsid w:val="00374F68"/>
    <w:rsid w:val="003A7974"/>
    <w:rsid w:val="00425668"/>
    <w:rsid w:val="00455456"/>
    <w:rsid w:val="00487A57"/>
    <w:rsid w:val="004A22BD"/>
    <w:rsid w:val="004C5F13"/>
    <w:rsid w:val="005103F2"/>
    <w:rsid w:val="005327B6"/>
    <w:rsid w:val="00610303"/>
    <w:rsid w:val="00627EEB"/>
    <w:rsid w:val="00630FEB"/>
    <w:rsid w:val="00650683"/>
    <w:rsid w:val="006B7D98"/>
    <w:rsid w:val="006E0EBE"/>
    <w:rsid w:val="00724827"/>
    <w:rsid w:val="007F5C95"/>
    <w:rsid w:val="008F06DD"/>
    <w:rsid w:val="009A11AC"/>
    <w:rsid w:val="009A4C49"/>
    <w:rsid w:val="009C1B0C"/>
    <w:rsid w:val="009E7A38"/>
    <w:rsid w:val="00C35A21"/>
    <w:rsid w:val="00C71F2E"/>
    <w:rsid w:val="00D15C5A"/>
    <w:rsid w:val="00D4054F"/>
    <w:rsid w:val="00D66E74"/>
    <w:rsid w:val="00DE10E1"/>
    <w:rsid w:val="00E00BB8"/>
    <w:rsid w:val="00E05E3E"/>
    <w:rsid w:val="00E37A2E"/>
    <w:rsid w:val="00E77A5A"/>
    <w:rsid w:val="00E90649"/>
    <w:rsid w:val="00ED3AC4"/>
    <w:rsid w:val="00EF71A5"/>
    <w:rsid w:val="00F66702"/>
    <w:rsid w:val="00FA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0FE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30FEB"/>
    <w:rPr>
      <w:color w:val="0066CC"/>
      <w:u w:val="single"/>
    </w:rPr>
  </w:style>
  <w:style w:type="character" w:customStyle="1" w:styleId="Bodytext5">
    <w:name w:val="Body text (5)_"/>
    <w:basedOn w:val="DefaultParagraphFont"/>
    <w:link w:val="Bodytext50"/>
    <w:rsid w:val="006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6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6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3pt">
    <w:name w:val="Table caption (2) + Spacing 3 pt"/>
    <w:basedOn w:val="Tablecaption2"/>
    <w:rsid w:val="006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630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">
    <w:name w:val="Body text (2) + 15 pt"/>
    <w:basedOn w:val="Bodytext2"/>
    <w:rsid w:val="00630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aliases w:val="Bold,Spacing 3 pt,Body text (2) + Tahoma,13 pt,Body text (2) + 13 pt"/>
    <w:basedOn w:val="Bodytext2"/>
    <w:rsid w:val="006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630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Picturecaption2">
    <w:name w:val="Picture caption (2)_"/>
    <w:basedOn w:val="DefaultParagraphFont"/>
    <w:link w:val="Picturecaption20"/>
    <w:rsid w:val="006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number2">
    <w:name w:val="Heading number #2_"/>
    <w:basedOn w:val="DefaultParagraphFont"/>
    <w:link w:val="Headingnumber20"/>
    <w:rsid w:val="00630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NotBold">
    <w:name w:val="Heading #2 + Not Bold"/>
    <w:basedOn w:val="DefaultParagraphFont"/>
    <w:rsid w:val="00630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">
    <w:name w:val="Heading #2 (2)_"/>
    <w:basedOn w:val="DefaultParagraphFont"/>
    <w:link w:val="Heading220"/>
    <w:rsid w:val="006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Spacing3pt">
    <w:name w:val="Heading #2 (2) + Spacing 3 pt"/>
    <w:basedOn w:val="Heading22"/>
    <w:rsid w:val="006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630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50">
    <w:name w:val="Body text (5)"/>
    <w:basedOn w:val="Normal"/>
    <w:link w:val="Bodytext5"/>
    <w:rsid w:val="00630FE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630FEB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630FEB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630F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"/>
    <w:link w:val="Bodytext6"/>
    <w:rsid w:val="00630FEB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20">
    <w:name w:val="Picture caption (2)"/>
    <w:basedOn w:val="Normal"/>
    <w:link w:val="Picturecaption2"/>
    <w:rsid w:val="00630FEB"/>
    <w:pPr>
      <w:shd w:val="clear" w:color="auto" w:fill="FFFFFF"/>
      <w:spacing w:before="6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number20">
    <w:name w:val="Heading number #2"/>
    <w:basedOn w:val="Normal"/>
    <w:link w:val="Headingnumber2"/>
    <w:rsid w:val="00630FEB"/>
    <w:pPr>
      <w:shd w:val="clear" w:color="auto" w:fill="FFFFFF"/>
      <w:spacing w:after="222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20">
    <w:name w:val="Heading #2 (2)"/>
    <w:basedOn w:val="Normal"/>
    <w:link w:val="Heading22"/>
    <w:rsid w:val="00630FEB"/>
    <w:pPr>
      <w:shd w:val="clear" w:color="auto" w:fill="FFFFFF"/>
      <w:spacing w:before="2220" w:line="32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56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E0E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0EB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E0E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B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0FE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30FEB"/>
    <w:rPr>
      <w:color w:val="0066CC"/>
      <w:u w:val="single"/>
    </w:rPr>
  </w:style>
  <w:style w:type="character" w:customStyle="1" w:styleId="Bodytext5">
    <w:name w:val="Body text (5)_"/>
    <w:basedOn w:val="DefaultParagraphFont"/>
    <w:link w:val="Bodytext50"/>
    <w:rsid w:val="006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2">
    <w:name w:val="Heading #1 (2)_"/>
    <w:basedOn w:val="DefaultParagraphFont"/>
    <w:link w:val="Heading120"/>
    <w:rsid w:val="006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6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3pt">
    <w:name w:val="Table caption (2) + Spacing 3 pt"/>
    <w:basedOn w:val="Tablecaption2"/>
    <w:rsid w:val="006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630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">
    <w:name w:val="Body text (2) + 15 pt"/>
    <w:basedOn w:val="Bodytext2"/>
    <w:rsid w:val="00630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aliases w:val="Bold,Spacing 3 pt,Body text (2) + Tahoma,13 pt,Body text (2) + 13 pt"/>
    <w:basedOn w:val="Bodytext2"/>
    <w:rsid w:val="006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630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Picturecaption2">
    <w:name w:val="Picture caption (2)_"/>
    <w:basedOn w:val="DefaultParagraphFont"/>
    <w:link w:val="Picturecaption20"/>
    <w:rsid w:val="006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number2">
    <w:name w:val="Heading number #2_"/>
    <w:basedOn w:val="DefaultParagraphFont"/>
    <w:link w:val="Headingnumber20"/>
    <w:rsid w:val="00630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NotBold">
    <w:name w:val="Heading #2 + Not Bold"/>
    <w:basedOn w:val="DefaultParagraphFont"/>
    <w:rsid w:val="00630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">
    <w:name w:val="Heading #2 (2)_"/>
    <w:basedOn w:val="DefaultParagraphFont"/>
    <w:link w:val="Heading220"/>
    <w:rsid w:val="006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Spacing3pt">
    <w:name w:val="Heading #2 (2) + Spacing 3 pt"/>
    <w:basedOn w:val="Heading22"/>
    <w:rsid w:val="00630F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630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50">
    <w:name w:val="Body text (5)"/>
    <w:basedOn w:val="Normal"/>
    <w:link w:val="Bodytext5"/>
    <w:rsid w:val="00630FE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630FEB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630FEB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630F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"/>
    <w:link w:val="Bodytext6"/>
    <w:rsid w:val="00630FEB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20">
    <w:name w:val="Picture caption (2)"/>
    <w:basedOn w:val="Normal"/>
    <w:link w:val="Picturecaption2"/>
    <w:rsid w:val="00630FEB"/>
    <w:pPr>
      <w:shd w:val="clear" w:color="auto" w:fill="FFFFFF"/>
      <w:spacing w:before="6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number20">
    <w:name w:val="Heading number #2"/>
    <w:basedOn w:val="Normal"/>
    <w:link w:val="Headingnumber2"/>
    <w:rsid w:val="00630FEB"/>
    <w:pPr>
      <w:shd w:val="clear" w:color="auto" w:fill="FFFFFF"/>
      <w:spacing w:after="222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20">
    <w:name w:val="Heading #2 (2)"/>
    <w:basedOn w:val="Normal"/>
    <w:link w:val="Heading22"/>
    <w:rsid w:val="00630FEB"/>
    <w:pPr>
      <w:shd w:val="clear" w:color="auto" w:fill="FFFFFF"/>
      <w:spacing w:before="2220" w:line="32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56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E0E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0EB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E0E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B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2018-08-24T06:51:00Z</dcterms:created>
  <dcterms:modified xsi:type="dcterms:W3CDTF">2018-08-24T06:51:00Z</dcterms:modified>
</cp:coreProperties>
</file>