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FFF" w:rsidRDefault="000F5FFF" w:rsidP="000F5FFF">
      <w:pPr>
        <w:jc w:val="right"/>
        <w:rPr>
          <w:rFonts w:eastAsia="MS Mincho"/>
          <w:b/>
          <w:bCs/>
          <w:noProof/>
          <w:szCs w:val="24"/>
          <w:u w:val="single"/>
          <w:lang w:eastAsia="ja-JP"/>
        </w:rPr>
      </w:pPr>
      <w:bookmarkStart w:id="0" w:name="_GoBack"/>
      <w:bookmarkEnd w:id="0"/>
      <w:r>
        <w:rPr>
          <w:rFonts w:eastAsia="MS Mincho"/>
          <w:b/>
          <w:bCs/>
          <w:noProof/>
          <w:szCs w:val="24"/>
          <w:u w:val="single"/>
          <w:lang w:eastAsia="ja-JP"/>
        </w:rPr>
        <w:t>ANNEX IX</w:t>
      </w:r>
    </w:p>
    <w:p w:rsidR="000F5FFF" w:rsidRDefault="000F5FFF" w:rsidP="000F5FFF">
      <w:pPr>
        <w:rPr>
          <w:rFonts w:eastAsia="MS Mincho"/>
          <w:noProof/>
          <w:szCs w:val="24"/>
          <w:lang w:eastAsia="ja-JP"/>
        </w:rPr>
      </w:pPr>
    </w:p>
    <w:p w:rsidR="000F5FFF" w:rsidRDefault="000F5FFF" w:rsidP="000F5FFF">
      <w:pPr>
        <w:rPr>
          <w:rFonts w:eastAsia="MS Mincho"/>
          <w:noProof/>
          <w:szCs w:val="24"/>
          <w:lang w:eastAsia="ja-JP"/>
        </w:rPr>
      </w:pPr>
    </w:p>
    <w:p w:rsidR="000F5FFF" w:rsidRDefault="000F5FFF" w:rsidP="000F5FFF">
      <w:pPr>
        <w:jc w:val="center"/>
        <w:rPr>
          <w:rFonts w:eastAsia="MS Mincho"/>
          <w:noProof/>
          <w:szCs w:val="24"/>
          <w:lang w:eastAsia="ja-JP"/>
        </w:rPr>
      </w:pPr>
      <w:r>
        <w:rPr>
          <w:rFonts w:eastAsia="MS Mincho"/>
          <w:noProof/>
          <w:szCs w:val="24"/>
          <w:lang w:eastAsia="ja-JP"/>
        </w:rPr>
        <w:t>LEGISLATION OF THE PARTIES</w:t>
      </w:r>
      <w:r>
        <w:rPr>
          <w:rFonts w:eastAsia="MS Mincho"/>
          <w:noProof/>
          <w:szCs w:val="24"/>
          <w:lang w:eastAsia="ja-JP"/>
        </w:rPr>
        <w:br/>
        <w:t>AND ELEMENTS FOR REGISTRATION, CONTROL AND PROTECTION OF GEOGRAPHICAL INDICATIONS</w:t>
      </w:r>
    </w:p>
    <w:p w:rsidR="000F5FFF" w:rsidRDefault="000F5FFF" w:rsidP="000F5FFF">
      <w:pPr>
        <w:rPr>
          <w:rFonts w:eastAsia="MS Mincho"/>
          <w:noProof/>
          <w:szCs w:val="24"/>
          <w:lang w:eastAsia="ja-JP"/>
        </w:rPr>
      </w:pPr>
    </w:p>
    <w:p w:rsidR="000F5FFF" w:rsidRDefault="000F5FFF" w:rsidP="000F5FFF">
      <w:pPr>
        <w:jc w:val="center"/>
        <w:rPr>
          <w:rFonts w:eastAsia="MS Mincho"/>
          <w:noProof/>
          <w:szCs w:val="24"/>
          <w:lang w:eastAsia="ja-JP"/>
        </w:rPr>
      </w:pPr>
      <w:r>
        <w:rPr>
          <w:rFonts w:eastAsia="MS Mincho"/>
          <w:noProof/>
          <w:szCs w:val="24"/>
          <w:lang w:eastAsia="ja-JP"/>
        </w:rPr>
        <w:t xml:space="preserve">Part A </w:t>
      </w:r>
      <w:r>
        <w:rPr>
          <w:rFonts w:eastAsia="MS Mincho"/>
          <w:noProof/>
          <w:szCs w:val="24"/>
          <w:lang w:eastAsia="ja-JP"/>
        </w:rPr>
        <w:br/>
        <w:t>Legislation of the Parties</w:t>
      </w:r>
    </w:p>
    <w:p w:rsidR="000F5FFF" w:rsidRDefault="000F5FFF" w:rsidP="000F5FFF">
      <w:pPr>
        <w:rPr>
          <w:rFonts w:eastAsia="MS Mincho"/>
          <w:noProof/>
          <w:szCs w:val="24"/>
          <w:lang w:eastAsia="ja-JP"/>
        </w:rPr>
      </w:pPr>
    </w:p>
    <w:p w:rsidR="000F5FFF" w:rsidRDefault="000F5FFF" w:rsidP="000F5FFF">
      <w:pPr>
        <w:ind w:left="567" w:hanging="567"/>
        <w:rPr>
          <w:rFonts w:eastAsia="MS Mincho"/>
          <w:noProof/>
          <w:szCs w:val="24"/>
          <w:lang w:eastAsia="ja-JP"/>
        </w:rPr>
      </w:pPr>
      <w:r>
        <w:rPr>
          <w:rFonts w:eastAsia="MS Mincho"/>
          <w:noProof/>
          <w:szCs w:val="24"/>
          <w:lang w:eastAsia="ja-JP"/>
        </w:rPr>
        <w:t>I.</w:t>
      </w:r>
      <w:r>
        <w:rPr>
          <w:rFonts w:eastAsia="MS Mincho"/>
          <w:noProof/>
          <w:szCs w:val="24"/>
          <w:lang w:eastAsia="ja-JP"/>
        </w:rPr>
        <w:tab/>
        <w:t>Legislation of the European Union</w:t>
      </w:r>
    </w:p>
    <w:p w:rsidR="000F5FFF" w:rsidRDefault="000F5FFF" w:rsidP="000F5FFF">
      <w:pPr>
        <w:rPr>
          <w:rFonts w:eastAsia="MS Mincho"/>
          <w:noProof/>
          <w:szCs w:val="24"/>
          <w:lang w:eastAsia="ja-JP"/>
        </w:rPr>
      </w:pPr>
    </w:p>
    <w:p w:rsidR="000F5FFF" w:rsidRDefault="000F5FFF" w:rsidP="000F5FFF">
      <w:pPr>
        <w:ind w:left="1134" w:hanging="567"/>
        <w:rPr>
          <w:rFonts w:eastAsia="MS Mincho"/>
          <w:noProof/>
          <w:szCs w:val="24"/>
          <w:lang w:eastAsia="ja-JP"/>
        </w:rPr>
      </w:pPr>
      <w:r>
        <w:rPr>
          <w:rFonts w:eastAsia="MS Mincho"/>
          <w:noProof/>
          <w:szCs w:val="24"/>
          <w:lang w:eastAsia="ja-JP"/>
        </w:rPr>
        <w:t>(1)</w:t>
      </w:r>
      <w:r>
        <w:rPr>
          <w:rFonts w:eastAsia="MS Mincho"/>
          <w:noProof/>
          <w:szCs w:val="24"/>
          <w:lang w:eastAsia="ja-JP"/>
        </w:rPr>
        <w:tab/>
        <w:t>Regulation (EU) No 1151/2012 of the European Parliament and of the Council of 21 November 2012 on quality schemes for agricultural products and foodstuffs, with its implementing rules.</w:t>
      </w:r>
    </w:p>
    <w:p w:rsidR="000F5FFF" w:rsidRDefault="000F5FFF" w:rsidP="000F5FFF">
      <w:pPr>
        <w:ind w:left="1134" w:hanging="567"/>
        <w:rPr>
          <w:rFonts w:eastAsia="MS Mincho"/>
          <w:noProof/>
          <w:szCs w:val="24"/>
          <w:lang w:eastAsia="ja-JP"/>
        </w:rPr>
      </w:pPr>
    </w:p>
    <w:p w:rsidR="000F5FFF" w:rsidRDefault="000F5FFF" w:rsidP="000F5FFF">
      <w:pPr>
        <w:ind w:left="1134" w:hanging="567"/>
        <w:rPr>
          <w:rFonts w:eastAsia="MS Mincho"/>
          <w:bCs/>
          <w:noProof/>
          <w:szCs w:val="24"/>
          <w:lang w:eastAsia="en-GB"/>
        </w:rPr>
      </w:pPr>
      <w:r>
        <w:rPr>
          <w:rFonts w:eastAsia="MS Mincho"/>
          <w:noProof/>
          <w:szCs w:val="24"/>
          <w:lang w:eastAsia="ja-JP"/>
        </w:rPr>
        <w:t>(2)</w:t>
      </w:r>
      <w:r>
        <w:rPr>
          <w:rFonts w:eastAsia="MS Mincho"/>
          <w:noProof/>
          <w:szCs w:val="24"/>
          <w:lang w:eastAsia="ja-JP"/>
        </w:rPr>
        <w:tab/>
        <w:t>Regulation (EC) No 110/2008 of the European Parliament and of the Council of 15 January 2008</w:t>
      </w:r>
      <w:r>
        <w:rPr>
          <w:rFonts w:eastAsia="MS Mincho"/>
          <w:bCs/>
          <w:noProof/>
          <w:szCs w:val="24"/>
          <w:lang w:eastAsia="en-GB"/>
        </w:rPr>
        <w:t xml:space="preserve"> on the definition, description, presentation, labelling and the protection of geographical indications of spirit drinks and repealing Council Regulation (EEC) No 1576/89, with its implementing rules.</w:t>
      </w:r>
    </w:p>
    <w:p w:rsidR="000F5FFF" w:rsidRDefault="000F5FFF" w:rsidP="000F5FFF">
      <w:pPr>
        <w:ind w:left="1134" w:hanging="567"/>
        <w:rPr>
          <w:rFonts w:eastAsia="MS Mincho"/>
          <w:bCs/>
          <w:noProof/>
          <w:szCs w:val="24"/>
          <w:lang w:eastAsia="en-GB"/>
        </w:rPr>
      </w:pPr>
    </w:p>
    <w:p w:rsidR="000F5FFF" w:rsidRDefault="000F5FFF" w:rsidP="000F5FFF">
      <w:pPr>
        <w:ind w:left="1134" w:hanging="567"/>
        <w:rPr>
          <w:rFonts w:eastAsia="MS Mincho"/>
          <w:noProof/>
          <w:szCs w:val="24"/>
          <w:lang w:eastAsia="ja-JP"/>
        </w:rPr>
      </w:pPr>
      <w:r>
        <w:rPr>
          <w:rFonts w:eastAsia="MS Mincho"/>
          <w:noProof/>
          <w:szCs w:val="24"/>
          <w:lang w:eastAsia="ja-JP"/>
        </w:rPr>
        <w:t>(3)</w:t>
      </w:r>
      <w:r>
        <w:rPr>
          <w:rFonts w:eastAsia="MS Mincho"/>
          <w:noProof/>
          <w:szCs w:val="24"/>
          <w:lang w:eastAsia="ja-JP"/>
        </w:rPr>
        <w:tab/>
        <w:t>Regulation (EU) No 1308/2013 of the European Parliament and of the Council of 17 December 2013 establishing a common organisation of the markets in agricultural products and repealing Council Regulations (EEC) No 922/72, (EEC) No 234/79, (EC) No 1037/2001 and (EC) No 1234/2007, with its implementing rules.</w:t>
      </w:r>
    </w:p>
    <w:p w:rsidR="000F5FFF" w:rsidRDefault="000F5FFF" w:rsidP="000F5FFF">
      <w:pPr>
        <w:ind w:left="1134" w:hanging="567"/>
        <w:rPr>
          <w:rFonts w:eastAsia="MS Mincho"/>
          <w:noProof/>
          <w:szCs w:val="24"/>
          <w:lang w:eastAsia="ja-JP"/>
        </w:rPr>
      </w:pPr>
    </w:p>
    <w:p w:rsidR="000F5FFF" w:rsidRDefault="000F5FFF" w:rsidP="000F5FFF">
      <w:pPr>
        <w:rPr>
          <w:rFonts w:eastAsia="MS Mincho"/>
          <w:noProof/>
          <w:szCs w:val="24"/>
          <w:lang w:eastAsia="ja-JP"/>
        </w:rPr>
      </w:pPr>
      <w:r>
        <w:rPr>
          <w:rFonts w:eastAsia="MS Mincho"/>
          <w:noProof/>
          <w:szCs w:val="24"/>
          <w:lang w:eastAsia="ja-JP"/>
        </w:rPr>
        <w:br w:type="page"/>
      </w:r>
    </w:p>
    <w:p w:rsidR="000F5FFF" w:rsidRDefault="000F5FFF" w:rsidP="000F5FFF">
      <w:pPr>
        <w:ind w:left="1134" w:hanging="567"/>
        <w:rPr>
          <w:rFonts w:eastAsia="MS Mincho"/>
          <w:noProof/>
          <w:szCs w:val="24"/>
          <w:lang w:eastAsia="ja-JP"/>
        </w:rPr>
      </w:pPr>
      <w:r>
        <w:rPr>
          <w:rFonts w:eastAsia="MS Mincho"/>
          <w:noProof/>
          <w:szCs w:val="24"/>
          <w:lang w:eastAsia="ja-JP"/>
        </w:rPr>
        <w:lastRenderedPageBreak/>
        <w:t>(4)</w:t>
      </w:r>
      <w:r>
        <w:rPr>
          <w:rFonts w:eastAsia="MS Mincho"/>
          <w:noProof/>
          <w:szCs w:val="24"/>
          <w:lang w:eastAsia="ja-JP"/>
        </w:rPr>
        <w:tab/>
        <w:t>Regulation (EU) No 251/2014 of the European Parliament and of the Council of 26 February 2014 on the definition, description, presentation, labelling and the protection of geographical indications of aromatised wine products and repealing Council Regulation (EEC) No 1601/91.</w:t>
      </w:r>
    </w:p>
    <w:p w:rsidR="000F5FFF" w:rsidRDefault="000F5FFF" w:rsidP="000F5FFF">
      <w:pPr>
        <w:rPr>
          <w:rFonts w:eastAsia="MS Mincho"/>
          <w:noProof/>
          <w:szCs w:val="24"/>
          <w:lang w:eastAsia="en-GB"/>
        </w:rPr>
      </w:pPr>
    </w:p>
    <w:p w:rsidR="000F5FFF" w:rsidRDefault="000F5FFF" w:rsidP="000F5FFF">
      <w:pPr>
        <w:ind w:left="567" w:hanging="567"/>
        <w:rPr>
          <w:rFonts w:eastAsia="MS Mincho"/>
          <w:noProof/>
          <w:szCs w:val="24"/>
          <w:lang w:eastAsia="ja-JP"/>
        </w:rPr>
      </w:pPr>
      <w:r>
        <w:rPr>
          <w:rFonts w:eastAsia="MS Mincho"/>
          <w:noProof/>
          <w:szCs w:val="24"/>
          <w:lang w:eastAsia="ja-JP"/>
        </w:rPr>
        <w:t>II.</w:t>
      </w:r>
      <w:r>
        <w:rPr>
          <w:rFonts w:eastAsia="MS Mincho"/>
          <w:noProof/>
          <w:szCs w:val="24"/>
          <w:lang w:eastAsia="ja-JP"/>
        </w:rPr>
        <w:tab/>
        <w:t>Legislation of the Republic of Armenia</w:t>
      </w:r>
    </w:p>
    <w:p w:rsidR="000F5FFF" w:rsidRDefault="000F5FFF" w:rsidP="000F5FFF">
      <w:pPr>
        <w:rPr>
          <w:rFonts w:eastAsia="MS Mincho"/>
          <w:noProof/>
          <w:szCs w:val="24"/>
          <w:lang w:eastAsia="ja-JP"/>
        </w:rPr>
      </w:pPr>
    </w:p>
    <w:p w:rsidR="000F5FFF" w:rsidRDefault="000F5FFF" w:rsidP="000F5FFF">
      <w:pPr>
        <w:ind w:left="1134" w:hanging="567"/>
        <w:rPr>
          <w:rFonts w:eastAsia="MS Mincho"/>
          <w:noProof/>
          <w:szCs w:val="24"/>
          <w:lang w:eastAsia="ja-JP"/>
        </w:rPr>
      </w:pPr>
      <w:r>
        <w:rPr>
          <w:rFonts w:eastAsia="MS Mincho"/>
          <w:noProof/>
          <w:szCs w:val="24"/>
          <w:lang w:val="en-US" w:eastAsia="ja-JP"/>
        </w:rPr>
        <w:t>(1)</w:t>
      </w:r>
      <w:r>
        <w:rPr>
          <w:rFonts w:eastAsia="MS Mincho"/>
          <w:noProof/>
          <w:szCs w:val="24"/>
          <w:lang w:val="en-US" w:eastAsia="ja-JP"/>
        </w:rPr>
        <w:tab/>
        <w:t>Law of the Republic of Armenia on "Geographical Indications", HO-60-N which was adopted on 29.04.2010 and entered into force on 01.07.2010.</w:t>
      </w:r>
    </w:p>
    <w:p w:rsidR="000F5FFF" w:rsidRDefault="000F5FFF" w:rsidP="000F5FFF">
      <w:pPr>
        <w:ind w:left="1134" w:hanging="567"/>
        <w:rPr>
          <w:rFonts w:eastAsia="MS Mincho"/>
          <w:noProof/>
          <w:szCs w:val="24"/>
          <w:lang w:eastAsia="ja-JP"/>
        </w:rPr>
      </w:pPr>
    </w:p>
    <w:p w:rsidR="000F5FFF" w:rsidRDefault="000F5FFF" w:rsidP="000F5FFF">
      <w:pPr>
        <w:ind w:left="1134" w:hanging="567"/>
        <w:rPr>
          <w:rFonts w:asciiTheme="majorBidi" w:eastAsia="MS Mincho" w:hAnsiTheme="majorBidi" w:cstheme="majorBidi"/>
          <w:noProof/>
          <w:szCs w:val="24"/>
          <w:lang w:val="en-US" w:eastAsia="en-GB"/>
        </w:rPr>
      </w:pPr>
      <w:r>
        <w:rPr>
          <w:rFonts w:eastAsia="MS Mincho"/>
          <w:noProof/>
          <w:szCs w:val="24"/>
          <w:lang w:val="en-US" w:eastAsia="en-GB"/>
        </w:rPr>
        <w:t>(2)</w:t>
      </w:r>
      <w:r>
        <w:rPr>
          <w:rFonts w:eastAsia="MS Mincho"/>
          <w:noProof/>
          <w:szCs w:val="24"/>
          <w:lang w:val="en-US" w:eastAsia="en-GB"/>
        </w:rPr>
        <w:tab/>
        <w:t>Civil Code of the Republic of Armenia, articles 1179-1183.</w:t>
      </w:r>
    </w:p>
    <w:p w:rsidR="000F5FFF" w:rsidRDefault="000F5FFF" w:rsidP="000F5FFF">
      <w:pPr>
        <w:ind w:left="1134" w:hanging="567"/>
        <w:rPr>
          <w:rFonts w:asciiTheme="majorBidi" w:eastAsia="MS Mincho" w:hAnsiTheme="majorBidi" w:cstheme="majorBidi"/>
          <w:noProof/>
          <w:szCs w:val="24"/>
          <w:lang w:val="en-US" w:eastAsia="en-GB"/>
        </w:rPr>
      </w:pPr>
    </w:p>
    <w:p w:rsidR="000F5FFF" w:rsidRDefault="000F5FFF" w:rsidP="000F5FFF">
      <w:pPr>
        <w:ind w:left="1134" w:hanging="567"/>
        <w:rPr>
          <w:rFonts w:eastAsia="MS Mincho"/>
          <w:noProof/>
          <w:szCs w:val="24"/>
          <w:lang w:val="en-US" w:eastAsia="ja-JP"/>
        </w:rPr>
      </w:pPr>
      <w:r>
        <w:rPr>
          <w:rFonts w:eastAsia="MS Mincho"/>
          <w:noProof/>
          <w:szCs w:val="24"/>
          <w:lang w:val="en-US" w:eastAsia="ja-JP"/>
        </w:rPr>
        <w:t>(3)</w:t>
      </w:r>
      <w:r>
        <w:rPr>
          <w:rFonts w:eastAsia="MS Mincho"/>
          <w:noProof/>
          <w:szCs w:val="24"/>
          <w:lang w:val="en-US" w:eastAsia="ja-JP"/>
        </w:rPr>
        <w:tab/>
        <w:t>Rules on "Filling out, filing and processing an application of Geographical indications, Designation of origin and Guaranteed traditional products", confirmed by decision 310 –N of the Government of the Republic of Armenia on 10.03.2011.</w:t>
      </w:r>
    </w:p>
    <w:p w:rsidR="000F5FFF" w:rsidRDefault="000F5FFF" w:rsidP="000F5FFF">
      <w:pPr>
        <w:rPr>
          <w:rFonts w:eastAsia="MS Mincho"/>
          <w:noProof/>
          <w:szCs w:val="24"/>
          <w:lang w:eastAsia="ja-JP"/>
        </w:rPr>
      </w:pPr>
    </w:p>
    <w:p w:rsidR="000F5FFF" w:rsidRDefault="000F5FFF" w:rsidP="000F5FFF">
      <w:pPr>
        <w:rPr>
          <w:rFonts w:eastAsia="MS Mincho"/>
          <w:noProof/>
          <w:szCs w:val="24"/>
          <w:lang w:eastAsia="ja-JP"/>
        </w:rPr>
      </w:pPr>
      <w:r>
        <w:rPr>
          <w:rFonts w:eastAsia="MS Mincho"/>
          <w:noProof/>
          <w:szCs w:val="24"/>
          <w:lang w:eastAsia="ja-JP"/>
        </w:rPr>
        <w:br w:type="page"/>
      </w:r>
    </w:p>
    <w:p w:rsidR="000F5FFF" w:rsidRDefault="000F5FFF" w:rsidP="000F5FFF">
      <w:pPr>
        <w:jc w:val="center"/>
        <w:rPr>
          <w:rFonts w:eastAsia="MS Mincho"/>
          <w:noProof/>
          <w:szCs w:val="24"/>
          <w:lang w:eastAsia="ja-JP"/>
        </w:rPr>
      </w:pPr>
      <w:r>
        <w:rPr>
          <w:rFonts w:eastAsia="MS Mincho"/>
          <w:noProof/>
          <w:szCs w:val="24"/>
          <w:lang w:eastAsia="ja-JP"/>
        </w:rPr>
        <w:lastRenderedPageBreak/>
        <w:t>Part B</w:t>
      </w:r>
    </w:p>
    <w:p w:rsidR="000F5FFF" w:rsidRDefault="000F5FFF" w:rsidP="000F5FFF">
      <w:pPr>
        <w:jc w:val="center"/>
        <w:rPr>
          <w:rFonts w:eastAsia="MS Mincho"/>
          <w:noProof/>
          <w:szCs w:val="24"/>
          <w:lang w:eastAsia="ja-JP"/>
        </w:rPr>
      </w:pPr>
      <w:r>
        <w:rPr>
          <w:rFonts w:eastAsia="MS Mincho"/>
          <w:noProof/>
          <w:szCs w:val="24"/>
          <w:lang w:eastAsia="ja-JP"/>
        </w:rPr>
        <w:t>Elements for registration, control and protection of geographical indications</w:t>
      </w:r>
    </w:p>
    <w:p w:rsidR="000F5FFF" w:rsidRDefault="000F5FFF" w:rsidP="000F5FFF">
      <w:pPr>
        <w:rPr>
          <w:rFonts w:eastAsia="MS Mincho"/>
          <w:noProof/>
          <w:szCs w:val="24"/>
          <w:lang w:eastAsia="ja-JP"/>
        </w:rPr>
      </w:pPr>
    </w:p>
    <w:p w:rsidR="000F5FFF" w:rsidRDefault="000F5FFF" w:rsidP="000F5FFF">
      <w:pPr>
        <w:rPr>
          <w:rFonts w:eastAsia="MS Mincho"/>
          <w:noProof/>
          <w:szCs w:val="24"/>
          <w:lang w:eastAsia="ja-JP"/>
        </w:rPr>
      </w:pPr>
      <w:r>
        <w:rPr>
          <w:rFonts w:eastAsia="MS Mincho"/>
          <w:noProof/>
          <w:szCs w:val="24"/>
          <w:lang w:eastAsia="ja-JP"/>
        </w:rPr>
        <w:t>Each Party shall ensure that its system for registration, control and protection of geographical indications includes:</w:t>
      </w:r>
    </w:p>
    <w:p w:rsidR="000F5FFF" w:rsidRDefault="000F5FFF" w:rsidP="000F5FFF">
      <w:pPr>
        <w:rPr>
          <w:rFonts w:eastAsia="MS Mincho"/>
          <w:noProof/>
          <w:szCs w:val="24"/>
          <w:lang w:eastAsia="ja-JP"/>
        </w:rPr>
      </w:pPr>
    </w:p>
    <w:p w:rsidR="000F5FFF" w:rsidRDefault="000F5FFF" w:rsidP="000F5FFF">
      <w:pPr>
        <w:ind w:left="567" w:hanging="567"/>
        <w:rPr>
          <w:rFonts w:eastAsia="MS Mincho"/>
          <w:noProof/>
          <w:szCs w:val="24"/>
          <w:lang w:eastAsia="ja-JP"/>
        </w:rPr>
      </w:pPr>
      <w:r>
        <w:rPr>
          <w:rFonts w:eastAsia="MS Mincho"/>
          <w:noProof/>
          <w:szCs w:val="24"/>
          <w:lang w:eastAsia="ja-JP"/>
        </w:rPr>
        <w:t>(1)</w:t>
      </w:r>
      <w:r>
        <w:rPr>
          <w:rFonts w:eastAsia="MS Mincho"/>
          <w:noProof/>
          <w:szCs w:val="24"/>
          <w:lang w:eastAsia="ja-JP"/>
        </w:rPr>
        <w:tab/>
        <w:t>a register listing geographical indications protected in its territory;</w:t>
      </w:r>
    </w:p>
    <w:p w:rsidR="000F5FFF" w:rsidRDefault="000F5FFF" w:rsidP="000F5FFF">
      <w:pPr>
        <w:ind w:left="567" w:hanging="567"/>
        <w:rPr>
          <w:rFonts w:eastAsia="MS Mincho"/>
          <w:noProof/>
          <w:szCs w:val="24"/>
          <w:lang w:eastAsia="ja-JP"/>
        </w:rPr>
      </w:pPr>
    </w:p>
    <w:p w:rsidR="000F5FFF" w:rsidRDefault="000F5FFF" w:rsidP="000F5FFF">
      <w:pPr>
        <w:ind w:left="567" w:hanging="567"/>
        <w:rPr>
          <w:rFonts w:eastAsia="MS Mincho"/>
          <w:noProof/>
          <w:szCs w:val="24"/>
          <w:lang w:eastAsia="ja-JP"/>
        </w:rPr>
      </w:pPr>
      <w:r>
        <w:rPr>
          <w:rFonts w:eastAsia="MS Mincho"/>
          <w:noProof/>
          <w:szCs w:val="24"/>
          <w:lang w:eastAsia="ja-JP"/>
        </w:rPr>
        <w:t>(2)</w:t>
      </w:r>
      <w:r>
        <w:rPr>
          <w:rFonts w:eastAsia="MS Mincho"/>
          <w:noProof/>
          <w:szCs w:val="24"/>
          <w:lang w:eastAsia="ja-JP"/>
        </w:rPr>
        <w:tab/>
        <w:t>an administrative process verifying that geographical indications identify a good as originating in a territory, region or locality of one of the Parties where a given quality, reputation or other characteristic of the good is essentially attributable to its geographical origin;</w:t>
      </w:r>
    </w:p>
    <w:p w:rsidR="000F5FFF" w:rsidRDefault="000F5FFF" w:rsidP="000F5FFF">
      <w:pPr>
        <w:ind w:left="567" w:hanging="567"/>
        <w:rPr>
          <w:rFonts w:eastAsia="MS Mincho"/>
          <w:noProof/>
          <w:szCs w:val="24"/>
          <w:lang w:eastAsia="ja-JP"/>
        </w:rPr>
      </w:pPr>
    </w:p>
    <w:p w:rsidR="000F5FFF" w:rsidRDefault="000F5FFF" w:rsidP="000F5FFF">
      <w:pPr>
        <w:ind w:left="567" w:hanging="567"/>
        <w:rPr>
          <w:rFonts w:eastAsia="MS Mincho"/>
          <w:noProof/>
          <w:szCs w:val="24"/>
          <w:lang w:eastAsia="ja-JP"/>
        </w:rPr>
      </w:pPr>
      <w:r>
        <w:rPr>
          <w:rFonts w:eastAsia="MS Mincho"/>
          <w:noProof/>
          <w:szCs w:val="24"/>
          <w:lang w:eastAsia="ja-JP"/>
        </w:rPr>
        <w:t>(3)</w:t>
      </w:r>
      <w:r>
        <w:rPr>
          <w:rFonts w:eastAsia="MS Mincho"/>
          <w:noProof/>
          <w:szCs w:val="24"/>
          <w:lang w:eastAsia="ja-JP"/>
        </w:rPr>
        <w:tab/>
        <w:t>a requirement that a registered name corresponds to a specific product or products for which a product specification is laid down, which can only be amended by due administrative process;</w:t>
      </w:r>
    </w:p>
    <w:p w:rsidR="000F5FFF" w:rsidRDefault="000F5FFF" w:rsidP="000F5FFF">
      <w:pPr>
        <w:ind w:left="567" w:hanging="567"/>
        <w:rPr>
          <w:rFonts w:eastAsia="MS Mincho"/>
          <w:noProof/>
          <w:szCs w:val="24"/>
          <w:lang w:eastAsia="ja-JP"/>
        </w:rPr>
      </w:pPr>
    </w:p>
    <w:p w:rsidR="000F5FFF" w:rsidRDefault="000F5FFF" w:rsidP="000F5FFF">
      <w:pPr>
        <w:ind w:left="567" w:hanging="567"/>
        <w:rPr>
          <w:rFonts w:eastAsia="MS Mincho"/>
          <w:noProof/>
          <w:szCs w:val="24"/>
          <w:lang w:eastAsia="ja-JP"/>
        </w:rPr>
      </w:pPr>
      <w:r>
        <w:rPr>
          <w:rFonts w:eastAsia="MS Mincho"/>
          <w:noProof/>
          <w:szCs w:val="24"/>
          <w:lang w:eastAsia="ja-JP"/>
        </w:rPr>
        <w:t>(4)</w:t>
      </w:r>
      <w:r>
        <w:rPr>
          <w:rFonts w:eastAsia="MS Mincho"/>
          <w:noProof/>
          <w:szCs w:val="24"/>
          <w:lang w:eastAsia="ja-JP"/>
        </w:rPr>
        <w:tab/>
        <w:t>control provisions applying to production;</w:t>
      </w:r>
    </w:p>
    <w:p w:rsidR="000F5FFF" w:rsidRDefault="000F5FFF" w:rsidP="000F5FFF">
      <w:pPr>
        <w:ind w:left="567" w:hanging="567"/>
        <w:rPr>
          <w:rFonts w:eastAsia="MS Mincho"/>
          <w:noProof/>
          <w:szCs w:val="24"/>
          <w:lang w:eastAsia="ja-JP"/>
        </w:rPr>
      </w:pPr>
    </w:p>
    <w:p w:rsidR="000F5FFF" w:rsidRDefault="000F5FFF" w:rsidP="000F5FFF">
      <w:pPr>
        <w:ind w:left="567" w:hanging="567"/>
        <w:rPr>
          <w:rFonts w:eastAsia="MS Mincho"/>
          <w:noProof/>
          <w:szCs w:val="24"/>
          <w:lang w:eastAsia="ja-JP"/>
        </w:rPr>
      </w:pPr>
      <w:r>
        <w:rPr>
          <w:rFonts w:eastAsia="MS Mincho"/>
          <w:noProof/>
          <w:szCs w:val="24"/>
          <w:lang w:eastAsia="ja-JP"/>
        </w:rPr>
        <w:t>(5)</w:t>
      </w:r>
      <w:r>
        <w:rPr>
          <w:rFonts w:eastAsia="MS Mincho"/>
          <w:noProof/>
          <w:szCs w:val="24"/>
          <w:lang w:eastAsia="ja-JP"/>
        </w:rPr>
        <w:tab/>
        <w:t>enforcement of the protection of registered geographical indications by appropriate administrative action by the public authorities;</w:t>
      </w:r>
    </w:p>
    <w:p w:rsidR="000F5FFF" w:rsidRDefault="000F5FFF" w:rsidP="000F5FFF">
      <w:pPr>
        <w:ind w:left="567" w:hanging="567"/>
        <w:rPr>
          <w:rFonts w:eastAsia="MS Mincho"/>
          <w:noProof/>
          <w:szCs w:val="24"/>
          <w:lang w:eastAsia="ja-JP"/>
        </w:rPr>
      </w:pPr>
    </w:p>
    <w:p w:rsidR="000F5FFF" w:rsidRDefault="000F5FFF" w:rsidP="000F5FFF">
      <w:pPr>
        <w:rPr>
          <w:rFonts w:eastAsia="MS Mincho"/>
          <w:noProof/>
          <w:szCs w:val="24"/>
          <w:lang w:eastAsia="ja-JP"/>
        </w:rPr>
      </w:pPr>
      <w:r>
        <w:rPr>
          <w:rFonts w:eastAsia="MS Mincho"/>
          <w:noProof/>
          <w:szCs w:val="24"/>
          <w:lang w:eastAsia="ja-JP"/>
        </w:rPr>
        <w:br w:type="page"/>
      </w:r>
    </w:p>
    <w:p w:rsidR="000F5FFF" w:rsidRDefault="000F5FFF" w:rsidP="000F5FFF">
      <w:pPr>
        <w:ind w:left="567" w:hanging="567"/>
        <w:rPr>
          <w:rFonts w:eastAsia="MS Mincho"/>
          <w:noProof/>
          <w:szCs w:val="24"/>
          <w:lang w:eastAsia="ja-JP"/>
        </w:rPr>
      </w:pPr>
      <w:r>
        <w:rPr>
          <w:rFonts w:eastAsia="MS Mincho"/>
          <w:noProof/>
          <w:szCs w:val="24"/>
          <w:lang w:eastAsia="ja-JP"/>
        </w:rPr>
        <w:lastRenderedPageBreak/>
        <w:t>(6)</w:t>
      </w:r>
      <w:r>
        <w:rPr>
          <w:rFonts w:eastAsia="MS Mincho"/>
          <w:noProof/>
          <w:szCs w:val="24"/>
          <w:lang w:eastAsia="ja-JP"/>
        </w:rPr>
        <w:tab/>
        <w:t>legal provisions providing that a registered geographical indication:</w:t>
      </w:r>
    </w:p>
    <w:p w:rsidR="000F5FFF" w:rsidRDefault="000F5FFF" w:rsidP="000F5FFF">
      <w:pPr>
        <w:rPr>
          <w:rFonts w:eastAsia="MS Mincho"/>
          <w:noProof/>
          <w:szCs w:val="24"/>
          <w:lang w:eastAsia="ja-JP"/>
        </w:rPr>
      </w:pPr>
    </w:p>
    <w:p w:rsidR="000F5FFF" w:rsidRDefault="000F5FFF" w:rsidP="004B05D7">
      <w:pPr>
        <w:ind w:left="1134" w:hanging="567"/>
        <w:rPr>
          <w:rFonts w:eastAsia="MS Mincho"/>
          <w:noProof/>
          <w:szCs w:val="24"/>
          <w:lang w:eastAsia="ja-JP"/>
        </w:rPr>
      </w:pPr>
      <w:r>
        <w:rPr>
          <w:rFonts w:eastAsia="MS Mincho"/>
          <w:noProof/>
          <w:szCs w:val="24"/>
          <w:lang w:eastAsia="ja-JP"/>
        </w:rPr>
        <w:t>(a)</w:t>
      </w:r>
      <w:r>
        <w:rPr>
          <w:rFonts w:eastAsia="MS Mincho"/>
          <w:noProof/>
          <w:szCs w:val="24"/>
          <w:lang w:eastAsia="ja-JP"/>
        </w:rPr>
        <w:tab/>
        <w:t>may be used by any operator marketing the agricultural product or foodstuff conforming to the corresponding specification</w:t>
      </w:r>
      <w:r w:rsidR="004B05D7">
        <w:rPr>
          <w:rFonts w:eastAsia="MS Mincho"/>
          <w:noProof/>
          <w:szCs w:val="24"/>
          <w:lang w:eastAsia="ja-JP"/>
        </w:rPr>
        <w:t>;</w:t>
      </w:r>
      <w:r>
        <w:rPr>
          <w:rFonts w:eastAsia="MS Mincho"/>
          <w:noProof/>
          <w:szCs w:val="24"/>
          <w:lang w:eastAsia="ja-JP"/>
        </w:rPr>
        <w:t xml:space="preserve"> and</w:t>
      </w:r>
    </w:p>
    <w:p w:rsidR="000F5FFF" w:rsidRDefault="000F5FFF" w:rsidP="000F5FFF">
      <w:pPr>
        <w:ind w:left="1134" w:hanging="567"/>
        <w:rPr>
          <w:rFonts w:eastAsia="MS Mincho"/>
          <w:noProof/>
          <w:szCs w:val="24"/>
          <w:lang w:eastAsia="ja-JP"/>
        </w:rPr>
      </w:pPr>
    </w:p>
    <w:p w:rsidR="000F5FFF" w:rsidRDefault="000F5FFF" w:rsidP="000F5FFF">
      <w:pPr>
        <w:ind w:left="1134" w:hanging="567"/>
        <w:rPr>
          <w:rFonts w:eastAsia="MS Mincho"/>
          <w:noProof/>
          <w:szCs w:val="24"/>
          <w:lang w:eastAsia="ja-JP"/>
        </w:rPr>
      </w:pPr>
      <w:r>
        <w:rPr>
          <w:rFonts w:eastAsia="MS Mincho"/>
          <w:noProof/>
          <w:szCs w:val="24"/>
          <w:lang w:eastAsia="ja-JP"/>
        </w:rPr>
        <w:t>(b)</w:t>
      </w:r>
      <w:r>
        <w:rPr>
          <w:rFonts w:eastAsia="MS Mincho"/>
          <w:noProof/>
          <w:szCs w:val="24"/>
          <w:lang w:eastAsia="ja-JP"/>
        </w:rPr>
        <w:tab/>
        <w:t>is protected against:</w:t>
      </w:r>
    </w:p>
    <w:p w:rsidR="000F5FFF" w:rsidRDefault="000F5FFF" w:rsidP="000F5FFF">
      <w:pPr>
        <w:rPr>
          <w:rFonts w:eastAsia="MS Mincho"/>
          <w:noProof/>
          <w:szCs w:val="24"/>
          <w:lang w:eastAsia="ja-JP"/>
        </w:rPr>
      </w:pPr>
    </w:p>
    <w:p w:rsidR="000F5FFF" w:rsidRDefault="000F5FFF" w:rsidP="000F5FFF">
      <w:pPr>
        <w:ind w:left="1701" w:hanging="567"/>
        <w:rPr>
          <w:rFonts w:eastAsia="MS Mincho"/>
          <w:noProof/>
          <w:szCs w:val="24"/>
          <w:lang w:eastAsia="ja-JP"/>
        </w:rPr>
      </w:pPr>
      <w:r>
        <w:rPr>
          <w:rFonts w:eastAsia="MS Mincho"/>
          <w:noProof/>
          <w:szCs w:val="24"/>
          <w:lang w:eastAsia="ja-JP"/>
        </w:rPr>
        <w:t>(i)</w:t>
      </w:r>
      <w:r>
        <w:rPr>
          <w:rFonts w:eastAsia="MS Mincho"/>
          <w:noProof/>
          <w:szCs w:val="24"/>
          <w:lang w:eastAsia="ja-JP"/>
        </w:rPr>
        <w:tab/>
        <w:t>any direct or indirect commercial use of a registered geographical indication in respect of products not covered by the registration in so far as those products are comparable to the products registered under that geographical indication or in so far as using the geographical indication exploits the reputation of the protected geographical indication;</w:t>
      </w:r>
    </w:p>
    <w:p w:rsidR="000F5FFF" w:rsidRDefault="000F5FFF" w:rsidP="000F5FFF">
      <w:pPr>
        <w:ind w:left="1701" w:hanging="567"/>
        <w:rPr>
          <w:rFonts w:eastAsia="MS Mincho"/>
          <w:noProof/>
          <w:szCs w:val="24"/>
          <w:lang w:eastAsia="ja-JP"/>
        </w:rPr>
      </w:pPr>
    </w:p>
    <w:p w:rsidR="000F5FFF" w:rsidRDefault="000F5FFF" w:rsidP="000F5FFF">
      <w:pPr>
        <w:ind w:left="1701" w:hanging="567"/>
        <w:rPr>
          <w:rFonts w:eastAsia="MS Mincho"/>
          <w:noProof/>
          <w:szCs w:val="24"/>
          <w:lang w:eastAsia="ja-JP"/>
        </w:rPr>
      </w:pPr>
      <w:r>
        <w:rPr>
          <w:rFonts w:eastAsia="MS Mincho"/>
          <w:noProof/>
          <w:szCs w:val="24"/>
          <w:lang w:eastAsia="ja-JP"/>
        </w:rPr>
        <w:t>(ii)</w:t>
      </w:r>
      <w:r>
        <w:rPr>
          <w:rFonts w:eastAsia="MS Mincho"/>
          <w:noProof/>
          <w:szCs w:val="24"/>
          <w:lang w:eastAsia="ja-JP"/>
        </w:rPr>
        <w:tab/>
        <w:t>any misuse, imitation or evocation, even if the true origin of the product is indicated or if the protected geographical indication is translated or accompanied by an expression such as "style", "type", "method", "as produced in", "imitation" or similar;</w:t>
      </w:r>
    </w:p>
    <w:p w:rsidR="000F5FFF" w:rsidRDefault="000F5FFF" w:rsidP="000F5FFF">
      <w:pPr>
        <w:ind w:left="1701" w:hanging="567"/>
        <w:rPr>
          <w:rFonts w:eastAsia="MS Mincho"/>
          <w:noProof/>
          <w:szCs w:val="24"/>
          <w:lang w:eastAsia="ja-JP"/>
        </w:rPr>
      </w:pPr>
    </w:p>
    <w:p w:rsidR="000F5FFF" w:rsidRDefault="000F5FFF" w:rsidP="004B05D7">
      <w:pPr>
        <w:ind w:left="1701" w:hanging="567"/>
        <w:rPr>
          <w:rFonts w:eastAsia="MS Mincho"/>
          <w:noProof/>
          <w:szCs w:val="24"/>
          <w:lang w:eastAsia="ja-JP"/>
        </w:rPr>
      </w:pPr>
      <w:r>
        <w:rPr>
          <w:rFonts w:eastAsia="MS Mincho"/>
          <w:noProof/>
          <w:szCs w:val="24"/>
          <w:lang w:eastAsia="ja-JP"/>
        </w:rPr>
        <w:t>(iii)</w:t>
      </w:r>
      <w:r>
        <w:rPr>
          <w:rFonts w:eastAsia="MS Mincho"/>
          <w:noProof/>
          <w:szCs w:val="24"/>
          <w:lang w:eastAsia="ja-JP"/>
        </w:rPr>
        <w:tab/>
        <w:t>any other false or misleading indication as to the provenance, origin, nature or essential qualities of the product, on the inner or outer packaging, advertising material or documents relating to the product concerned, and the packing of the product in a container likely to convey a false impression as to its origin</w:t>
      </w:r>
      <w:r w:rsidR="004B05D7">
        <w:rPr>
          <w:rFonts w:eastAsia="MS Mincho"/>
          <w:noProof/>
          <w:szCs w:val="24"/>
          <w:lang w:eastAsia="ja-JP"/>
        </w:rPr>
        <w:t>;</w:t>
      </w:r>
      <w:r>
        <w:rPr>
          <w:rFonts w:eastAsia="MS Mincho"/>
          <w:noProof/>
          <w:szCs w:val="24"/>
          <w:lang w:eastAsia="ja-JP"/>
        </w:rPr>
        <w:t xml:space="preserve"> and</w:t>
      </w:r>
    </w:p>
    <w:p w:rsidR="000F5FFF" w:rsidRDefault="000F5FFF" w:rsidP="000F5FFF">
      <w:pPr>
        <w:ind w:left="1701" w:hanging="567"/>
        <w:rPr>
          <w:rFonts w:eastAsia="MS Mincho"/>
          <w:noProof/>
          <w:szCs w:val="24"/>
          <w:lang w:eastAsia="ja-JP"/>
        </w:rPr>
      </w:pPr>
    </w:p>
    <w:p w:rsidR="000F5FFF" w:rsidRDefault="000F5FFF" w:rsidP="00FC3596">
      <w:pPr>
        <w:ind w:left="1701" w:hanging="567"/>
        <w:rPr>
          <w:rFonts w:eastAsia="MS Mincho"/>
          <w:noProof/>
          <w:szCs w:val="24"/>
          <w:lang w:eastAsia="ja-JP"/>
        </w:rPr>
      </w:pPr>
      <w:r>
        <w:rPr>
          <w:rFonts w:eastAsia="MS Mincho"/>
          <w:noProof/>
          <w:szCs w:val="24"/>
          <w:lang w:eastAsia="ja-JP"/>
        </w:rPr>
        <w:t>(iv)</w:t>
      </w:r>
      <w:r>
        <w:rPr>
          <w:rFonts w:eastAsia="MS Mincho"/>
          <w:noProof/>
          <w:szCs w:val="24"/>
          <w:lang w:eastAsia="ja-JP"/>
        </w:rPr>
        <w:tab/>
        <w:t>any other practice likely to mislead the consumer as to the true origin of the product</w:t>
      </w:r>
      <w:r w:rsidR="00FC3596">
        <w:rPr>
          <w:rFonts w:eastAsia="MS Mincho"/>
          <w:noProof/>
          <w:szCs w:val="24"/>
          <w:lang w:eastAsia="ja-JP"/>
        </w:rPr>
        <w:t>;</w:t>
      </w:r>
    </w:p>
    <w:p w:rsidR="000F5FFF" w:rsidRDefault="000F5FFF" w:rsidP="000F5FFF">
      <w:pPr>
        <w:rPr>
          <w:rFonts w:eastAsia="MS Mincho"/>
          <w:noProof/>
          <w:szCs w:val="24"/>
          <w:lang w:eastAsia="ja-JP"/>
        </w:rPr>
      </w:pPr>
    </w:p>
    <w:p w:rsidR="000F5FFF" w:rsidRDefault="000F5FFF" w:rsidP="000F5FFF">
      <w:pPr>
        <w:rPr>
          <w:rFonts w:eastAsia="MS Mincho"/>
          <w:noProof/>
          <w:szCs w:val="24"/>
          <w:lang w:eastAsia="ja-JP"/>
        </w:rPr>
      </w:pPr>
      <w:r>
        <w:rPr>
          <w:rFonts w:eastAsia="MS Mincho"/>
          <w:noProof/>
          <w:szCs w:val="24"/>
          <w:lang w:eastAsia="ja-JP"/>
        </w:rPr>
        <w:br w:type="page"/>
      </w:r>
    </w:p>
    <w:p w:rsidR="000F5FFF" w:rsidRDefault="000F5FFF" w:rsidP="000F5FFF">
      <w:pPr>
        <w:ind w:left="567" w:hanging="567"/>
        <w:rPr>
          <w:rFonts w:eastAsia="MS Mincho"/>
          <w:noProof/>
          <w:szCs w:val="24"/>
          <w:lang w:eastAsia="ja-JP"/>
        </w:rPr>
      </w:pPr>
      <w:r>
        <w:rPr>
          <w:rFonts w:eastAsia="MS Mincho"/>
          <w:noProof/>
          <w:szCs w:val="24"/>
          <w:lang w:eastAsia="ja-JP"/>
        </w:rPr>
        <w:lastRenderedPageBreak/>
        <w:t>(7)</w:t>
      </w:r>
      <w:r>
        <w:rPr>
          <w:rFonts w:eastAsia="MS Mincho"/>
          <w:noProof/>
          <w:szCs w:val="24"/>
          <w:lang w:eastAsia="ja-JP"/>
        </w:rPr>
        <w:tab/>
        <w:t>a rule that protected names may not become generic;</w:t>
      </w:r>
    </w:p>
    <w:p w:rsidR="000F5FFF" w:rsidRDefault="000F5FFF" w:rsidP="000F5FFF">
      <w:pPr>
        <w:ind w:left="567" w:hanging="567"/>
        <w:rPr>
          <w:rFonts w:eastAsia="MS Mincho"/>
          <w:noProof/>
          <w:szCs w:val="24"/>
          <w:lang w:eastAsia="ja-JP"/>
        </w:rPr>
      </w:pPr>
    </w:p>
    <w:p w:rsidR="000F5FFF" w:rsidRDefault="000F5FFF" w:rsidP="000F5FFF">
      <w:pPr>
        <w:ind w:left="567" w:hanging="567"/>
        <w:rPr>
          <w:rFonts w:eastAsia="MS Mincho"/>
          <w:noProof/>
          <w:szCs w:val="24"/>
          <w:lang w:eastAsia="ja-JP"/>
        </w:rPr>
      </w:pPr>
      <w:r>
        <w:rPr>
          <w:rFonts w:eastAsia="MS Mincho"/>
          <w:noProof/>
          <w:szCs w:val="24"/>
          <w:lang w:eastAsia="ja-JP"/>
        </w:rPr>
        <w:t>(8)</w:t>
      </w:r>
      <w:r>
        <w:rPr>
          <w:rFonts w:eastAsia="MS Mincho"/>
          <w:noProof/>
          <w:szCs w:val="24"/>
          <w:lang w:eastAsia="ja-JP"/>
        </w:rPr>
        <w:tab/>
        <w:t>provisions concerning the registration, which may include refusal of registration, of terms homonymous or partly homonymous with registered terms, terms customary in common language as the common name for goods and terms comprising or including the names of plant varieties and animal breeds. Such provisions shall take into account the legitimate interests of all persons concerned;</w:t>
      </w:r>
    </w:p>
    <w:p w:rsidR="000F5FFF" w:rsidRDefault="000F5FFF" w:rsidP="000F5FFF">
      <w:pPr>
        <w:ind w:left="567" w:hanging="567"/>
        <w:rPr>
          <w:rFonts w:eastAsia="MS Mincho"/>
          <w:noProof/>
          <w:szCs w:val="24"/>
          <w:lang w:eastAsia="ja-JP"/>
        </w:rPr>
      </w:pPr>
    </w:p>
    <w:p w:rsidR="000F5FFF" w:rsidRDefault="000F5FFF" w:rsidP="00FC3596">
      <w:pPr>
        <w:ind w:left="567" w:hanging="567"/>
        <w:rPr>
          <w:rFonts w:eastAsia="MS Mincho"/>
          <w:noProof/>
          <w:szCs w:val="24"/>
          <w:lang w:eastAsia="ja-JP"/>
        </w:rPr>
      </w:pPr>
      <w:r>
        <w:rPr>
          <w:rFonts w:eastAsia="MS Mincho"/>
          <w:noProof/>
          <w:szCs w:val="24"/>
          <w:lang w:eastAsia="ja-JP"/>
        </w:rPr>
        <w:t>(9)</w:t>
      </w:r>
      <w:r>
        <w:rPr>
          <w:rFonts w:eastAsia="MS Mincho"/>
          <w:noProof/>
          <w:szCs w:val="24"/>
          <w:lang w:eastAsia="ja-JP"/>
        </w:rPr>
        <w:tab/>
        <w:t>rules concerning the relationship between geographical indications and trademarks providing for a limited exception to the rights conferred under trademark law to the effect that the existence of a prior trademark shall not be a reason to prevent the registration and use of a name as a registered geographical indication, except where, by reason of the trademark's renown and the length of time it has been used, consumers would be misled by the registration and use of the geographical indication on products not covered by the trademark</w:t>
      </w:r>
      <w:r w:rsidR="00FC3596">
        <w:rPr>
          <w:rFonts w:eastAsia="MS Mincho"/>
          <w:noProof/>
          <w:szCs w:val="24"/>
          <w:lang w:eastAsia="ja-JP"/>
        </w:rPr>
        <w:t>;</w:t>
      </w:r>
    </w:p>
    <w:p w:rsidR="000F5FFF" w:rsidRDefault="000F5FFF" w:rsidP="000F5FFF">
      <w:pPr>
        <w:ind w:left="567" w:hanging="567"/>
        <w:rPr>
          <w:rFonts w:eastAsia="MS Mincho"/>
          <w:noProof/>
          <w:szCs w:val="24"/>
          <w:lang w:eastAsia="ja-JP"/>
        </w:rPr>
      </w:pPr>
    </w:p>
    <w:p w:rsidR="000F5FFF" w:rsidRDefault="000F5FFF" w:rsidP="000F5FFF">
      <w:pPr>
        <w:ind w:left="567" w:hanging="567"/>
        <w:rPr>
          <w:rFonts w:eastAsia="MS Mincho"/>
          <w:noProof/>
          <w:szCs w:val="24"/>
          <w:lang w:eastAsia="ja-JP"/>
        </w:rPr>
      </w:pPr>
      <w:r>
        <w:rPr>
          <w:rFonts w:eastAsia="MS Mincho"/>
          <w:noProof/>
          <w:szCs w:val="24"/>
          <w:lang w:eastAsia="ja-JP"/>
        </w:rPr>
        <w:t>(10)</w:t>
      </w:r>
      <w:r>
        <w:rPr>
          <w:rFonts w:eastAsia="MS Mincho"/>
          <w:noProof/>
          <w:szCs w:val="24"/>
          <w:lang w:eastAsia="ja-JP"/>
        </w:rPr>
        <w:tab/>
        <w:t>a right for any producer who is established in the geographical area and subject to the relevant control to produce the product labelled with the protected name, provided that that producer complies with the product specifications;</w:t>
      </w:r>
      <w:r w:rsidR="004B05D7">
        <w:rPr>
          <w:rFonts w:eastAsia="MS Mincho"/>
          <w:noProof/>
          <w:szCs w:val="24"/>
          <w:lang w:eastAsia="ja-JP"/>
        </w:rPr>
        <w:t xml:space="preserve"> and</w:t>
      </w:r>
    </w:p>
    <w:p w:rsidR="000F5FFF" w:rsidRDefault="000F5FFF" w:rsidP="000F5FFF">
      <w:pPr>
        <w:ind w:left="567" w:hanging="567"/>
        <w:rPr>
          <w:rFonts w:eastAsia="MS Mincho"/>
          <w:noProof/>
          <w:szCs w:val="24"/>
          <w:lang w:eastAsia="ja-JP"/>
        </w:rPr>
      </w:pPr>
    </w:p>
    <w:p w:rsidR="000F5FFF" w:rsidRDefault="000F5FFF" w:rsidP="000F5FFF">
      <w:pPr>
        <w:ind w:left="567" w:hanging="567"/>
        <w:rPr>
          <w:rFonts w:eastAsia="MS Mincho"/>
          <w:noProof/>
          <w:szCs w:val="24"/>
          <w:lang w:eastAsia="ja-JP"/>
        </w:rPr>
      </w:pPr>
      <w:r>
        <w:rPr>
          <w:rFonts w:eastAsia="MS Mincho"/>
          <w:noProof/>
          <w:szCs w:val="24"/>
          <w:lang w:eastAsia="ja-JP"/>
        </w:rPr>
        <w:t>(11)</w:t>
      </w:r>
      <w:r>
        <w:rPr>
          <w:rFonts w:eastAsia="MS Mincho"/>
          <w:noProof/>
          <w:szCs w:val="24"/>
          <w:lang w:eastAsia="ja-JP"/>
        </w:rPr>
        <w:tab/>
        <w:t>an objection procedure that allows the legitimate interests of prior users of names, whether those names are protected as a form of intellectual property or not, to be taken into account.</w:t>
      </w:r>
    </w:p>
    <w:p w:rsidR="000F5FFF" w:rsidRDefault="000F5FFF" w:rsidP="000F5FFF">
      <w:pPr>
        <w:ind w:left="567" w:hanging="567"/>
        <w:rPr>
          <w:rFonts w:eastAsia="MS Mincho"/>
          <w:noProof/>
          <w:szCs w:val="24"/>
          <w:lang w:eastAsia="ja-JP"/>
        </w:rPr>
      </w:pPr>
    </w:p>
    <w:p w:rsidR="000F5FFF" w:rsidRDefault="000F5FFF" w:rsidP="000F5FFF">
      <w:pPr>
        <w:ind w:left="567" w:hanging="567"/>
        <w:rPr>
          <w:rFonts w:eastAsia="MS Mincho"/>
          <w:noProof/>
          <w:szCs w:val="24"/>
          <w:lang w:eastAsia="ja-JP"/>
        </w:rPr>
      </w:pPr>
    </w:p>
    <w:p w:rsidR="000F5FFF" w:rsidRPr="008D7C77" w:rsidRDefault="000F5FFF" w:rsidP="008D7C77">
      <w:pPr>
        <w:ind w:left="567" w:hanging="567"/>
        <w:jc w:val="center"/>
        <w:rPr>
          <w:rFonts w:eastAsia="MS Mincho"/>
          <w:noProof/>
          <w:szCs w:val="24"/>
          <w:lang w:eastAsia="ja-JP"/>
        </w:rPr>
      </w:pPr>
      <w:r>
        <w:rPr>
          <w:rFonts w:eastAsia="MS Mincho"/>
          <w:noProof/>
          <w:szCs w:val="24"/>
          <w:lang w:eastAsia="ja-JP"/>
        </w:rPr>
        <w:t>________________</w:t>
      </w:r>
    </w:p>
    <w:sectPr w:rsidR="000F5FFF" w:rsidRPr="008D7C77" w:rsidSect="000F5FFF">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1134" w:footer="113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24E" w:rsidRDefault="0095224E">
      <w:r>
        <w:separator/>
      </w:r>
    </w:p>
  </w:endnote>
  <w:endnote w:type="continuationSeparator" w:id="0">
    <w:p w:rsidR="0095224E" w:rsidRDefault="0095224E">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B51" w:rsidRDefault="00EE5B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F29" w:rsidRDefault="00EE5B51">
    <w:pPr>
      <w:pStyle w:val="Footer"/>
      <w:jc w:val="center"/>
    </w:pPr>
  </w:p>
  <w:p w:rsidR="00890F29" w:rsidRDefault="004D776F">
    <w:pPr>
      <w:pStyle w:val="Footer"/>
      <w:jc w:val="center"/>
    </w:pPr>
    <w:r>
      <w:t>EU/</w:t>
    </w:r>
    <w:r w:rsidR="000F5FFF">
      <w:t>AM/</w:t>
    </w:r>
    <w:r>
      <w:t xml:space="preserve">Annex IX/en </w:t>
    </w:r>
    <w:r>
      <w:fldChar w:fldCharType="begin"/>
    </w:r>
    <w:r>
      <w:instrText xml:space="preserve"> PAGE   \* MERGEFORMAT </w:instrText>
    </w:r>
    <w:r>
      <w:fldChar w:fldCharType="separate"/>
    </w:r>
    <w:r w:rsidR="00EE5B51">
      <w:rPr>
        <w:noProof/>
      </w:rPr>
      <w:t>5</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B51" w:rsidRDefault="00EE5B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24E" w:rsidRDefault="0095224E">
      <w:pPr>
        <w:pStyle w:val="FootnoteText"/>
      </w:pPr>
      <w:r>
        <w:separator/>
      </w:r>
    </w:p>
  </w:footnote>
  <w:footnote w:type="continuationSeparator" w:id="0">
    <w:p w:rsidR="0095224E" w:rsidRDefault="0095224E">
      <w:pPr>
        <w:pStyle w:val="FootnoteText"/>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B51" w:rsidRDefault="00EE5B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B51" w:rsidRDefault="00EE5B5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B51" w:rsidRDefault="00EE5B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1">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2">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4">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5">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6">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7">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8">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9">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1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4"/>
  </w:num>
  <w:num w:numId="2">
    <w:abstractNumId w:val="6"/>
  </w:num>
  <w:num w:numId="3">
    <w:abstractNumId w:val="10"/>
  </w:num>
  <w:num w:numId="4">
    <w:abstractNumId w:val="1"/>
  </w:num>
  <w:num w:numId="5">
    <w:abstractNumId w:val="8"/>
  </w:num>
  <w:num w:numId="6">
    <w:abstractNumId w:val="5"/>
  </w:num>
  <w:num w:numId="7">
    <w:abstractNumId w:val="7"/>
  </w:num>
  <w:num w:numId="8">
    <w:abstractNumId w:val="9"/>
  </w:num>
  <w:num w:numId="9">
    <w:abstractNumId w:val="3"/>
  </w:num>
  <w:num w:numId="10">
    <w:abstractNumId w:val="0"/>
  </w:num>
  <w:num w:numId="11">
    <w:abstractNumId w:val="2"/>
  </w:num>
  <w:num w:numId="12">
    <w:abstractNumId w:val="2"/>
  </w:num>
  <w:num w:numId="13">
    <w:abstractNumId w:val="2"/>
  </w:num>
  <w:num w:numId="1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US" w:vendorID="8" w:dllVersion="513" w:checkStyle="1"/>
  <w:activeWritingStyle w:appName="MSWord" w:lang="en-GB" w:vendorID="8" w:dllVersion="513" w:checkStyle="1"/>
  <w:activeWritingStyle w:appName="MSWord" w:lang="fr-FR" w:vendorID="9"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Num" w:val="0"/>
    <w:docVar w:name="DW_DocType" w:val="_GENEN"/>
  </w:docVars>
  <w:rsids>
    <w:rsidRoot w:val="0095224E"/>
    <w:rsid w:val="00007A54"/>
    <w:rsid w:val="000449B4"/>
    <w:rsid w:val="0005086A"/>
    <w:rsid w:val="00054C4B"/>
    <w:rsid w:val="00067F31"/>
    <w:rsid w:val="00075910"/>
    <w:rsid w:val="00083FBC"/>
    <w:rsid w:val="000867FF"/>
    <w:rsid w:val="00092472"/>
    <w:rsid w:val="0009569C"/>
    <w:rsid w:val="000A3826"/>
    <w:rsid w:val="000A4FE6"/>
    <w:rsid w:val="000D2B33"/>
    <w:rsid w:val="000E1C75"/>
    <w:rsid w:val="000F5FFF"/>
    <w:rsid w:val="0012665C"/>
    <w:rsid w:val="0014406C"/>
    <w:rsid w:val="00156CB3"/>
    <w:rsid w:val="00164E11"/>
    <w:rsid w:val="00171F08"/>
    <w:rsid w:val="0017477F"/>
    <w:rsid w:val="00174E40"/>
    <w:rsid w:val="00174EC6"/>
    <w:rsid w:val="001915AA"/>
    <w:rsid w:val="001D60D8"/>
    <w:rsid w:val="001F59C5"/>
    <w:rsid w:val="001F7964"/>
    <w:rsid w:val="0020127F"/>
    <w:rsid w:val="00204F63"/>
    <w:rsid w:val="002102E8"/>
    <w:rsid w:val="00220AE0"/>
    <w:rsid w:val="0022170F"/>
    <w:rsid w:val="0022250D"/>
    <w:rsid w:val="00234D95"/>
    <w:rsid w:val="0024283F"/>
    <w:rsid w:val="0025703C"/>
    <w:rsid w:val="00282319"/>
    <w:rsid w:val="002A000E"/>
    <w:rsid w:val="002B28C5"/>
    <w:rsid w:val="002C2564"/>
    <w:rsid w:val="002D0849"/>
    <w:rsid w:val="002D1EFE"/>
    <w:rsid w:val="002D5B64"/>
    <w:rsid w:val="002E46F1"/>
    <w:rsid w:val="002F1116"/>
    <w:rsid w:val="00304C1B"/>
    <w:rsid w:val="00304DEB"/>
    <w:rsid w:val="00316D9A"/>
    <w:rsid w:val="00323DF1"/>
    <w:rsid w:val="003317EC"/>
    <w:rsid w:val="00335A55"/>
    <w:rsid w:val="00365A1E"/>
    <w:rsid w:val="00376FF1"/>
    <w:rsid w:val="003812B9"/>
    <w:rsid w:val="0039090B"/>
    <w:rsid w:val="00392040"/>
    <w:rsid w:val="003B4BBB"/>
    <w:rsid w:val="003D12D6"/>
    <w:rsid w:val="003D5361"/>
    <w:rsid w:val="003F010B"/>
    <w:rsid w:val="003F7522"/>
    <w:rsid w:val="00410588"/>
    <w:rsid w:val="00426C28"/>
    <w:rsid w:val="00434BDE"/>
    <w:rsid w:val="00445F2C"/>
    <w:rsid w:val="00446EA1"/>
    <w:rsid w:val="00462C5A"/>
    <w:rsid w:val="00462CBB"/>
    <w:rsid w:val="00465B83"/>
    <w:rsid w:val="00490932"/>
    <w:rsid w:val="00491ACF"/>
    <w:rsid w:val="00496843"/>
    <w:rsid w:val="004B05D7"/>
    <w:rsid w:val="004D202F"/>
    <w:rsid w:val="004D776F"/>
    <w:rsid w:val="004E09B5"/>
    <w:rsid w:val="004E30A8"/>
    <w:rsid w:val="004F1F3A"/>
    <w:rsid w:val="005115B2"/>
    <w:rsid w:val="005176C6"/>
    <w:rsid w:val="00517AFA"/>
    <w:rsid w:val="00517F1E"/>
    <w:rsid w:val="0053148A"/>
    <w:rsid w:val="005555EB"/>
    <w:rsid w:val="00573235"/>
    <w:rsid w:val="00591446"/>
    <w:rsid w:val="005C1DE3"/>
    <w:rsid w:val="005C4936"/>
    <w:rsid w:val="005D11D1"/>
    <w:rsid w:val="005D3C88"/>
    <w:rsid w:val="005F45C3"/>
    <w:rsid w:val="005F793E"/>
    <w:rsid w:val="00604699"/>
    <w:rsid w:val="00615C14"/>
    <w:rsid w:val="006164E1"/>
    <w:rsid w:val="00624C6D"/>
    <w:rsid w:val="00627335"/>
    <w:rsid w:val="0065291B"/>
    <w:rsid w:val="006609FB"/>
    <w:rsid w:val="00681EB1"/>
    <w:rsid w:val="0069311C"/>
    <w:rsid w:val="006937B9"/>
    <w:rsid w:val="006A0D97"/>
    <w:rsid w:val="006B3FE1"/>
    <w:rsid w:val="006C6C26"/>
    <w:rsid w:val="006D2C19"/>
    <w:rsid w:val="006E5355"/>
    <w:rsid w:val="006F22F6"/>
    <w:rsid w:val="006F3E3F"/>
    <w:rsid w:val="0075359F"/>
    <w:rsid w:val="00754CB7"/>
    <w:rsid w:val="007651B0"/>
    <w:rsid w:val="007654CE"/>
    <w:rsid w:val="0076794C"/>
    <w:rsid w:val="00775244"/>
    <w:rsid w:val="0077561E"/>
    <w:rsid w:val="007838EE"/>
    <w:rsid w:val="007B0D74"/>
    <w:rsid w:val="007B6E58"/>
    <w:rsid w:val="007D0248"/>
    <w:rsid w:val="007F07CE"/>
    <w:rsid w:val="007F38E2"/>
    <w:rsid w:val="007F7819"/>
    <w:rsid w:val="0081789E"/>
    <w:rsid w:val="00820D9C"/>
    <w:rsid w:val="0083043C"/>
    <w:rsid w:val="008515A7"/>
    <w:rsid w:val="00853B46"/>
    <w:rsid w:val="0088319A"/>
    <w:rsid w:val="008B3E59"/>
    <w:rsid w:val="008D04D2"/>
    <w:rsid w:val="008D3B70"/>
    <w:rsid w:val="008D3F5F"/>
    <w:rsid w:val="008D7C77"/>
    <w:rsid w:val="008E6CE1"/>
    <w:rsid w:val="008F0F94"/>
    <w:rsid w:val="00901A25"/>
    <w:rsid w:val="00907A87"/>
    <w:rsid w:val="009135EF"/>
    <w:rsid w:val="00925BB6"/>
    <w:rsid w:val="00950B14"/>
    <w:rsid w:val="0095224E"/>
    <w:rsid w:val="009700CD"/>
    <w:rsid w:val="009846A3"/>
    <w:rsid w:val="00995506"/>
    <w:rsid w:val="009A1D2C"/>
    <w:rsid w:val="009D15C2"/>
    <w:rsid w:val="009E7878"/>
    <w:rsid w:val="009F0FE5"/>
    <w:rsid w:val="00A12F9B"/>
    <w:rsid w:val="00A3456F"/>
    <w:rsid w:val="00A55EB4"/>
    <w:rsid w:val="00A56CF2"/>
    <w:rsid w:val="00A83A74"/>
    <w:rsid w:val="00A8452C"/>
    <w:rsid w:val="00A9225C"/>
    <w:rsid w:val="00A9613B"/>
    <w:rsid w:val="00AA3A04"/>
    <w:rsid w:val="00AD020C"/>
    <w:rsid w:val="00AE6D64"/>
    <w:rsid w:val="00B01529"/>
    <w:rsid w:val="00B104EA"/>
    <w:rsid w:val="00B112C8"/>
    <w:rsid w:val="00B40E1C"/>
    <w:rsid w:val="00B469F7"/>
    <w:rsid w:val="00B55A5E"/>
    <w:rsid w:val="00B722DD"/>
    <w:rsid w:val="00B845E7"/>
    <w:rsid w:val="00B9096D"/>
    <w:rsid w:val="00B97461"/>
    <w:rsid w:val="00BC3FE8"/>
    <w:rsid w:val="00BE0095"/>
    <w:rsid w:val="00BE0D86"/>
    <w:rsid w:val="00BE7C2A"/>
    <w:rsid w:val="00BF1051"/>
    <w:rsid w:val="00C10E73"/>
    <w:rsid w:val="00C22400"/>
    <w:rsid w:val="00C351CC"/>
    <w:rsid w:val="00C4415B"/>
    <w:rsid w:val="00C502FD"/>
    <w:rsid w:val="00C548E9"/>
    <w:rsid w:val="00C55246"/>
    <w:rsid w:val="00C66DC8"/>
    <w:rsid w:val="00C82663"/>
    <w:rsid w:val="00C83670"/>
    <w:rsid w:val="00C86DDC"/>
    <w:rsid w:val="00CD35C2"/>
    <w:rsid w:val="00CE0701"/>
    <w:rsid w:val="00CE1387"/>
    <w:rsid w:val="00CE3420"/>
    <w:rsid w:val="00CE51DE"/>
    <w:rsid w:val="00CF309C"/>
    <w:rsid w:val="00D125DB"/>
    <w:rsid w:val="00D25D34"/>
    <w:rsid w:val="00D3163B"/>
    <w:rsid w:val="00D31A71"/>
    <w:rsid w:val="00D34375"/>
    <w:rsid w:val="00D40257"/>
    <w:rsid w:val="00D5388E"/>
    <w:rsid w:val="00D565A6"/>
    <w:rsid w:val="00D605D1"/>
    <w:rsid w:val="00D852EB"/>
    <w:rsid w:val="00D954D7"/>
    <w:rsid w:val="00D96E50"/>
    <w:rsid w:val="00D97143"/>
    <w:rsid w:val="00DA36BB"/>
    <w:rsid w:val="00DC015F"/>
    <w:rsid w:val="00DC0246"/>
    <w:rsid w:val="00DD54E0"/>
    <w:rsid w:val="00DE1D55"/>
    <w:rsid w:val="00DE42A7"/>
    <w:rsid w:val="00DF2DF3"/>
    <w:rsid w:val="00E0581F"/>
    <w:rsid w:val="00E40BDE"/>
    <w:rsid w:val="00E45613"/>
    <w:rsid w:val="00E5556D"/>
    <w:rsid w:val="00E56089"/>
    <w:rsid w:val="00E717C0"/>
    <w:rsid w:val="00E847E1"/>
    <w:rsid w:val="00EB3FB2"/>
    <w:rsid w:val="00EC0A2A"/>
    <w:rsid w:val="00EE00BA"/>
    <w:rsid w:val="00EE5B51"/>
    <w:rsid w:val="00EE6E72"/>
    <w:rsid w:val="00F030A6"/>
    <w:rsid w:val="00F1732C"/>
    <w:rsid w:val="00F42ECF"/>
    <w:rsid w:val="00F631F5"/>
    <w:rsid w:val="00F64303"/>
    <w:rsid w:val="00F75257"/>
    <w:rsid w:val="00F91457"/>
    <w:rsid w:val="00FA264E"/>
    <w:rsid w:val="00FB16BD"/>
    <w:rsid w:val="00FC3596"/>
    <w:rsid w:val="00FF467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02F"/>
    <w:pPr>
      <w:widowControl w:val="0"/>
      <w:spacing w:line="360" w:lineRule="auto"/>
    </w:pPr>
    <w:rPr>
      <w:sz w:val="24"/>
      <w:lang w:eastAsia="fr-BE"/>
    </w:rPr>
  </w:style>
  <w:style w:type="paragraph" w:styleId="Heading1">
    <w:name w:val="heading 1"/>
    <w:basedOn w:val="Normal"/>
    <w:next w:val="Normal"/>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pPr>
      <w:tabs>
        <w:tab w:val="left" w:pos="567"/>
      </w:tabs>
      <w:spacing w:line="240" w:lineRule="auto"/>
      <w:ind w:left="567" w:hanging="567"/>
    </w:pPr>
  </w:style>
  <w:style w:type="paragraph" w:styleId="Header">
    <w:name w:val="header"/>
    <w:basedOn w:val="Normal"/>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sid w:val="003D12D6"/>
    <w:rPr>
      <w:color w:val="auto"/>
    </w:rPr>
  </w:style>
  <w:style w:type="paragraph" w:customStyle="1" w:styleId="AddReference">
    <w:name w:val="Add Reference"/>
    <w:basedOn w:val="Normal"/>
    <w:rsid w:val="00A83A74"/>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semiHidden/>
    <w:rsid w:val="007D0248"/>
    <w:rPr>
      <w:rFonts w:ascii="Tahoma" w:hAnsi="Tahoma" w:cs="Tahoma"/>
      <w:sz w:val="16"/>
      <w:szCs w:val="16"/>
    </w:rPr>
  </w:style>
  <w:style w:type="character" w:customStyle="1" w:styleId="FooterChar">
    <w:name w:val="Footer Char"/>
    <w:basedOn w:val="DefaultParagraphFont"/>
    <w:link w:val="Footer"/>
    <w:uiPriority w:val="99"/>
    <w:rsid w:val="000F5FFF"/>
    <w:rPr>
      <w:sz w:val="24"/>
      <w:lan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02F"/>
    <w:pPr>
      <w:widowControl w:val="0"/>
      <w:spacing w:line="360" w:lineRule="auto"/>
    </w:pPr>
    <w:rPr>
      <w:sz w:val="24"/>
      <w:lang w:eastAsia="fr-BE"/>
    </w:rPr>
  </w:style>
  <w:style w:type="paragraph" w:styleId="Heading1">
    <w:name w:val="heading 1"/>
    <w:basedOn w:val="Normal"/>
    <w:next w:val="Normal"/>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pPr>
      <w:tabs>
        <w:tab w:val="left" w:pos="567"/>
      </w:tabs>
      <w:spacing w:line="240" w:lineRule="auto"/>
      <w:ind w:left="567" w:hanging="567"/>
    </w:pPr>
  </w:style>
  <w:style w:type="paragraph" w:styleId="Header">
    <w:name w:val="header"/>
    <w:basedOn w:val="Normal"/>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sid w:val="003D12D6"/>
    <w:rPr>
      <w:color w:val="auto"/>
    </w:rPr>
  </w:style>
  <w:style w:type="paragraph" w:customStyle="1" w:styleId="AddReference">
    <w:name w:val="Add Reference"/>
    <w:basedOn w:val="Normal"/>
    <w:rsid w:val="00A83A74"/>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semiHidden/>
    <w:rsid w:val="007D0248"/>
    <w:rPr>
      <w:rFonts w:ascii="Tahoma" w:hAnsi="Tahoma" w:cs="Tahoma"/>
      <w:sz w:val="16"/>
      <w:szCs w:val="16"/>
    </w:rPr>
  </w:style>
  <w:style w:type="character" w:customStyle="1" w:styleId="FooterChar">
    <w:name w:val="Footer Char"/>
    <w:basedOn w:val="DefaultParagraphFont"/>
    <w:link w:val="Footer"/>
    <w:uiPriority w:val="99"/>
    <w:rsid w:val="000F5FFF"/>
    <w:rPr>
      <w:sz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cinsa\AppData\Roaming\Microsoft\Templates\_GenE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7CD8C-1B13-4820-B869-AF02AEE25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_GenEn.dotm</Template>
  <TotalTime>0</TotalTime>
  <Pages>5</Pages>
  <Words>813</Words>
  <Characters>4639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GEN</vt:lpstr>
    </vt:vector>
  </TitlesOfParts>
  <Company>DTI</Company>
  <LinksUpToDate>false</LinksUpToDate>
  <CharactersWithSpaces>5442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SR</dc:creator>
  <cp:lastModifiedBy>SCHUBERT Verena</cp:lastModifiedBy>
  <cp:revision>2</cp:revision>
  <cp:lastPrinted>2004-04-02T13:43:00Z</cp:lastPrinted>
  <dcterms:created xsi:type="dcterms:W3CDTF">2017-11-17T13:49:00Z</dcterms:created>
  <dcterms:modified xsi:type="dcterms:W3CDTF">2017-11-17T13:49:00Z</dcterms:modified>
</cp:coreProperties>
</file>