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CB" w:rsidRPr="0095691A" w:rsidRDefault="008E294D" w:rsidP="00E46DE6">
      <w:pPr>
        <w:pStyle w:val="Bodytext40"/>
        <w:spacing w:before="0" w:after="160" w:line="360" w:lineRule="auto"/>
        <w:ind w:left="935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5691A">
        <w:rPr>
          <w:rFonts w:ascii="Sylfaen" w:hAnsi="Sylfaen"/>
          <w:sz w:val="24"/>
          <w:szCs w:val="24"/>
        </w:rPr>
        <w:t>ՀԱՎԵԼՎԱԾ 1</w:t>
      </w:r>
    </w:p>
    <w:p w:rsidR="002570CB" w:rsidRPr="0095691A" w:rsidRDefault="008E294D" w:rsidP="00E46DE6">
      <w:pPr>
        <w:pStyle w:val="Bodytext40"/>
        <w:spacing w:before="0" w:after="160" w:line="360" w:lineRule="auto"/>
        <w:ind w:left="9356"/>
        <w:jc w:val="center"/>
        <w:rPr>
          <w:rFonts w:ascii="Sylfaen" w:hAnsi="Sylfaen"/>
          <w:sz w:val="24"/>
          <w:szCs w:val="24"/>
        </w:rPr>
      </w:pPr>
      <w:r w:rsidRPr="0095691A">
        <w:rPr>
          <w:rFonts w:ascii="Sylfaen" w:hAnsi="Sylfaen"/>
          <w:sz w:val="24"/>
          <w:szCs w:val="24"/>
        </w:rPr>
        <w:t>Եվրասիական տնտեսական հանձնաժողովի խորհրդի 2017 թվականի մարտի 3-ի թիվ 11 կարգադրության</w:t>
      </w:r>
    </w:p>
    <w:p w:rsidR="002904B1" w:rsidRPr="0095691A" w:rsidRDefault="002904B1" w:rsidP="006B4F20">
      <w:pPr>
        <w:pStyle w:val="Heading20"/>
        <w:spacing w:before="0" w:after="160" w:line="360" w:lineRule="auto"/>
        <w:outlineLvl w:val="9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1"/>
    </w:p>
    <w:p w:rsidR="004D1CBD" w:rsidRPr="0095691A" w:rsidRDefault="008E294D" w:rsidP="00E46DE6">
      <w:pPr>
        <w:pStyle w:val="Heading20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r w:rsidRPr="0095691A">
        <w:rPr>
          <w:rStyle w:val="Heading2Spacing2pt"/>
          <w:rFonts w:ascii="Sylfaen" w:hAnsi="Sylfaen"/>
          <w:b/>
          <w:spacing w:val="0"/>
          <w:sz w:val="24"/>
          <w:szCs w:val="24"/>
        </w:rPr>
        <w:t>ՑԱՆԿ</w:t>
      </w:r>
      <w:bookmarkEnd w:id="1"/>
    </w:p>
    <w:p w:rsidR="004D1CBD" w:rsidRPr="0095691A" w:rsidRDefault="008E294D" w:rsidP="00E46DE6">
      <w:pPr>
        <w:pStyle w:val="Heading20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95691A">
        <w:rPr>
          <w:rFonts w:ascii="Sylfaen" w:hAnsi="Sylfaen"/>
          <w:sz w:val="24"/>
          <w:szCs w:val="24"/>
        </w:rPr>
        <w:t>Եվրասիական տնտեսական հանձնաժողովի որոշումների, որոնք ուժի մեջ են մտնում «Եվրասիական տնտեսական միության մաքսային օրենսգրքի</w:t>
      </w:r>
      <w:r w:rsidR="005C058D" w:rsidRPr="0095691A">
        <w:rPr>
          <w:rFonts w:ascii="Sylfaen" w:hAnsi="Sylfaen"/>
          <w:sz w:val="24"/>
          <w:szCs w:val="24"/>
        </w:rPr>
        <w:t xml:space="preserve"> </w:t>
      </w:r>
      <w:r w:rsidRPr="0095691A">
        <w:rPr>
          <w:rFonts w:ascii="Sylfaen" w:hAnsi="Sylfaen"/>
          <w:sz w:val="24"/>
          <w:szCs w:val="24"/>
        </w:rPr>
        <w:t>մասին» պայմանագի</w:t>
      </w:r>
      <w:r w:rsidR="005C058D" w:rsidRPr="0095691A">
        <w:rPr>
          <w:rFonts w:ascii="Sylfaen" w:hAnsi="Sylfaen"/>
          <w:sz w:val="24"/>
          <w:szCs w:val="24"/>
        </w:rPr>
        <w:t>րն</w:t>
      </w:r>
      <w:r w:rsidRPr="0095691A">
        <w:rPr>
          <w:rFonts w:ascii="Sylfaen" w:hAnsi="Sylfaen"/>
          <w:sz w:val="24"/>
          <w:szCs w:val="24"/>
        </w:rPr>
        <w:t xml:space="preserve"> ուժի մեջ մտնելու օրվանից</w:t>
      </w:r>
      <w:bookmarkEnd w:id="2"/>
    </w:p>
    <w:tbl>
      <w:tblPr>
        <w:tblOverlap w:val="never"/>
        <w:tblW w:w="1499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7006"/>
        <w:gridCol w:w="4506"/>
        <w:gridCol w:w="3015"/>
      </w:tblGrid>
      <w:tr w:rsidR="004D1CBD" w:rsidRPr="0095691A" w:rsidTr="00F46431">
        <w:trPr>
          <w:tblHeader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8E294D" w:rsidP="00C731EA">
            <w:pPr>
              <w:pStyle w:val="Bodytext20"/>
              <w:spacing w:after="120" w:line="240" w:lineRule="auto"/>
              <w:ind w:left="58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Հարցեր, որոնց վերաբերյալ նախատեսվում է Եվրասիական տնտեսական հանձնաժողովի որոշումների նախագծեր ընդունել</w:t>
            </w:r>
            <w:r w:rsidR="00AB1432" w:rsidRPr="0095691A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8E294D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Եվրասիական տնտեսական հանձնաժողովի որոշումների ընդունման հիմքը (Եվրասիական տնտեսական միության մաքսային օրենսգրքի կառուցվածքային միավոր)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8E294D" w:rsidP="00AB1432">
            <w:pPr>
              <w:pStyle w:val="Bodytext20"/>
              <w:spacing w:after="120" w:line="240" w:lineRule="auto"/>
              <w:ind w:lef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Պատասխանատու մշակողը</w:t>
            </w:r>
          </w:p>
        </w:tc>
      </w:tr>
      <w:tr w:rsidR="004D1CBD" w:rsidRPr="0095691A" w:rsidTr="00F46431"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AB1432" w:rsidP="00C731EA">
            <w:pPr>
              <w:pStyle w:val="Bodytext20"/>
              <w:spacing w:after="120" w:line="240" w:lineRule="auto"/>
              <w:ind w:left="-7"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95691A">
              <w:rPr>
                <w:rFonts w:ascii="Sylfaen" w:hAnsi="Sylfaen"/>
                <w:sz w:val="20"/>
                <w:szCs w:val="20"/>
                <w:lang w:val="en-US"/>
              </w:rPr>
              <w:t>1.</w:t>
            </w:r>
          </w:p>
        </w:tc>
        <w:tc>
          <w:tcPr>
            <w:tcW w:w="7006" w:type="dxa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8E294D" w:rsidP="00AB1432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(այսուհետ՝ Միություն) անդամ չհանդիսացող պետությունների տարածքներով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(կամ) ծովով փոխադրվող ապրանքների՝ առանց «մաքսային տարանցում» </w:t>
            </w:r>
            <w:r w:rsidR="00B521F7" w:rsidRPr="0095691A">
              <w:rPr>
                <w:rFonts w:ascii="Sylfaen" w:hAnsi="Sylfaen"/>
                <w:sz w:val="20"/>
                <w:szCs w:val="20"/>
              </w:rPr>
              <w:t xml:space="preserve">մաքսային </w:t>
            </w:r>
            <w:r w:rsidRPr="0095691A">
              <w:rPr>
                <w:rFonts w:ascii="Sylfaen" w:hAnsi="Sylfaen"/>
                <w:sz w:val="20"/>
                <w:szCs w:val="20"/>
              </w:rPr>
              <w:t>ընթացակարգով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ակերպելու, ժամանման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մեկնման ժամանակ կատարվող մաքսային գործառնությունների մասին</w:t>
            </w:r>
          </w:p>
        </w:tc>
        <w:tc>
          <w:tcPr>
            <w:tcW w:w="4506" w:type="dxa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8E294D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303-րդ հոդվածի 3–րդ կետ, 5–րդ կետի 1-ին ենթակետ, 6–րդ կետ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8E294D" w:rsidP="00AB1432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Եվրասիական տնտեսական հանձնաժողով (այսուհետ՝</w:t>
            </w:r>
            <w:r w:rsidR="00AB1432" w:rsidRPr="0095691A">
              <w:rPr>
                <w:rFonts w:ascii="Sylfaen" w:hAnsi="Sylfaen"/>
                <w:sz w:val="20"/>
                <w:szCs w:val="20"/>
              </w:rPr>
              <w:t> </w:t>
            </w:r>
            <w:r w:rsidRPr="0095691A">
              <w:rPr>
                <w:rFonts w:ascii="Sylfaen" w:hAnsi="Sylfaen"/>
                <w:sz w:val="20"/>
                <w:szCs w:val="20"/>
              </w:rPr>
              <w:t>Հանձնաժողով)</w:t>
            </w:r>
          </w:p>
        </w:tc>
      </w:tr>
      <w:tr w:rsidR="004D1CBD" w:rsidRPr="0095691A" w:rsidTr="00F46431">
        <w:tc>
          <w:tcPr>
            <w:tcW w:w="464" w:type="dxa"/>
            <w:shd w:val="clear" w:color="auto" w:fill="FFFFFF"/>
          </w:tcPr>
          <w:p w:rsidR="004D1CBD" w:rsidRPr="0095691A" w:rsidRDefault="00C731EA" w:rsidP="00C731EA">
            <w:pPr>
              <w:pStyle w:val="Bodytext20"/>
              <w:spacing w:after="120" w:line="240" w:lineRule="auto"/>
              <w:ind w:left="-7"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95691A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AB1432" w:rsidRPr="0095691A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7006" w:type="dxa"/>
            <w:shd w:val="clear" w:color="auto" w:fill="FFFFFF"/>
          </w:tcPr>
          <w:p w:rsidR="004D1CBD" w:rsidRPr="0095691A" w:rsidRDefault="008E294D" w:rsidP="00C731EA">
            <w:pPr>
              <w:pStyle w:val="Bodytext20"/>
              <w:spacing w:after="8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Լիրքով, խուռնաբեռն, լցվածքով փոխադրվող Միության այն ապրանքների ցանկի մասին, որոնք </w:t>
            </w:r>
            <w:r w:rsidR="009F7CA3" w:rsidRPr="0095691A">
              <w:rPr>
                <w:rFonts w:ascii="Sylfaen" w:hAnsi="Sylfaen"/>
                <w:sz w:val="20"/>
                <w:szCs w:val="20"/>
              </w:rPr>
              <w:t xml:space="preserve">Միության մաքսային տարածքից 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արտահանվում են նավերով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որոնց դեպքում Միության մաքսային տարածքից մեկնման </w:t>
            </w: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ժամանակ թույլատրվում է քանակի եւ (կամ) վիճակի այնպիսի փոփոխություն, որը տեղի է ունեցել նավի բեռնասրահ (</w:t>
            </w:r>
            <w:r w:rsidR="00661D34" w:rsidRPr="0095691A">
              <w:rPr>
                <w:rFonts w:ascii="Sylfaen" w:hAnsi="Sylfaen"/>
                <w:sz w:val="20"/>
                <w:szCs w:val="20"/>
              </w:rPr>
              <w:t>հատվածամաս, լցարան</w:t>
            </w:r>
            <w:r w:rsidRPr="0095691A">
              <w:rPr>
                <w:rFonts w:ascii="Sylfaen" w:hAnsi="Sylfaen"/>
                <w:sz w:val="20"/>
                <w:szCs w:val="20"/>
              </w:rPr>
              <w:t>) այդ ապրանքները բեռնելու ժամանակ դրան</w:t>
            </w:r>
            <w:r w:rsidR="009F7CA3" w:rsidRPr="0095691A">
              <w:rPr>
                <w:rFonts w:ascii="Sylfaen" w:hAnsi="Sylfaen"/>
                <w:sz w:val="20"/>
                <w:szCs w:val="20"/>
              </w:rPr>
              <w:t>ց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խառն</w:t>
            </w:r>
            <w:r w:rsidR="009F7CA3" w:rsidRPr="0095691A">
              <w:rPr>
                <w:rFonts w:ascii="Sylfaen" w:hAnsi="Sylfaen"/>
                <w:sz w:val="20"/>
                <w:szCs w:val="20"/>
              </w:rPr>
              <w:t>վ</w:t>
            </w:r>
            <w:r w:rsidRPr="0095691A">
              <w:rPr>
                <w:rFonts w:ascii="Sylfaen" w:hAnsi="Sylfaen"/>
                <w:sz w:val="20"/>
                <w:szCs w:val="20"/>
              </w:rPr>
              <w:t>ելու արդյունքում</w:t>
            </w:r>
          </w:p>
        </w:tc>
        <w:tc>
          <w:tcPr>
            <w:tcW w:w="4506" w:type="dxa"/>
            <w:shd w:val="clear" w:color="auto" w:fill="FFFFFF"/>
          </w:tcPr>
          <w:p w:rsidR="004D1CBD" w:rsidRPr="0095691A" w:rsidRDefault="008E294D" w:rsidP="00C731EA">
            <w:pPr>
              <w:pStyle w:val="Bodytext20"/>
              <w:spacing w:after="8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94-րդ հոդվածի 4-րդ կետ</w:t>
            </w:r>
          </w:p>
        </w:tc>
        <w:tc>
          <w:tcPr>
            <w:tcW w:w="3015" w:type="dxa"/>
            <w:shd w:val="clear" w:color="auto" w:fill="FFFFFF"/>
          </w:tcPr>
          <w:p w:rsidR="004D1CBD" w:rsidRPr="0095691A" w:rsidRDefault="008E294D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AB1432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95691A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«Մաքսային տարանցում» մաքսային ընթացակարգի կիրառման մասին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142-րդ հոդվածի 11-րդ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12-րդ կետեր, 144-րդ հոդվածի 3-րդ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4-րդ կետեր, 145-րդ հոդվածի 7-րդ կետի չորրորդ պարբերություն, 146-րդ հոդվածի 4-րդ կետի 12-րդ ենթակետ, 148-րդ հոդվածի 3-րդ կետ, 149-րդ հոդվածի 2-րդ կետ, 151-րդ հոդվածի 10-րդ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13-րդ կետեր, 305-րդ հոդվածի 6-րդ կետ, 306-րդ հոդվածի 7-րդ կետ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28" w:right="28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C731EA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  <w:lang w:val="en-US"/>
              </w:rPr>
            </w:pPr>
            <w:r w:rsidRPr="0095691A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Միության ապրանքների նկատմամբ «մաքսային տարանցում» մաքսային ընթացակարգը կիրառելու մասին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10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304-րդ հոդվածի 3-րդ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16-րդ կետեր, </w:t>
            </w:r>
            <w:r w:rsidR="00AB1432" w:rsidRPr="0095691A">
              <w:rPr>
                <w:rFonts w:ascii="Sylfaen" w:hAnsi="Sylfaen"/>
                <w:sz w:val="20"/>
                <w:szCs w:val="20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307-րդ հոդվածի 5-րդ կետ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28" w:right="28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Ապրանքները բաց թողնելու, ապրանքների բացթողումը չեղարկելու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դադարեցնելու, ապրանքների բացթողումը մերժելու հետ կապված մաքսային գործառնությունների մասին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118-րդ հոդվածի 3-րդ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4-րդ կետեր, </w:t>
            </w:r>
            <w:r w:rsidR="00C731EA" w:rsidRPr="0095691A">
              <w:rPr>
                <w:rFonts w:ascii="Sylfaen" w:hAnsi="Sylfaen"/>
                <w:sz w:val="20"/>
                <w:szCs w:val="20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124-րդ հոդվածի 12-րդ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15-րդ կետեր, </w:t>
            </w:r>
            <w:r w:rsidR="00C731EA" w:rsidRPr="0095691A">
              <w:rPr>
                <w:rFonts w:ascii="Sylfaen" w:hAnsi="Sylfaen"/>
                <w:sz w:val="20"/>
                <w:szCs w:val="20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125-րդ հոդվածի 4-րդ կետ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28" w:right="28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«Ազատ մաքսային գոտի» մաքսային ընթացակարգի կիրառման մասին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27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pacing w:val="-6"/>
                <w:sz w:val="20"/>
                <w:szCs w:val="20"/>
              </w:rPr>
              <w:t xml:space="preserve">202-րդ հոդվածի 4-րդ կետ, 205-րդ հոդվածի 1-ին կետի 5-րդ ենթակետ, 4-րդ կետի 4-րդ </w:t>
            </w:r>
            <w:r w:rsidR="006B4F20" w:rsidRPr="0095691A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pacing w:val="-6"/>
                <w:sz w:val="20"/>
                <w:szCs w:val="20"/>
              </w:rPr>
              <w:t xml:space="preserve"> 5-րդ ենթակետեր, 207-րդ հոդվածի 3-րդ, 11-րդ, 12-րդ, 13-րդ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կետերի երկրորդ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28" w:right="28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«Մաքսային տարածքից դուրս վերամշակում» մաքսային ընթացակարգի գործողություն</w:t>
            </w:r>
            <w:r w:rsidR="009F7CA3" w:rsidRPr="0095691A">
              <w:rPr>
                <w:rFonts w:ascii="Sylfaen" w:hAnsi="Sylfaen"/>
                <w:sz w:val="20"/>
                <w:szCs w:val="20"/>
              </w:rPr>
              <w:t>ն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ավարտելու համար վերամշակումից հետո ստացվելիք արդյունքներ</w:t>
            </w:r>
            <w:r w:rsidR="009F7CA3" w:rsidRPr="0095691A">
              <w:rPr>
                <w:rFonts w:ascii="Sylfaen" w:hAnsi="Sylfaen"/>
                <w:sz w:val="20"/>
                <w:szCs w:val="20"/>
              </w:rPr>
              <w:t>ն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«արտահանում» մաքսային ընթացակարգով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ակերպելու դեպքերի, պայմանների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կարգի, «արտահանում» մաքսային ընթացակարգով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ակերպվող՝ վերամշակումից հետո ստացվելիք այդ ապրանքների նկատմամբ արտահանման մաքսատուրքերի, հարկերի հաշվարկման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վճարման առանձնահատկությունների մասին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8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184-րդ հոդվածի 2-րդ կետի 3-րդ ենթակետ, 187-րդ հոդվածի 3-րդ կետ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AB1432">
            <w:pPr>
              <w:pStyle w:val="Bodytext20"/>
              <w:spacing w:after="120" w:line="240" w:lineRule="auto"/>
              <w:ind w:left="102" w:right="28" w:firstLine="18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Միության մաքսային տարածք առանց մաքսատուրքերի, հարկերի վճարման անձնական օգտագործման ապրանքների ներկրման արժեքային, քանակական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(կամ) քաշային նորմերի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մաքսատուրքերի, հարկերի միասնական դրույքաչափերի մասին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266-րդ հոդվածի 2-րդ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3-րդ կետեր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AB1432">
            <w:pPr>
              <w:pStyle w:val="Bodytext20"/>
              <w:spacing w:after="120" w:line="240" w:lineRule="auto"/>
              <w:ind w:left="102" w:right="28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64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Միության մաքսային սահմանով ֆիզիկական անձանց կողմից տեղափոխվող անձնական օգտագործման ապրանքների նկատմամբ մաքսային գործառնությունների կատարման մասին (Մաքսային միության հանձնաժողովի 2010 թվականի հունիսի 18-ի թիվ 311 որոշման մեջ փոփոխությունների կատարում)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64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259-րդ հոդվածի 4-րդ կետի առաջին պարբերություն, 264-րդ հոդվածի 10-րդ կետ, 302-րդ հոդվածի 9-րդ կետ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64" w:lineRule="auto"/>
              <w:ind w:left="102" w:right="28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2904B1" w:rsidRPr="0095691A" w:rsidTr="00F46431">
        <w:tc>
          <w:tcPr>
            <w:tcW w:w="464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70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64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Ժամանակավոր ներկրվող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ժամանակավոր արտահանվող միջազգային փոխադրման տրանսպորտային միջոցների նկատմամբ մաքսային գործառնությունների կատարման կարգի, Եվրասիական տնտեսական միության մաքսային օրենսգրքի 277-րդ հոդվածի 1-ին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2-րդ կետերով չնախատեսված գործառնությունների կատարման մասին դիմումի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ի, դրա լրացման, դիմումի մեջ փոփոխությունների (լրացումների) կատարման կարգի, ինչպես նա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դիմումի ներկայացման, գրանցման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մերժ</w:t>
            </w:r>
            <w:r w:rsidR="00B65456" w:rsidRPr="0095691A">
              <w:rPr>
                <w:rFonts w:ascii="Sylfaen" w:hAnsi="Sylfaen"/>
                <w:sz w:val="20"/>
                <w:szCs w:val="20"/>
              </w:rPr>
              <w:t>ման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հետ կապված մաքսային գործառնությունների կատարման կարգի մասին</w:t>
            </w:r>
          </w:p>
        </w:tc>
        <w:tc>
          <w:tcPr>
            <w:tcW w:w="4506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64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274-րդ հոդվածի 6-րդ կետ, 275-րդ հոդվածի 11-րդ կետ, 277-րդ հոդվածի 4-րդ կետի հինգերորդ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2904B1" w:rsidRPr="0095691A" w:rsidRDefault="002904B1" w:rsidP="00C731EA">
            <w:pPr>
              <w:pStyle w:val="Bodytext20"/>
              <w:spacing w:after="120" w:line="264" w:lineRule="auto"/>
              <w:ind w:left="102" w:right="28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մաքսային օրենսգրքի 277-րդ հոդվածի 1-ին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2-րդ կետերով չնախատեսված գործառնությունների կատարման մասին էլեկտրոնային փաստաթղթի տեսքով դիմումի կառուցվածքի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աչափի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277-րդ հոդվածի 4-րդ կետի հինգերորդ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8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ապրանքի բացթողումը</w:t>
            </w:r>
            <w:r w:rsidR="00E07802" w:rsidRPr="0095691A">
              <w:rPr>
                <w:rFonts w:ascii="Sylfaen" w:hAnsi="Sylfaen"/>
                <w:sz w:val="20"/>
                <w:szCs w:val="20"/>
              </w:rPr>
              <w:t>՝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մաքսային հայտարարագրում հայտարարագրված տեղեկությունների փոփոխման (լրացման) հետ կապված մաքսային գործառնությունների կատարման կարգի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112-րդ հոդվածի 1-ին կետի չորրոդ պարբերություն, 2-րդ կետի երկրորդ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AB1432">
            <w:pPr>
              <w:pStyle w:val="Bodytext20"/>
              <w:spacing w:after="120" w:line="240" w:lineRule="auto"/>
              <w:ind w:left="102" w:right="28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ապրանքների հայտարարագի</w:t>
            </w:r>
            <w:r w:rsidR="00D003E9" w:rsidRPr="0095691A">
              <w:rPr>
                <w:rFonts w:ascii="Sylfaen" w:hAnsi="Sylfaen"/>
                <w:sz w:val="20"/>
                <w:szCs w:val="20"/>
              </w:rPr>
              <w:t>րը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ներկայաց</w:t>
            </w:r>
            <w:r w:rsidR="00D003E9" w:rsidRPr="0095691A">
              <w:rPr>
                <w:rFonts w:ascii="Sylfaen" w:hAnsi="Sylfaen"/>
                <w:sz w:val="20"/>
                <w:szCs w:val="20"/>
              </w:rPr>
              <w:t>նել</w:t>
            </w:r>
            <w:r w:rsidR="00C93F16" w:rsidRPr="0095691A">
              <w:rPr>
                <w:rFonts w:ascii="Sylfaen" w:hAnsi="Sylfaen"/>
                <w:sz w:val="20"/>
                <w:szCs w:val="20"/>
              </w:rPr>
              <w:t>ը</w:t>
            </w:r>
            <w:r w:rsidR="00D422A1" w:rsidRPr="0095691A">
              <w:rPr>
                <w:rFonts w:ascii="Sylfaen" w:hAnsi="Sylfaen"/>
                <w:sz w:val="20"/>
                <w:szCs w:val="20"/>
              </w:rPr>
              <w:t>՝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ապրանքների բացթողման մասին դիմումի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ը, դրա լրացման կարգը հաստատելու, ինչպես նա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այն տեղեկությունները սահմանելու մասին, որոնք պետք է պարունակ</w:t>
            </w:r>
            <w:r w:rsidR="000C14B8" w:rsidRPr="0095691A">
              <w:rPr>
                <w:rFonts w:ascii="Sylfaen" w:hAnsi="Sylfaen"/>
                <w:sz w:val="20"/>
                <w:szCs w:val="20"/>
              </w:rPr>
              <w:t>վեն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դիմում</w:t>
            </w:r>
            <w:r w:rsidR="000C14B8" w:rsidRPr="0095691A">
              <w:rPr>
                <w:rFonts w:ascii="Sylfaen" w:hAnsi="Sylfaen"/>
                <w:sz w:val="20"/>
                <w:szCs w:val="20"/>
              </w:rPr>
              <w:t>ի մեջ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մաքսային մարմնի կողմից դրա գրանցման կարգը սահմանելու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120-րդ հոդվածի 3-րդ կետի երրորդ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չորրորդ պարբերություններ, 10-րդ կետ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ապրանքների հայտարարագի</w:t>
            </w:r>
            <w:r w:rsidR="00D003E9" w:rsidRPr="0095691A">
              <w:rPr>
                <w:rFonts w:ascii="Sylfaen" w:hAnsi="Sylfaen"/>
                <w:sz w:val="20"/>
                <w:szCs w:val="20"/>
              </w:rPr>
              <w:t>րը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ներկայացնել</w:t>
            </w:r>
            <w:r w:rsidR="00C93F16" w:rsidRPr="0095691A">
              <w:rPr>
                <w:rFonts w:ascii="Sylfaen" w:hAnsi="Sylfaen"/>
                <w:sz w:val="20"/>
                <w:szCs w:val="20"/>
              </w:rPr>
              <w:t>ը՝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ապրանքների բացթողման մասին </w:t>
            </w:r>
            <w:r w:rsidR="000C14B8" w:rsidRPr="0095691A">
              <w:rPr>
                <w:rFonts w:ascii="Sylfaen" w:hAnsi="Sylfaen"/>
                <w:sz w:val="20"/>
                <w:szCs w:val="20"/>
              </w:rPr>
              <w:t xml:space="preserve">էլեկտրոնային փաստաթղթի տեսքով 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դիմումի կառուցվածքի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աչափի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120-րդ հոդվածի 3-րդ կետի չորրորդ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Լիազորված տնտեսական օպերատորներին ռեեստրում ընդգրկելու մասին վկայականի լրացման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ը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կարգը հաստատելու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432-րդ հոդվածի 5-րդ կետ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Այն պահանջների հաստատումը, որոնք ներկայացվում են կառույցներին, տարածքներին (տարածքների մասերին) եւ (կամ) բաց հրապարակներին (բաց հրապարակների մասերին), որոնց տարածքում իրականացվելու է ապրանքների ժամանակավոր պահպանում, ավարտվելու է «մաքսային տարանցում» մաքսային ընթացակարգը եւ (կամ) մաքսային հսկողություն</w:t>
            </w:r>
            <w:r w:rsidR="00267D6F" w:rsidRPr="0095691A">
              <w:rPr>
                <w:rFonts w:ascii="Sylfaen" w:hAnsi="Sylfaen"/>
                <w:sz w:val="20"/>
                <w:szCs w:val="20"/>
              </w:rPr>
              <w:t xml:space="preserve"> է անցկացվելու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լիազորված տնտեսական օպերատորների ռեեստրում ընդգրկվելուն հավակնող իրավաբանական անձի տրանսպորտային միջոցների եւ աշխատողների</w:t>
            </w:r>
            <w:r w:rsidR="00267D6F" w:rsidRPr="0095691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691A">
              <w:rPr>
                <w:rFonts w:ascii="Sylfaen" w:hAnsi="Sylfaen"/>
                <w:sz w:val="20"/>
                <w:szCs w:val="20"/>
              </w:rPr>
              <w:t>ն</w:t>
            </w:r>
            <w:r w:rsidR="00267D6F" w:rsidRPr="0095691A">
              <w:rPr>
                <w:rFonts w:ascii="Sylfaen" w:hAnsi="Sylfaen"/>
                <w:sz w:val="20"/>
                <w:szCs w:val="20"/>
              </w:rPr>
              <w:t>կատմամբ</w:t>
            </w:r>
            <w:r w:rsidRPr="0095691A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433–րդ հոդվածի 3–րդ կետի 4-րդ ենթակետ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Լիազորված տնտեսական օպերատորների ռեեստրում ընդգրկվելու հավակնող իրավաբանական անձի ֆինանսական կայունություն</w:t>
            </w:r>
            <w:r w:rsidR="00C22999" w:rsidRPr="0095691A">
              <w:rPr>
                <w:rFonts w:ascii="Sylfaen" w:hAnsi="Sylfaen"/>
                <w:sz w:val="20"/>
                <w:szCs w:val="20"/>
              </w:rPr>
              <w:t>ն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2999" w:rsidRPr="0095691A">
              <w:rPr>
                <w:rFonts w:ascii="Sylfaen" w:hAnsi="Sylfaen"/>
                <w:sz w:val="20"/>
                <w:szCs w:val="20"/>
              </w:rPr>
              <w:t>ու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ֆինանսական կայունությունը բնութագրող եւ այդ ռեեստրում ընդգրկելու համար անհրաժեշտ արժեքները </w:t>
            </w:r>
            <w:r w:rsidR="00C22999" w:rsidRPr="0095691A">
              <w:rPr>
                <w:rFonts w:ascii="Sylfaen" w:hAnsi="Sylfaen"/>
                <w:sz w:val="20"/>
                <w:szCs w:val="20"/>
              </w:rPr>
              <w:t>սահման</w:t>
            </w:r>
            <w:r w:rsidRPr="0095691A">
              <w:rPr>
                <w:rFonts w:ascii="Sylfaen" w:hAnsi="Sylfaen"/>
                <w:sz w:val="20"/>
                <w:szCs w:val="20"/>
              </w:rPr>
              <w:t>ելու կարգի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433-րդ հոդվածի 7-րդ կետ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20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Լիազորված տնտեսական օպերատորների ռեեստրում ընդգրկվելու համար իրավաբանական անձի դիմումի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ը, դրա լրացման կարգը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դիմումի մեջ հայտարարագրված տեղեկությունները հաստատող փաստաթղթերի ցանկը հաստատելու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434-րդ հոդվածի 1-ին կետի երկրորդ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102" w:right="273" w:hanging="25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34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Մաքսատուրքերի, հարկերի, հատուկ, հակագնագցման, փոխհատուցման տուրքերի հաշվարկի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ը, դրա լրացման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ը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կարգը հաստատելու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52-րդ հոդվածի 4-ին կետի երկրորդ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AB1432">
            <w:pPr>
              <w:pStyle w:val="Bodytext20"/>
              <w:spacing w:after="120" w:line="240" w:lineRule="auto"/>
              <w:ind w:left="102" w:right="143" w:hanging="11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</w:pPr>
            <w:r w:rsidRPr="0095691A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34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Էլեկտրոնային փաստաթղթի տեսքով՝ մաքսատուրքերի, հարկերի, հատուկ, հակագնագցման, փոխհատուցման տուրքերի հաշվարկի կառուցվածքի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աչափի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52-րդ հոդվածի 4-ին կետի երկրորդ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AB1432">
            <w:pPr>
              <w:pStyle w:val="Bodytext20"/>
              <w:spacing w:after="120" w:line="240" w:lineRule="auto"/>
              <w:ind w:left="102" w:right="143" w:hanging="11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34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Մաքսատուրքերի, հարկերի, հատուկ, հակագնագցման, փոխհատուցման տուրքերի վճարման պարտականության կատարման ապահովման չափի հաշվարկման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ը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դրա լրացման կարգը հաստատելու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325-րդ հոդվածի 6-րդ կետի երկրորդ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AB1432">
            <w:pPr>
              <w:pStyle w:val="Bodytext20"/>
              <w:spacing w:after="120" w:line="240" w:lineRule="auto"/>
              <w:ind w:left="102" w:right="143" w:hanging="11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34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Էլեկտրոնային փաստաթղթի տեսքով՝ մաքսատուրքերի, հարկերի, հատուկ, հակագնագցման, փոխհատուցման տուրքերի վճարման պարտականության կատարման ապահովման չափի հաշվարկման կառուցվածքի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աչափի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325-րդ հոդվածի 6-րդ կետի երկրորդ պարբերություն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AB1432">
            <w:pPr>
              <w:pStyle w:val="Bodytext20"/>
              <w:spacing w:after="120" w:line="240" w:lineRule="auto"/>
              <w:ind w:left="102" w:right="143" w:hanging="11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51AA7" w:rsidRPr="0095691A" w:rsidTr="00F46431">
        <w:tc>
          <w:tcPr>
            <w:tcW w:w="464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7006" w:type="dxa"/>
            <w:shd w:val="clear" w:color="auto" w:fill="FFFFFF"/>
          </w:tcPr>
          <w:p w:rsidR="00451AA7" w:rsidRPr="0095691A" w:rsidRDefault="00451AA7" w:rsidP="00C731EA">
            <w:pPr>
              <w:pStyle w:val="Bodytext20"/>
              <w:spacing w:after="120" w:line="240" w:lineRule="auto"/>
              <w:ind w:left="34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Միության մաքսային տարածքից ապրանքների փաստացի արտահանումը մաքսային մարմինների կողմից հաստատ</w:t>
            </w:r>
            <w:r w:rsidR="00190914" w:rsidRPr="0095691A">
              <w:rPr>
                <w:rFonts w:ascii="Sylfaen" w:hAnsi="Sylfaen"/>
                <w:sz w:val="20"/>
                <w:szCs w:val="20"/>
              </w:rPr>
              <w:t>վ</w:t>
            </w:r>
            <w:r w:rsidRPr="0095691A">
              <w:rPr>
                <w:rFonts w:ascii="Sylfaen" w:hAnsi="Sylfaen"/>
                <w:sz w:val="20"/>
                <w:szCs w:val="20"/>
              </w:rPr>
              <w:t>ելու կարգի մասին</w:t>
            </w:r>
          </w:p>
        </w:tc>
        <w:tc>
          <w:tcPr>
            <w:tcW w:w="4506" w:type="dxa"/>
            <w:shd w:val="clear" w:color="auto" w:fill="FFFFFF"/>
          </w:tcPr>
          <w:p w:rsidR="00451AA7" w:rsidRPr="0095691A" w:rsidRDefault="00451AA7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հոդված 93</w:t>
            </w:r>
          </w:p>
        </w:tc>
        <w:tc>
          <w:tcPr>
            <w:tcW w:w="3015" w:type="dxa"/>
            <w:shd w:val="clear" w:color="auto" w:fill="FFFFFF"/>
          </w:tcPr>
          <w:p w:rsidR="00451AA7" w:rsidRPr="0095691A" w:rsidRDefault="00451AA7" w:rsidP="00AB1432">
            <w:pPr>
              <w:pStyle w:val="Bodytext20"/>
              <w:spacing w:after="120" w:line="240" w:lineRule="auto"/>
              <w:ind w:left="102" w:right="143" w:hanging="11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F334E2" w:rsidRPr="0095691A" w:rsidTr="00F46431">
        <w:tc>
          <w:tcPr>
            <w:tcW w:w="464" w:type="dxa"/>
            <w:shd w:val="clear" w:color="auto" w:fill="FFFFFF"/>
          </w:tcPr>
          <w:p w:rsidR="00F334E2" w:rsidRPr="0095691A" w:rsidRDefault="00F334E2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24.</w:t>
            </w:r>
          </w:p>
        </w:tc>
        <w:tc>
          <w:tcPr>
            <w:tcW w:w="7006" w:type="dxa"/>
            <w:shd w:val="clear" w:color="auto" w:fill="FFFFFF"/>
          </w:tcPr>
          <w:p w:rsidR="00F334E2" w:rsidRPr="0095691A" w:rsidRDefault="00F334E2" w:rsidP="00C731EA">
            <w:pPr>
              <w:pStyle w:val="Bodytext20"/>
              <w:spacing w:after="120" w:line="240" w:lineRule="auto"/>
              <w:ind w:left="34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Մաքսային գործի բնագավառում որպես մաքսային ներկայացուցիչ գործունեություն իրականացնող իրավաբանական անձի պարտականությունների կատարման ապահովման չափի մասին</w:t>
            </w:r>
          </w:p>
        </w:tc>
        <w:tc>
          <w:tcPr>
            <w:tcW w:w="4506" w:type="dxa"/>
            <w:shd w:val="clear" w:color="auto" w:fill="FFFFFF"/>
          </w:tcPr>
          <w:p w:rsidR="00F334E2" w:rsidRPr="0095691A" w:rsidRDefault="00F334E2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402–րդ հոդվածի 1–ին կետի 2-րդ ենթակետ</w:t>
            </w:r>
          </w:p>
        </w:tc>
        <w:tc>
          <w:tcPr>
            <w:tcW w:w="3015" w:type="dxa"/>
            <w:shd w:val="clear" w:color="auto" w:fill="FFFFFF"/>
          </w:tcPr>
          <w:p w:rsidR="00F334E2" w:rsidRPr="0095691A" w:rsidRDefault="00F334E2" w:rsidP="00AB1432">
            <w:pPr>
              <w:pStyle w:val="Bodytext20"/>
              <w:spacing w:after="120" w:line="240" w:lineRule="auto"/>
              <w:ind w:left="102" w:right="143" w:hanging="11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F334E2" w:rsidRPr="0095691A" w:rsidTr="00F46431">
        <w:tc>
          <w:tcPr>
            <w:tcW w:w="464" w:type="dxa"/>
            <w:shd w:val="clear" w:color="auto" w:fill="FFFFFF"/>
            <w:vAlign w:val="center"/>
          </w:tcPr>
          <w:p w:rsidR="00F334E2" w:rsidRPr="0095691A" w:rsidRDefault="00F334E2" w:rsidP="00C731EA">
            <w:pPr>
              <w:pStyle w:val="Bodytext20"/>
              <w:spacing w:after="120" w:line="240" w:lineRule="auto"/>
              <w:ind w:left="-6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25.</w:t>
            </w:r>
          </w:p>
        </w:tc>
        <w:tc>
          <w:tcPr>
            <w:tcW w:w="7006" w:type="dxa"/>
            <w:shd w:val="clear" w:color="auto" w:fill="FFFFFF"/>
          </w:tcPr>
          <w:p w:rsidR="00F334E2" w:rsidRPr="0095691A" w:rsidRDefault="00F334E2" w:rsidP="00C731EA">
            <w:pPr>
              <w:pStyle w:val="Bodytext20"/>
              <w:spacing w:after="120" w:line="240" w:lineRule="auto"/>
              <w:ind w:left="34" w:right="1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Մաքսային միության հանձնաժողովի 2010 թվականի մայիսի 20-ի թիվ 260 որոշման մեջ փոփոխություններ կատարելու մասին</w:t>
            </w:r>
          </w:p>
        </w:tc>
        <w:tc>
          <w:tcPr>
            <w:tcW w:w="4506" w:type="dxa"/>
            <w:shd w:val="clear" w:color="auto" w:fill="FFFFFF"/>
          </w:tcPr>
          <w:p w:rsidR="00F334E2" w:rsidRPr="0095691A" w:rsidRDefault="00F334E2" w:rsidP="00E46DE6">
            <w:pPr>
              <w:pStyle w:val="Bodytext20"/>
              <w:spacing w:after="120" w:line="240" w:lineRule="auto"/>
              <w:ind w:left="102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323-րդ, 327-րդ, 328-րդ, 329-րդ, 330-րդ, 341-րդ, 346-րդ, 355-րդ, 380-րդ, 381-րդ, 382-րդ, </w:t>
            </w:r>
            <w:r w:rsidR="00C731EA" w:rsidRPr="0095691A">
              <w:rPr>
                <w:rFonts w:ascii="Sylfaen" w:hAnsi="Sylfaen"/>
                <w:sz w:val="20"/>
                <w:szCs w:val="20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393-րդ հոդվածներ</w:t>
            </w:r>
          </w:p>
        </w:tc>
        <w:tc>
          <w:tcPr>
            <w:tcW w:w="3015" w:type="dxa"/>
            <w:shd w:val="clear" w:color="auto" w:fill="FFFFFF"/>
          </w:tcPr>
          <w:p w:rsidR="00F334E2" w:rsidRPr="0095691A" w:rsidRDefault="00F334E2" w:rsidP="00AB1432">
            <w:pPr>
              <w:pStyle w:val="Bodytext20"/>
              <w:spacing w:after="120" w:line="240" w:lineRule="auto"/>
              <w:ind w:left="102" w:right="143" w:hanging="11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</w:tbl>
    <w:p w:rsidR="00C731EA" w:rsidRPr="0095691A" w:rsidRDefault="00C731EA" w:rsidP="006B4F20">
      <w:pPr>
        <w:spacing w:after="160" w:line="360" w:lineRule="auto"/>
        <w:sectPr w:rsidR="00C731EA" w:rsidRPr="0095691A" w:rsidSect="005D78E6">
          <w:footerReference w:type="default" r:id="rId9"/>
          <w:pgSz w:w="16840" w:h="11900" w:orient="landscape"/>
          <w:pgMar w:top="1418" w:right="1418" w:bottom="1418" w:left="1418" w:header="0" w:footer="809" w:gutter="0"/>
          <w:pgNumType w:start="1"/>
          <w:cols w:space="720"/>
          <w:noEndnote/>
          <w:titlePg/>
          <w:docGrid w:linePitch="360"/>
        </w:sectPr>
      </w:pPr>
    </w:p>
    <w:p w:rsidR="004D1CBD" w:rsidRPr="0095691A" w:rsidRDefault="008E294D" w:rsidP="00AB1432">
      <w:pPr>
        <w:pStyle w:val="Bodytext40"/>
        <w:spacing w:before="0" w:after="160" w:line="360" w:lineRule="auto"/>
        <w:ind w:left="9356"/>
        <w:jc w:val="center"/>
        <w:rPr>
          <w:rFonts w:ascii="Sylfaen" w:hAnsi="Sylfaen"/>
          <w:sz w:val="24"/>
          <w:szCs w:val="24"/>
        </w:rPr>
      </w:pPr>
      <w:r w:rsidRPr="0095691A">
        <w:rPr>
          <w:rFonts w:ascii="Sylfaen" w:hAnsi="Sylfaen"/>
          <w:sz w:val="24"/>
          <w:szCs w:val="24"/>
        </w:rPr>
        <w:lastRenderedPageBreak/>
        <w:t>ՀԱՎԵԼՎԱԾ 2</w:t>
      </w:r>
    </w:p>
    <w:p w:rsidR="00AB1432" w:rsidRPr="0095691A" w:rsidRDefault="008E294D" w:rsidP="00AB1432">
      <w:pPr>
        <w:pStyle w:val="Heading20"/>
        <w:spacing w:before="0" w:after="160" w:line="360" w:lineRule="auto"/>
        <w:ind w:left="9356"/>
        <w:outlineLvl w:val="9"/>
        <w:rPr>
          <w:rFonts w:ascii="Sylfaen" w:hAnsi="Sylfaen"/>
          <w:b w:val="0"/>
          <w:sz w:val="24"/>
          <w:szCs w:val="24"/>
          <w:lang w:val="en-US"/>
        </w:rPr>
      </w:pPr>
      <w:r w:rsidRPr="0095691A">
        <w:rPr>
          <w:rFonts w:ascii="Sylfaen" w:hAnsi="Sylfaen"/>
          <w:b w:val="0"/>
          <w:sz w:val="24"/>
          <w:szCs w:val="24"/>
        </w:rPr>
        <w:t>Եվրասիական տնտեսական հանձնաժողովի խորհրդի 2017 թվականի մարտի 3-ի թիվ 11 կարգադրության</w:t>
      </w:r>
      <w:bookmarkStart w:id="3" w:name="bookmark3"/>
      <w:r w:rsidR="00AB1432" w:rsidRPr="0095691A">
        <w:rPr>
          <w:rFonts w:ascii="Sylfaen" w:hAnsi="Sylfaen"/>
          <w:b w:val="0"/>
          <w:sz w:val="24"/>
          <w:szCs w:val="24"/>
        </w:rPr>
        <w:t xml:space="preserve"> </w:t>
      </w:r>
    </w:p>
    <w:p w:rsidR="00C731EA" w:rsidRPr="0095691A" w:rsidRDefault="00C731EA" w:rsidP="00AB1432">
      <w:pPr>
        <w:pStyle w:val="Heading20"/>
        <w:spacing w:before="0" w:after="160" w:line="360" w:lineRule="auto"/>
        <w:ind w:left="9356"/>
        <w:outlineLvl w:val="9"/>
        <w:rPr>
          <w:rFonts w:ascii="Sylfaen" w:hAnsi="Sylfaen"/>
          <w:b w:val="0"/>
          <w:sz w:val="24"/>
          <w:szCs w:val="24"/>
          <w:lang w:val="en-US"/>
        </w:rPr>
      </w:pPr>
    </w:p>
    <w:p w:rsidR="004D1CBD" w:rsidRPr="0095691A" w:rsidRDefault="008E294D" w:rsidP="00AB1432">
      <w:pPr>
        <w:pStyle w:val="Heading20"/>
        <w:spacing w:before="0" w:after="160" w:line="360" w:lineRule="auto"/>
        <w:ind w:left="567" w:right="537"/>
        <w:outlineLvl w:val="9"/>
        <w:rPr>
          <w:rFonts w:ascii="Sylfaen" w:hAnsi="Sylfaen"/>
          <w:b w:val="0"/>
          <w:sz w:val="24"/>
          <w:szCs w:val="24"/>
        </w:rPr>
      </w:pPr>
      <w:r w:rsidRPr="0095691A">
        <w:rPr>
          <w:rStyle w:val="Heading2Spacing2pt"/>
          <w:rFonts w:ascii="Sylfaen" w:hAnsi="Sylfaen"/>
          <w:b/>
          <w:spacing w:val="0"/>
          <w:sz w:val="24"/>
          <w:szCs w:val="24"/>
        </w:rPr>
        <w:t>ԺԱՄԱՆԱԿԱՑՈՒՅՑ</w:t>
      </w:r>
      <w:bookmarkEnd w:id="3"/>
    </w:p>
    <w:p w:rsidR="004D1CBD" w:rsidRPr="0095691A" w:rsidRDefault="008E294D" w:rsidP="00AB1432">
      <w:pPr>
        <w:pStyle w:val="Heading20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4" w:name="bookmark4"/>
      <w:r w:rsidRPr="0095691A">
        <w:rPr>
          <w:rFonts w:ascii="Sylfaen" w:hAnsi="Sylfaen"/>
          <w:sz w:val="24"/>
          <w:szCs w:val="24"/>
        </w:rPr>
        <w:t>2017 թվականին Եվրասիական տնտեսական հանձնաժողովի այն որոշումների մշակման, որոնք ուժի մեջ են մտնում «Եվրասիական տնտեսական միության մաքսային օրենսգրքի մասին» պայմանագի</w:t>
      </w:r>
      <w:r w:rsidR="00190914" w:rsidRPr="0095691A">
        <w:rPr>
          <w:rFonts w:ascii="Sylfaen" w:hAnsi="Sylfaen"/>
          <w:sz w:val="24"/>
          <w:szCs w:val="24"/>
        </w:rPr>
        <w:t>րն</w:t>
      </w:r>
      <w:r w:rsidRPr="0095691A">
        <w:rPr>
          <w:rFonts w:ascii="Sylfaen" w:hAnsi="Sylfaen"/>
          <w:sz w:val="24"/>
          <w:szCs w:val="24"/>
        </w:rPr>
        <w:t xml:space="preserve"> ուժի մեջ մտնելու օրվանից</w:t>
      </w:r>
      <w:bookmarkEnd w:id="4"/>
      <w:r w:rsidR="00F46431" w:rsidRPr="0095691A">
        <w:rPr>
          <w:rStyle w:val="FootnoteReference"/>
          <w:rFonts w:ascii="Sylfaen" w:hAnsi="Sylfaen"/>
          <w:sz w:val="24"/>
          <w:szCs w:val="24"/>
        </w:rPr>
        <w:footnoteReference w:customMarkFollows="1" w:id="2"/>
        <w:sym w:font="Symbol" w:char="F02A"/>
      </w:r>
    </w:p>
    <w:tbl>
      <w:tblPr>
        <w:tblOverlap w:val="never"/>
        <w:tblW w:w="14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7796"/>
        <w:gridCol w:w="3260"/>
        <w:gridCol w:w="3189"/>
      </w:tblGrid>
      <w:tr w:rsidR="004D1CBD" w:rsidRPr="0095691A" w:rsidTr="001E1CAE">
        <w:trPr>
          <w:trHeight w:val="383"/>
          <w:tblHeader/>
        </w:trPr>
        <w:tc>
          <w:tcPr>
            <w:tcW w:w="8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4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8E294D" w:rsidP="00AB1432">
            <w:pPr>
              <w:pStyle w:val="Bodytext20"/>
              <w:spacing w:after="120" w:line="240" w:lineRule="auto"/>
              <w:ind w:left="45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Եվրասիական տնտեսական հանձնաժողովի կոլեգիայի որոշումների համար միջոցառումների իրագործման ժամկետը</w:t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3"/>
              <w:sym w:font="Symbol" w:char="F02A"/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8E294D" w:rsidP="00AB1432">
            <w:pPr>
              <w:pStyle w:val="Bodytext20"/>
              <w:spacing w:after="120" w:line="240" w:lineRule="auto"/>
              <w:ind w:left="45" w:right="14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Եվրասիական տնտեսական հանձնաժողովի խորհրդի որոշումների համար միջոցառումների իրագործման ժամկետը**</w:t>
            </w:r>
          </w:p>
        </w:tc>
      </w:tr>
      <w:tr w:rsidR="004D1CBD" w:rsidRPr="0095691A" w:rsidTr="001E1CAE">
        <w:trPr>
          <w:trHeight w:val="383"/>
          <w:tblHeader/>
        </w:trPr>
        <w:tc>
          <w:tcPr>
            <w:tcW w:w="82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</w:tr>
      <w:tr w:rsidR="004D1CBD" w:rsidRPr="0095691A" w:rsidTr="001E1CAE">
        <w:trPr>
          <w:trHeight w:val="383"/>
          <w:tblHeader/>
        </w:trPr>
        <w:tc>
          <w:tcPr>
            <w:tcW w:w="82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</w:tr>
      <w:tr w:rsidR="004D1CBD" w:rsidRPr="0095691A" w:rsidTr="001E1CAE">
        <w:trPr>
          <w:trHeight w:val="383"/>
          <w:tblHeader/>
        </w:trPr>
        <w:tc>
          <w:tcPr>
            <w:tcW w:w="82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</w:tr>
      <w:tr w:rsidR="004D1CBD" w:rsidRPr="0095691A" w:rsidTr="001E1CAE">
        <w:trPr>
          <w:trHeight w:val="383"/>
          <w:tblHeader/>
        </w:trPr>
        <w:tc>
          <w:tcPr>
            <w:tcW w:w="82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</w:tr>
      <w:tr w:rsidR="004D1CBD" w:rsidRPr="0095691A" w:rsidTr="001E1CAE">
        <w:trPr>
          <w:trHeight w:val="383"/>
          <w:tblHeader/>
        </w:trPr>
        <w:tc>
          <w:tcPr>
            <w:tcW w:w="82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95691A" w:rsidRDefault="004D1CBD" w:rsidP="00AB1432">
            <w:pPr>
              <w:spacing w:after="120"/>
              <w:rPr>
                <w:sz w:val="20"/>
                <w:szCs w:val="20"/>
              </w:rPr>
            </w:pPr>
          </w:p>
        </w:tc>
      </w:tr>
      <w:tr w:rsidR="004D1CBD" w:rsidRPr="0095691A" w:rsidTr="001E1CAE">
        <w:tc>
          <w:tcPr>
            <w:tcW w:w="146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4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I. Եվրասիական տնտեսական հանձնաժողովի (այսուհետ՝ Հանձնաժողով) որոշումների նախագծերը, որոնք նախատեսվում է ուղարկել</w:t>
            </w:r>
            <w:r w:rsidR="007414B0" w:rsidRPr="0095691A">
              <w:rPr>
                <w:rFonts w:ascii="Sylfaen" w:hAnsi="Sylfaen"/>
                <w:sz w:val="20"/>
                <w:szCs w:val="20"/>
              </w:rPr>
              <w:t>՝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կարգավորող ազդեցությունը գնահատելու համար</w:t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4"/>
              <w:sym w:font="Symbol" w:char="F02A"/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</w:tr>
      <w:tr w:rsidR="004D1CBD" w:rsidRPr="0095691A" w:rsidTr="00032781">
        <w:tc>
          <w:tcPr>
            <w:tcW w:w="436" w:type="dxa"/>
            <w:shd w:val="clear" w:color="auto" w:fill="FFFFFF"/>
            <w:vAlign w:val="center"/>
          </w:tcPr>
          <w:p w:rsidR="004D1CBD" w:rsidRPr="0095691A" w:rsidRDefault="00BA68C0" w:rsidP="001E1CAE">
            <w:pPr>
              <w:pStyle w:val="Bodytext20"/>
              <w:spacing w:after="120" w:line="240" w:lineRule="auto"/>
              <w:ind w:firstLine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5691A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7796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որոշումների նախագծերի մշակում</w:t>
            </w:r>
          </w:p>
        </w:tc>
        <w:tc>
          <w:tcPr>
            <w:tcW w:w="3260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  <w:lang w:val="en-US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7-ը</w:t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5"/>
              <w:sym w:font="Symbol" w:char="F02A"/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B570B5" w:rsidRPr="0095691A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  <w:tc>
          <w:tcPr>
            <w:tcW w:w="3189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հունվարի 31-ը****</w:t>
            </w:r>
          </w:p>
        </w:tc>
      </w:tr>
      <w:tr w:rsidR="004D1CBD" w:rsidRPr="0095691A" w:rsidTr="00032781">
        <w:tc>
          <w:tcPr>
            <w:tcW w:w="436" w:type="dxa"/>
            <w:shd w:val="clear" w:color="auto" w:fill="FFFFFF"/>
          </w:tcPr>
          <w:p w:rsidR="004D1CBD" w:rsidRPr="0095691A" w:rsidRDefault="008E294D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7796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պետությունների (այսուհետ՝ անդամ պետություններ) կողմից մշակված՝ Հանձնաժողովի որոշումների նախագծերի ներկայացումը Հանձնաժողով</w:t>
            </w:r>
          </w:p>
        </w:tc>
        <w:tc>
          <w:tcPr>
            <w:tcW w:w="3260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7-ը****</w:t>
            </w:r>
          </w:p>
        </w:tc>
        <w:tc>
          <w:tcPr>
            <w:tcW w:w="3189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հունվարի 31-ը****</w:t>
            </w:r>
          </w:p>
        </w:tc>
      </w:tr>
      <w:tr w:rsidR="004D1CBD" w:rsidRPr="0095691A" w:rsidTr="00032781">
        <w:tc>
          <w:tcPr>
            <w:tcW w:w="436" w:type="dxa"/>
            <w:shd w:val="clear" w:color="auto" w:fill="FFFFFF"/>
          </w:tcPr>
          <w:p w:rsidR="004D1CBD" w:rsidRPr="0095691A" w:rsidRDefault="008E294D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7796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որոշումների նախագծերի ուղարկումը անդամ պետություններ՝ համաձայնեցման, ինչպես նա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Հանձնաժողովի կառուցվածքային ստորաբաժանումների կողմից քննարկման համար</w:t>
            </w:r>
          </w:p>
        </w:tc>
        <w:tc>
          <w:tcPr>
            <w:tcW w:w="3260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10-ը****</w:t>
            </w:r>
          </w:p>
        </w:tc>
        <w:tc>
          <w:tcPr>
            <w:tcW w:w="3189" w:type="dxa"/>
            <w:shd w:val="clear" w:color="auto" w:fill="FFFFFF"/>
          </w:tcPr>
          <w:p w:rsidR="004D1CBD" w:rsidRPr="0095691A" w:rsidRDefault="008E294D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3-ը****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Հանձնաժողովի որոշումների նախագծերի համաձայնեցումն անդամ պետություններում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համաձայնեցման արդյունքների ներկայացումը Հանձնաժողով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27-ը****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17-ը****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որոշումների նախագծերի կարգավորող ազդեցության գնահատում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փետրվարի 13****- </w:t>
            </w:r>
            <w:r w:rsidR="00F46431" w:rsidRPr="0095691A">
              <w:rPr>
                <w:rFonts w:ascii="Sylfaen" w:hAnsi="Sylfaen"/>
                <w:sz w:val="20"/>
                <w:szCs w:val="20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ապրիլի 14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փետրվարի 6****- </w:t>
            </w:r>
            <w:r w:rsidR="00F46431" w:rsidRPr="0095691A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ապրիլի 5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  <w:vAlign w:val="center"/>
          </w:tcPr>
          <w:p w:rsidR="00CA6F5C" w:rsidRPr="0095691A" w:rsidRDefault="00CA6F5C" w:rsidP="00E04FEA">
            <w:pPr>
              <w:pStyle w:val="Bodytext20"/>
              <w:spacing w:after="120" w:line="240" w:lineRule="auto"/>
              <w:ind w:left="-284" w:right="-151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Անդամ պետություններում համաձայնեցման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Հանձնաժողովի կառուցվածքային ստորաբաժանումների կողմից քննարկման արդյունք</w:t>
            </w:r>
            <w:r w:rsidR="00006180" w:rsidRPr="0095691A">
              <w:rPr>
                <w:rFonts w:ascii="Sylfaen" w:hAnsi="Sylfaen"/>
                <w:sz w:val="20"/>
                <w:szCs w:val="20"/>
              </w:rPr>
              <w:t>ներով</w:t>
            </w:r>
            <w:r w:rsidRPr="0095691A">
              <w:rPr>
                <w:rFonts w:ascii="Sylfaen" w:hAnsi="Sylfaen"/>
                <w:sz w:val="20"/>
                <w:szCs w:val="20"/>
              </w:rPr>
              <w:t>, ինչպես նա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կարգավորող ազդեցության գնահատման արդյունքներով Հանձնաժողովի որոշումների նախագծերի լրամշակում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փետրվարի 28****- </w:t>
            </w:r>
            <w:r w:rsidR="00F46431" w:rsidRPr="0095691A">
              <w:rPr>
                <w:rFonts w:ascii="Sylfaen" w:hAnsi="Sylfaen"/>
                <w:sz w:val="20"/>
                <w:szCs w:val="20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ապրիլի 14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փետրվարի 20****- </w:t>
            </w:r>
            <w:r w:rsidR="00F46431" w:rsidRPr="0095691A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ապրիլի 5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կոլեգիայի որոշումների նախագծերի ներկայացումը Հանձնաժողովի կոլեգիայի քննարկմանը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ապրիլի 30-ը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խորհրդի որոշումների նախագծերին հավանություն տալու մասին Հանձնաժողովի կոլեգիայի կարգադրությունների նախագծերի ներկայացումը Հանձնաժողովի կոլեգիայի քննարկմանը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ապրիլի 20-ը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Հանձնաժողովի կոլեգիայի կողմից Հանձնաժողովի կոլեգիայի որոշումների նախագծերի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Հանձնաժողովի խորհրդի որոշումներին հավանություն տալու մասին Հանձնաժողովի կոլեգիայի կարգադրությունների նախագծերի քննարկումը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մայիսի 31-ը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  <w:vAlign w:val="center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խորհրդի կողմից Հանձնաժողովի խորհրդի որոշումների նախագծերի քննարկումը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132" w:right="132" w:hanging="1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մայիսի վերջին տասնօրյակ</w:t>
            </w:r>
          </w:p>
        </w:tc>
      </w:tr>
      <w:tr w:rsidR="00CA6F5C" w:rsidRPr="0095691A" w:rsidTr="001E1CAE">
        <w:tc>
          <w:tcPr>
            <w:tcW w:w="14681" w:type="dxa"/>
            <w:gridSpan w:val="4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II. Հանձնաժողովի որոշումների նախագծերը, որոնք </w:t>
            </w:r>
            <w:r w:rsidR="008B3100" w:rsidRPr="0095691A">
              <w:rPr>
                <w:rFonts w:ascii="Sylfaen" w:hAnsi="Sylfaen"/>
                <w:sz w:val="20"/>
                <w:szCs w:val="20"/>
              </w:rPr>
              <w:t xml:space="preserve">հանրային քննարկման համար </w:t>
            </w:r>
            <w:r w:rsidRPr="0095691A">
              <w:rPr>
                <w:rFonts w:ascii="Sylfaen" w:hAnsi="Sylfaen"/>
                <w:sz w:val="20"/>
                <w:szCs w:val="20"/>
              </w:rPr>
              <w:t>նախատեսվում է ուղարկել նախնական հրապարակման***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</w:t>
            </w:r>
            <w:r w:rsidRPr="0095691A">
              <w:rPr>
                <w:rFonts w:ascii="Sylfaen" w:hAnsi="Sylfaen"/>
                <w:bCs/>
                <w:sz w:val="20"/>
                <w:szCs w:val="20"/>
              </w:rPr>
              <w:t>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right="14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որոշումների նախագծերի մշակում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22-ը****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8-ը****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right="14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Անդամ </w:t>
            </w:r>
            <w:r w:rsidR="00155C37" w:rsidRPr="0095691A">
              <w:rPr>
                <w:rFonts w:ascii="Sylfaen" w:hAnsi="Sylfaen"/>
                <w:sz w:val="20"/>
                <w:szCs w:val="20"/>
              </w:rPr>
              <w:t>պետությունների կողմից մշակված՝ Հանձնաժողովի որոշումների նախագծերի ներկայացումը Հանձնաժողով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22-ը****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8-ը****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որոշումների նախագծերի ուղարկումը անդամ պետություններ՝ համաձայնեցման համար, ինչպես նա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դրանց քննարկումը Հանձնաժողովի կառուցվածքային ստորաբաժանումների կողմից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մարտի 1-ը****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փետրվարի 13-ը****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Հանձնաժողովի որոշումների նախագծերի համաձայնեցումն անդամ պետություններում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համաձայնեցման արդյունքների ներկայացումը Հանձնաժողով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մարտի 17-ը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մարտի 1-ը****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Անդամ պետություններում համաձայնեցման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Հանձնաժողովի կառուցվածքային ստորաբաժանումների կողմից քննարկման արդյունք</w:t>
            </w:r>
            <w:r w:rsidR="008B3100" w:rsidRPr="0095691A">
              <w:rPr>
                <w:rFonts w:ascii="Sylfaen" w:hAnsi="Sylfaen"/>
                <w:sz w:val="20"/>
                <w:szCs w:val="20"/>
              </w:rPr>
              <w:t>ներով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Հանձնաժողովի որոշումների նախագծերի լրամշակում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մարտի 31-ը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մարտի 17-ը</w:t>
            </w:r>
          </w:p>
        </w:tc>
      </w:tr>
      <w:tr w:rsidR="00CA6F5C" w:rsidRPr="0095691A" w:rsidTr="00032781">
        <w:tc>
          <w:tcPr>
            <w:tcW w:w="436" w:type="dxa"/>
            <w:shd w:val="clear" w:color="auto" w:fill="FFFFFF"/>
          </w:tcPr>
          <w:p w:rsidR="00CA6F5C" w:rsidRPr="0095691A" w:rsidRDefault="00CA6F5C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7796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որոշումների նախագծերի նախնական հրապարակումը Եվրասիական տնտեսական միության պաշտոնական կայքում՝ դրանց հանրային քննարկման համար</w:t>
            </w:r>
          </w:p>
        </w:tc>
        <w:tc>
          <w:tcPr>
            <w:tcW w:w="3260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ապրիլի 30-ը</w:t>
            </w:r>
          </w:p>
        </w:tc>
        <w:tc>
          <w:tcPr>
            <w:tcW w:w="3189" w:type="dxa"/>
            <w:shd w:val="clear" w:color="auto" w:fill="FFFFFF"/>
          </w:tcPr>
          <w:p w:rsidR="00CA6F5C" w:rsidRPr="0095691A" w:rsidRDefault="00CA6F5C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մարտի 20****- </w:t>
            </w:r>
            <w:r w:rsidR="00F46431" w:rsidRPr="0095691A">
              <w:rPr>
                <w:rFonts w:ascii="Sylfaen" w:hAnsi="Sylfaen"/>
                <w:sz w:val="20"/>
                <w:szCs w:val="20"/>
              </w:rPr>
              <w:br/>
            </w:r>
            <w:r w:rsidRPr="0095691A">
              <w:rPr>
                <w:rFonts w:ascii="Sylfaen" w:hAnsi="Sylfaen"/>
                <w:sz w:val="20"/>
                <w:szCs w:val="20"/>
              </w:rPr>
              <w:t>ապրիլի 20</w:t>
            </w:r>
          </w:p>
        </w:tc>
      </w:tr>
      <w:tr w:rsidR="00C92535" w:rsidRPr="0095691A" w:rsidTr="00032781">
        <w:tc>
          <w:tcPr>
            <w:tcW w:w="436" w:type="dxa"/>
            <w:shd w:val="clear" w:color="auto" w:fill="FFFFFF"/>
          </w:tcPr>
          <w:p w:rsidR="00C92535" w:rsidRPr="0095691A" w:rsidRDefault="00C92535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7796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կոլեգիայի որոշումների նախագծերի ներկայացումը Հանձնաժողովի կոլեգիայի քննարկմանը</w:t>
            </w:r>
          </w:p>
        </w:tc>
        <w:tc>
          <w:tcPr>
            <w:tcW w:w="3260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ապրիլի 30-ը</w:t>
            </w:r>
          </w:p>
        </w:tc>
        <w:tc>
          <w:tcPr>
            <w:tcW w:w="3189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92535" w:rsidRPr="0095691A" w:rsidTr="00032781">
        <w:tc>
          <w:tcPr>
            <w:tcW w:w="436" w:type="dxa"/>
            <w:shd w:val="clear" w:color="auto" w:fill="FFFFFF"/>
          </w:tcPr>
          <w:p w:rsidR="00C92535" w:rsidRPr="0095691A" w:rsidRDefault="00C92535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7796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խորհրդի որոշման նախագծերին հավանություն տալու մասին Հանձնաժողովի կոլեգիայի կարգադրությունների նախագծերի ներկայացումը Հանձնաժողովի կոլեգիայի քննարկմանը</w:t>
            </w:r>
          </w:p>
        </w:tc>
        <w:tc>
          <w:tcPr>
            <w:tcW w:w="3260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89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ապրիլի 20-ը</w:t>
            </w:r>
          </w:p>
        </w:tc>
      </w:tr>
      <w:tr w:rsidR="00C92535" w:rsidRPr="0095691A" w:rsidTr="00032781">
        <w:tc>
          <w:tcPr>
            <w:tcW w:w="436" w:type="dxa"/>
            <w:shd w:val="clear" w:color="auto" w:fill="FFFFFF"/>
          </w:tcPr>
          <w:p w:rsidR="00C92535" w:rsidRPr="0095691A" w:rsidRDefault="00E317AB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7796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Հանձնաժողովի կոլեգիայի կողմից </w:t>
            </w:r>
            <w:r w:rsidR="00917091" w:rsidRPr="0095691A">
              <w:rPr>
                <w:rFonts w:ascii="Sylfaen" w:hAnsi="Sylfaen"/>
                <w:sz w:val="20"/>
                <w:szCs w:val="20"/>
              </w:rPr>
              <w:t xml:space="preserve">Հանձնաժողովի </w:t>
            </w:r>
            <w:r w:rsidR="00717CA9" w:rsidRPr="0095691A">
              <w:rPr>
                <w:rFonts w:ascii="Sylfaen" w:hAnsi="Sylfaen"/>
                <w:sz w:val="20"/>
                <w:szCs w:val="20"/>
              </w:rPr>
              <w:t xml:space="preserve">խորհրդի որոշումներին հանավություն տալու մասին Հանձնաժողովի կոլեգիայի </w:t>
            </w:r>
            <w:r w:rsidR="00125C5D" w:rsidRPr="0095691A">
              <w:rPr>
                <w:rFonts w:ascii="Sylfaen" w:hAnsi="Sylfaen"/>
                <w:sz w:val="20"/>
                <w:szCs w:val="20"/>
              </w:rPr>
              <w:t>որոշ</w:t>
            </w:r>
            <w:r w:rsidR="00717CA9" w:rsidRPr="0095691A">
              <w:rPr>
                <w:rFonts w:ascii="Sylfaen" w:hAnsi="Sylfaen"/>
                <w:sz w:val="20"/>
                <w:szCs w:val="20"/>
              </w:rPr>
              <w:t xml:space="preserve">ումների նախագծերի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="00717CA9" w:rsidRPr="0095691A">
              <w:rPr>
                <w:rFonts w:ascii="Sylfaen" w:hAnsi="Sylfaen"/>
                <w:sz w:val="20"/>
                <w:szCs w:val="20"/>
              </w:rPr>
              <w:t xml:space="preserve"> Հանձնաժողովի կոլեգիայի կարգադրությունների նախագծերի քննարկումը </w:t>
            </w:r>
          </w:p>
        </w:tc>
        <w:tc>
          <w:tcPr>
            <w:tcW w:w="3260" w:type="dxa"/>
            <w:shd w:val="clear" w:color="auto" w:fill="FFFFFF"/>
          </w:tcPr>
          <w:p w:rsidR="00C92535" w:rsidRPr="0095691A" w:rsidRDefault="00C92535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մինչ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մայիսի 31-ը</w:t>
            </w:r>
          </w:p>
        </w:tc>
        <w:tc>
          <w:tcPr>
            <w:tcW w:w="3189" w:type="dxa"/>
            <w:shd w:val="clear" w:color="auto" w:fill="FFFFFF"/>
          </w:tcPr>
          <w:p w:rsidR="00C92535" w:rsidRPr="0095691A" w:rsidRDefault="00125C5D" w:rsidP="00F46431">
            <w:pPr>
              <w:pStyle w:val="Bodytext20"/>
              <w:spacing w:after="120" w:line="240" w:lineRule="auto"/>
              <w:ind w:left="75" w:right="163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92535" w:rsidRPr="0095691A" w:rsidTr="00032781">
        <w:tc>
          <w:tcPr>
            <w:tcW w:w="436" w:type="dxa"/>
            <w:shd w:val="clear" w:color="auto" w:fill="FFFFFF"/>
          </w:tcPr>
          <w:p w:rsidR="00C92535" w:rsidRPr="0095691A" w:rsidRDefault="00125C5D" w:rsidP="001E1CAE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7796" w:type="dxa"/>
            <w:shd w:val="clear" w:color="auto" w:fill="FFFFFF"/>
          </w:tcPr>
          <w:p w:rsidR="00C92535" w:rsidRPr="0095691A" w:rsidRDefault="00125C5D" w:rsidP="00F46431">
            <w:pPr>
              <w:pStyle w:val="Bodytext20"/>
              <w:spacing w:after="120" w:line="240" w:lineRule="auto"/>
              <w:ind w:right="143" w:firstLine="5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խորհրդի կողմից Հանձնաժողովի խորհրդի որոշումների նախագծերի քննարկումը</w:t>
            </w:r>
          </w:p>
        </w:tc>
        <w:tc>
          <w:tcPr>
            <w:tcW w:w="3260" w:type="dxa"/>
            <w:shd w:val="clear" w:color="auto" w:fill="FFFFFF"/>
          </w:tcPr>
          <w:p w:rsidR="00C92535" w:rsidRPr="0095691A" w:rsidRDefault="00125C5D" w:rsidP="00F46431">
            <w:pPr>
              <w:pStyle w:val="Bodytext20"/>
              <w:spacing w:after="120" w:line="240" w:lineRule="auto"/>
              <w:ind w:left="121" w:right="1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89" w:type="dxa"/>
            <w:shd w:val="clear" w:color="auto" w:fill="FFFFFF"/>
          </w:tcPr>
          <w:p w:rsidR="00C92535" w:rsidRPr="0095691A" w:rsidRDefault="00125C5D" w:rsidP="00F46431">
            <w:pPr>
              <w:pStyle w:val="Bodytext20"/>
              <w:spacing w:after="120" w:line="240" w:lineRule="auto"/>
              <w:ind w:left="121" w:right="16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հունիսի առաջին տասնօրյակ</w:t>
            </w:r>
          </w:p>
        </w:tc>
      </w:tr>
    </w:tbl>
    <w:p w:rsidR="00B570B5" w:rsidRPr="0095691A" w:rsidRDefault="00B570B5" w:rsidP="006B4F20">
      <w:pPr>
        <w:spacing w:after="160" w:line="360" w:lineRule="auto"/>
        <w:rPr>
          <w:lang w:val="en-US"/>
        </w:rPr>
        <w:sectPr w:rsidR="00B570B5" w:rsidRPr="0095691A" w:rsidSect="005D78E6">
          <w:pgSz w:w="16840" w:h="11900" w:orient="landscape"/>
          <w:pgMar w:top="1418" w:right="1418" w:bottom="1418" w:left="1418" w:header="0" w:footer="667" w:gutter="0"/>
          <w:pgNumType w:start="1"/>
          <w:cols w:space="720"/>
          <w:noEndnote/>
          <w:titlePg/>
          <w:docGrid w:linePitch="360"/>
        </w:sectPr>
      </w:pPr>
    </w:p>
    <w:p w:rsidR="004D1CBD" w:rsidRPr="0095691A" w:rsidRDefault="00125C5D" w:rsidP="00B570B5">
      <w:pPr>
        <w:pStyle w:val="Bodytext40"/>
        <w:spacing w:before="0" w:after="160" w:line="360" w:lineRule="auto"/>
        <w:ind w:left="9356"/>
        <w:jc w:val="center"/>
        <w:rPr>
          <w:rFonts w:ascii="Sylfaen" w:hAnsi="Sylfaen"/>
          <w:sz w:val="24"/>
          <w:szCs w:val="24"/>
        </w:rPr>
      </w:pPr>
      <w:r w:rsidRPr="0095691A">
        <w:rPr>
          <w:rFonts w:ascii="Sylfaen" w:hAnsi="Sylfaen"/>
          <w:sz w:val="24"/>
          <w:szCs w:val="24"/>
        </w:rPr>
        <w:lastRenderedPageBreak/>
        <w:t>ՀԱՎԵԼՎԱԾ 3</w:t>
      </w:r>
    </w:p>
    <w:p w:rsidR="004D1CBD" w:rsidRPr="0095691A" w:rsidRDefault="00125C5D" w:rsidP="00B570B5">
      <w:pPr>
        <w:pStyle w:val="Bodytext40"/>
        <w:spacing w:before="0" w:after="160" w:line="360" w:lineRule="auto"/>
        <w:ind w:left="9356"/>
        <w:jc w:val="center"/>
        <w:rPr>
          <w:rFonts w:ascii="Sylfaen" w:hAnsi="Sylfaen"/>
          <w:sz w:val="24"/>
          <w:szCs w:val="24"/>
        </w:rPr>
      </w:pPr>
      <w:r w:rsidRPr="0095691A">
        <w:rPr>
          <w:rFonts w:ascii="Sylfaen" w:hAnsi="Sylfaen"/>
          <w:sz w:val="24"/>
          <w:szCs w:val="24"/>
        </w:rPr>
        <w:t>Եվրասիական տնտեսական հանձնաժողովի խորհրդի 2017 թվականի մարտի 3-ի թիվ 11 կարգադրության</w:t>
      </w:r>
    </w:p>
    <w:p w:rsidR="0018759E" w:rsidRPr="0095691A" w:rsidRDefault="0018759E" w:rsidP="00032781">
      <w:pPr>
        <w:pStyle w:val="Heading20"/>
        <w:spacing w:before="0" w:after="0" w:line="240" w:lineRule="auto"/>
        <w:outlineLvl w:val="9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5" w:name="bookmark5"/>
    </w:p>
    <w:p w:rsidR="004D1CBD" w:rsidRPr="0095691A" w:rsidRDefault="00125C5D" w:rsidP="00B570B5">
      <w:pPr>
        <w:pStyle w:val="Heading20"/>
        <w:spacing w:before="0" w:after="160" w:line="360" w:lineRule="auto"/>
        <w:ind w:right="396"/>
        <w:outlineLvl w:val="9"/>
        <w:rPr>
          <w:rFonts w:ascii="Sylfaen" w:hAnsi="Sylfaen"/>
          <w:sz w:val="24"/>
          <w:szCs w:val="24"/>
        </w:rPr>
      </w:pPr>
      <w:r w:rsidRPr="0095691A">
        <w:rPr>
          <w:rStyle w:val="Heading2Spacing2pt"/>
          <w:rFonts w:ascii="Sylfaen" w:hAnsi="Sylfaen"/>
          <w:b/>
          <w:spacing w:val="0"/>
          <w:sz w:val="24"/>
          <w:szCs w:val="24"/>
        </w:rPr>
        <w:t>ՑԱՆԿ</w:t>
      </w:r>
      <w:bookmarkEnd w:id="5"/>
    </w:p>
    <w:p w:rsidR="004D1CBD" w:rsidRPr="0095691A" w:rsidRDefault="00125C5D" w:rsidP="00032781">
      <w:pPr>
        <w:pStyle w:val="Heading20"/>
        <w:spacing w:before="0" w:after="160" w:line="360" w:lineRule="auto"/>
        <w:ind w:left="567" w:right="396"/>
        <w:outlineLvl w:val="9"/>
        <w:rPr>
          <w:rFonts w:ascii="Sylfaen" w:hAnsi="Sylfaen"/>
          <w:sz w:val="24"/>
          <w:szCs w:val="24"/>
        </w:rPr>
      </w:pPr>
      <w:bookmarkStart w:id="6" w:name="bookmark6"/>
      <w:r w:rsidRPr="0095691A">
        <w:rPr>
          <w:rFonts w:ascii="Sylfaen" w:hAnsi="Sylfaen"/>
          <w:sz w:val="24"/>
          <w:szCs w:val="24"/>
        </w:rPr>
        <w:t>Եվրասիական տնտեսական հանձնաժողովի՝ մինչ</w:t>
      </w:r>
      <w:r w:rsidR="006B4F20" w:rsidRPr="0095691A">
        <w:rPr>
          <w:rFonts w:ascii="Sylfaen" w:hAnsi="Sylfaen"/>
          <w:sz w:val="24"/>
          <w:szCs w:val="24"/>
        </w:rPr>
        <w:t>եւ</w:t>
      </w:r>
      <w:r w:rsidRPr="0095691A">
        <w:rPr>
          <w:rFonts w:ascii="Sylfaen" w:hAnsi="Sylfaen"/>
          <w:sz w:val="24"/>
          <w:szCs w:val="24"/>
        </w:rPr>
        <w:t xml:space="preserve"> 2017 թվականի դեկտեմբերի 31-ը </w:t>
      </w:r>
      <w:r w:rsidR="00032781" w:rsidRPr="0095691A">
        <w:rPr>
          <w:rFonts w:ascii="Sylfaen" w:hAnsi="Sylfaen"/>
          <w:sz w:val="24"/>
          <w:szCs w:val="24"/>
        </w:rPr>
        <w:br/>
      </w:r>
      <w:r w:rsidRPr="0095691A">
        <w:rPr>
          <w:rFonts w:ascii="Sylfaen" w:hAnsi="Sylfaen"/>
          <w:sz w:val="24"/>
          <w:szCs w:val="24"/>
        </w:rPr>
        <w:t>ընդունման ենթակա որոշումների</w:t>
      </w:r>
      <w:bookmarkEnd w:id="6"/>
    </w:p>
    <w:tbl>
      <w:tblPr>
        <w:tblOverlap w:val="never"/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197"/>
        <w:gridCol w:w="4228"/>
        <w:gridCol w:w="10"/>
        <w:gridCol w:w="2881"/>
      </w:tblGrid>
      <w:tr w:rsidR="0018759E" w:rsidRPr="0095691A" w:rsidTr="001E1CAE">
        <w:trPr>
          <w:tblHeader/>
        </w:trPr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59E" w:rsidRPr="0095691A" w:rsidRDefault="00125C5D" w:rsidP="00032781">
            <w:pPr>
              <w:pStyle w:val="Bodytext20"/>
              <w:spacing w:after="40" w:line="240" w:lineRule="auto"/>
              <w:ind w:left="56" w:right="169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Հարցեր, որոնց վերաբերյալ նախատեսվում է Եվրասիական տնտեսական հանձնաժողովի որոշումների նախագծեր ընդունել</w:t>
            </w:r>
            <w:r w:rsidR="005D78E6" w:rsidRPr="0095691A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6"/>
              <w:sym w:font="Symbol" w:char="F02A"/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59E" w:rsidRPr="0095691A" w:rsidRDefault="00125C5D" w:rsidP="00032781">
            <w:pPr>
              <w:pStyle w:val="Bodytext20"/>
              <w:spacing w:after="40" w:line="240" w:lineRule="auto"/>
              <w:ind w:left="56" w:right="169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Եվրասիական տնտեսական հանձնաժողովի որոշումների ընդունման հիմքը (Եվրասիական տնտեսական միության մաքսային օրենսգրքի կառուցվածքային միավոր)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59E" w:rsidRPr="0095691A" w:rsidRDefault="00125C5D" w:rsidP="00032781">
            <w:pPr>
              <w:pStyle w:val="Bodytext20"/>
              <w:spacing w:after="40" w:line="240" w:lineRule="auto"/>
              <w:ind w:left="56" w:right="169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Պատասխանատու մշակողը</w:t>
            </w:r>
          </w:p>
        </w:tc>
      </w:tr>
      <w:tr w:rsidR="004D1CBD" w:rsidRPr="0095691A" w:rsidTr="003D3820"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Fonts w:ascii="Sylfaen" w:hAnsi="Sylfaen"/>
                <w:b/>
                <w:sz w:val="20"/>
                <w:szCs w:val="20"/>
              </w:rPr>
            </w:pPr>
            <w:r w:rsidRPr="0095691A">
              <w:rPr>
                <w:rStyle w:val="Bodytext2CordiaUPC2"/>
                <w:rFonts w:ascii="Sylfaen" w:hAnsi="Sylfaen"/>
                <w:b w:val="0"/>
                <w:sz w:val="20"/>
                <w:szCs w:val="20"/>
              </w:rPr>
              <w:t>1</w:t>
            </w:r>
            <w:r w:rsidRPr="0095691A">
              <w:rPr>
                <w:rStyle w:val="Bodytext295pt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125C5D" w:rsidP="003D3820">
            <w:pPr>
              <w:ind w:left="46"/>
              <w:rPr>
                <w:sz w:val="20"/>
                <w:szCs w:val="20"/>
              </w:rPr>
            </w:pPr>
            <w:r w:rsidRPr="0095691A">
              <w:rPr>
                <w:sz w:val="20"/>
                <w:szCs w:val="20"/>
              </w:rPr>
              <w:t xml:space="preserve">Եվրասիական տնտեսական միության անդամ պետությունից (այսուհետ՝ Միություն, անդամ պետություն) տարբեր այլ այն անդամ պետության տարածքում «Ժամանակավոր ներմուծում (թույլտվություն)» մաքսային ընթացակարգի գործողության ավարտի դեպքերի, պայմանների </w:t>
            </w:r>
            <w:r w:rsidR="006B4F20" w:rsidRPr="0095691A">
              <w:rPr>
                <w:sz w:val="20"/>
                <w:szCs w:val="20"/>
              </w:rPr>
              <w:t>եւ</w:t>
            </w:r>
            <w:r w:rsidRPr="0095691A">
              <w:rPr>
                <w:sz w:val="20"/>
                <w:szCs w:val="20"/>
              </w:rPr>
              <w:t xml:space="preserve"> կարգի մասին, որի մաքսային մարմնի կողմից այդ ապրանքները ձ</w:t>
            </w:r>
            <w:r w:rsidR="006B4F20" w:rsidRPr="0095691A">
              <w:rPr>
                <w:sz w:val="20"/>
                <w:szCs w:val="20"/>
              </w:rPr>
              <w:t>եւ</w:t>
            </w:r>
            <w:r w:rsidRPr="0095691A">
              <w:rPr>
                <w:sz w:val="20"/>
                <w:szCs w:val="20"/>
              </w:rPr>
              <w:t>ակերպվել են «Ժամանակավոր ներմուծում (թույլտվություն)» մաքսային ընթացակարգով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125C5D" w:rsidP="00032781">
            <w:pPr>
              <w:pStyle w:val="Bodytext20"/>
              <w:spacing w:line="240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224-րդ հոդվածի 6-րդ կետ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FFFFFF"/>
          </w:tcPr>
          <w:p w:rsidR="004D1CBD" w:rsidRPr="0095691A" w:rsidRDefault="00125C5D" w:rsidP="00032781">
            <w:pPr>
              <w:pStyle w:val="Bodytext20"/>
              <w:spacing w:line="240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4D1CBD" w:rsidRPr="0095691A" w:rsidTr="003D3820">
        <w:tc>
          <w:tcPr>
            <w:tcW w:w="426" w:type="dxa"/>
            <w:shd w:val="clear" w:color="auto" w:fill="FFFFFF"/>
          </w:tcPr>
          <w:p w:rsidR="004D1CBD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95pt"/>
                <w:rFonts w:ascii="Sylfaen" w:hAnsi="Sylfaen"/>
                <w:b w:val="0"/>
                <w:sz w:val="20"/>
                <w:szCs w:val="20"/>
              </w:rPr>
            </w:pPr>
            <w:r w:rsidRPr="0095691A">
              <w:rPr>
                <w:rStyle w:val="Bodytext295pt"/>
                <w:rFonts w:ascii="Sylfaen" w:hAnsi="Sylfaen"/>
                <w:b w:val="0"/>
                <w:bCs w:val="0"/>
                <w:sz w:val="20"/>
                <w:szCs w:val="20"/>
              </w:rPr>
              <w:t>2</w:t>
            </w:r>
            <w:r w:rsidRPr="0095691A">
              <w:rPr>
                <w:rStyle w:val="Bodytext295pt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  <w:tc>
          <w:tcPr>
            <w:tcW w:w="7197" w:type="dxa"/>
            <w:shd w:val="clear" w:color="auto" w:fill="FFFFFF"/>
          </w:tcPr>
          <w:p w:rsidR="004D1CBD" w:rsidRPr="0095691A" w:rsidRDefault="00125C5D" w:rsidP="003D3820">
            <w:pPr>
              <w:pStyle w:val="Bodytext20"/>
              <w:spacing w:after="120" w:line="240" w:lineRule="auto"/>
              <w:ind w:left="46" w:firstLine="0"/>
              <w:jc w:val="left"/>
              <w:rPr>
                <w:rStyle w:val="Bodytext295pt"/>
                <w:rFonts w:ascii="Sylfaen" w:hAnsi="Sylfaen"/>
                <w:b w:val="0"/>
                <w:sz w:val="20"/>
                <w:szCs w:val="20"/>
              </w:rPr>
            </w:pPr>
            <w:r w:rsidRPr="0095691A">
              <w:rPr>
                <w:rStyle w:val="Bodytext295pt"/>
                <w:rFonts w:ascii="Sylfaen" w:hAnsi="Sylfaen"/>
                <w:b w:val="0"/>
                <w:sz w:val="20"/>
                <w:szCs w:val="20"/>
              </w:rPr>
              <w:t>«Մաքսային տարանցում» մաքսային ընթացակարգով ձ</w:t>
            </w:r>
            <w:r w:rsidR="006B4F20" w:rsidRPr="0095691A">
              <w:rPr>
                <w:rStyle w:val="Bodytext295pt"/>
                <w:rFonts w:ascii="Sylfaen" w:hAnsi="Sylfaen"/>
                <w:b w:val="0"/>
                <w:sz w:val="20"/>
                <w:szCs w:val="20"/>
              </w:rPr>
              <w:t>եւ</w:t>
            </w:r>
            <w:r w:rsidRPr="0095691A">
              <w:rPr>
                <w:rStyle w:val="Bodytext295pt"/>
                <w:rFonts w:ascii="Sylfaen" w:hAnsi="Sylfaen"/>
                <w:b w:val="0"/>
                <w:sz w:val="20"/>
                <w:szCs w:val="20"/>
              </w:rPr>
              <w:t xml:space="preserve">ակերպված ապրանքների նկատմամբ սահմանված՝ ապրանքների փոխադրման երթուղին սահմանելու, փոփոխելու </w:t>
            </w:r>
            <w:r w:rsidR="006B4F20" w:rsidRPr="0095691A">
              <w:rPr>
                <w:rStyle w:val="Bodytext295pt"/>
                <w:rFonts w:ascii="Sylfaen" w:hAnsi="Sylfaen"/>
                <w:b w:val="0"/>
                <w:sz w:val="20"/>
                <w:szCs w:val="20"/>
              </w:rPr>
              <w:t>եւ</w:t>
            </w:r>
            <w:r w:rsidRPr="0095691A">
              <w:rPr>
                <w:rStyle w:val="Bodytext295pt"/>
                <w:rFonts w:ascii="Sylfaen" w:hAnsi="Sylfaen"/>
                <w:b w:val="0"/>
                <w:sz w:val="20"/>
                <w:szCs w:val="20"/>
              </w:rPr>
              <w:t xml:space="preserve"> պահպանելու հետ կապված մաքսային գործառնությունների կատարման կարգի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4D1CBD" w:rsidRPr="0095691A" w:rsidRDefault="00125C5D" w:rsidP="005D78E6">
            <w:pPr>
              <w:pStyle w:val="Bodytext20"/>
              <w:spacing w:after="120" w:line="240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344-րդ հոդվածի 7-րդ կետ</w:t>
            </w:r>
          </w:p>
        </w:tc>
        <w:tc>
          <w:tcPr>
            <w:tcW w:w="2881" w:type="dxa"/>
            <w:shd w:val="clear" w:color="auto" w:fill="FFFFFF"/>
          </w:tcPr>
          <w:p w:rsidR="004D1CBD" w:rsidRPr="0095691A" w:rsidRDefault="00125C5D" w:rsidP="005D78E6">
            <w:pPr>
              <w:pStyle w:val="Bodytext20"/>
              <w:spacing w:after="120" w:line="240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7197" w:type="dxa"/>
            <w:shd w:val="clear" w:color="auto" w:fill="FFFFFF"/>
            <w:vAlign w:val="center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26" w:right="100" w:firstLine="0"/>
              <w:jc w:val="left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Լիազորված տնտեսական օպերատորների ռեեստրի ձ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ը հաստատելու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431-րդ հոդվածի 1-ին կետ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4.</w:t>
            </w:r>
          </w:p>
        </w:tc>
        <w:tc>
          <w:tcPr>
            <w:tcW w:w="7197" w:type="dxa"/>
            <w:shd w:val="clear" w:color="auto" w:fill="FFFFFF"/>
            <w:vAlign w:val="center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26" w:right="-152" w:firstLine="0"/>
              <w:jc w:val="left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Լիազորված տնտեսական օպերատորների ընդհանուր ռեեստրի ձ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ը, այն ձեւավորելու եւ վարելու կարգը, ինչպես նաեւ անդամ պետությունների մաքսային մարմինների լիազորված տնտեսական օպերատորների ռեեստրներում պարունակվող տվյալները ներկայացնելու տեխնիկական պայմանները հաստատելու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431-րդ հոդվածի 2-րդ կետի երկրորդ պարբերություն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5.</w:t>
            </w:r>
          </w:p>
        </w:tc>
        <w:tc>
          <w:tcPr>
            <w:tcW w:w="7197" w:type="dxa"/>
            <w:shd w:val="clear" w:color="auto" w:fill="FFFFFF"/>
            <w:vAlign w:val="center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26" w:right="100" w:firstLine="0"/>
              <w:jc w:val="left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Անդամ պետությունների վարչական 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 քրեական օրենսդրության այն հոդվածների ընդհանուր ցանկի ձ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աչափը, որոնք վարչական 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 քրեական պատասխանատվություն են նախատեսում վարչական իրավախախտումների 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 հանցագործությունների կամ քրեական իրավախախտումների համար, որոնց կատարումն անդամ պետությունների օրենսդրությամբ սահմանվել է որպես լիազորված տնտեսական օպերատորների ցանկում ընդգրկումը մերժելու հիմք, այն ձ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ավորելու, վարելու 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 դրանում առկա տեղեկություններն օգտագործելու կարգը սահմանելու, ինչպես նա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 այդ հոդվածների մասին տեղեկատվություն ներկայացնելու կարգի 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 տեխնիկական պայմանների, այդ թվում՝ կառուցվածքի 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 xml:space="preserve"> ձ</w:t>
            </w:r>
            <w:r w:rsidR="006B4F20"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եւ</w:t>
            </w: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աչափի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433-րդ հոդվածի 2-րդ կետի երկրորդ պարբերություն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6.</w:t>
            </w:r>
          </w:p>
        </w:tc>
        <w:tc>
          <w:tcPr>
            <w:tcW w:w="7197" w:type="dxa"/>
            <w:shd w:val="clear" w:color="auto" w:fill="FFFFFF"/>
            <w:vAlign w:val="bottom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26" w:right="1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Որպես ապրանքների նույնականացման միջոցներ ճանաչվող՝ տրանսպորտային միջոցների բեռնասրահների (հատվածամասերի) կամ դրանց մասերի վրա լիազորված տնտեսական օպերատորի կողմից դրված կապարակնիքներին ներկայացվող պահանջների, ինչպես նա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մաքսային մարմինների կողմից օգտագործվող նույնականացման միջոցները լիազորված տնտեսական օպերատորների կողմից կիրառելու կարգի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դրանց ներկայացվող պահանջների մասին</w:t>
            </w:r>
          </w:p>
        </w:tc>
        <w:tc>
          <w:tcPr>
            <w:tcW w:w="4228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437-րդ հոդվածի 2-րդ կետի 6-րդ ենթակետ, 7-րդ կետ</w:t>
            </w:r>
          </w:p>
        </w:tc>
        <w:tc>
          <w:tcPr>
            <w:tcW w:w="2891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64" w:lineRule="auto"/>
              <w:ind w:left="95" w:right="14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7197" w:type="dxa"/>
            <w:shd w:val="clear" w:color="auto" w:fill="FFFFFF"/>
            <w:vAlign w:val="center"/>
          </w:tcPr>
          <w:p w:rsidR="0018759E" w:rsidRPr="0095691A" w:rsidRDefault="00125C5D" w:rsidP="005D78E6">
            <w:pPr>
              <w:pStyle w:val="Bodytext20"/>
              <w:spacing w:after="120" w:line="240" w:lineRule="auto"/>
              <w:ind w:left="46" w:right="157" w:firstLine="4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Անդամ պետություններում ապրանքների նկատմամբ կիրառվող հարկերի դրույքաչափերի ընդհանուր ցանկի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աչափը, այն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ավորելու, վարելու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դրանում առկա տվյալներն օգտագործելու կարգը, ինչպես նաեւ այդպիսի դրույքաչափերի մասին տվյալները ներկայացնելու կարգն ու տեխնիկական պայմանները, այդ թվում՝ կառուցվածքն ու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աչափը սահմանելու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53-րդ հոդվածի 4-րդ կետի երրորդ պարբերություն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8.</w:t>
            </w:r>
          </w:p>
        </w:tc>
        <w:tc>
          <w:tcPr>
            <w:tcW w:w="7197" w:type="dxa"/>
            <w:shd w:val="clear" w:color="auto" w:fill="FFFFFF"/>
            <w:vAlign w:val="center"/>
          </w:tcPr>
          <w:p w:rsidR="0018759E" w:rsidRPr="0095691A" w:rsidRDefault="00125C5D" w:rsidP="005D78E6">
            <w:pPr>
              <w:pStyle w:val="Bodytext20"/>
              <w:spacing w:after="120" w:line="240" w:lineRule="auto"/>
              <w:ind w:left="46" w:right="157" w:firstLine="4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Այն ապրանքների ցանկը հաստատելու մասին, որոնց նկատմամբ Եվրասիական տնտեսական միության մաքսային օրենսգրքի 117-րդ հոդվածով սահմանված առանձնահատկություններով՝ մաքսային մարմինների կողմից մաքսային հայտարարագրումն իրականացնելու նպատակով ընդունվում են չհավաքված կամ կազմատված՝ այդ թվում՝ չկոմպլեկտավորված կամ անավարտ վիճակում Միության մաքսային սահմանով տեղափոխվող ապրանքները դասակարգելու մասին որոշումներ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21-րդ հոդվածի 3-րդ կետի երկրորդ պարբերություն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9.</w:t>
            </w:r>
          </w:p>
        </w:tc>
        <w:tc>
          <w:tcPr>
            <w:tcW w:w="7197" w:type="dxa"/>
            <w:shd w:val="clear" w:color="auto" w:fill="FFFFFF"/>
            <w:vAlign w:val="bottom"/>
          </w:tcPr>
          <w:p w:rsidR="0018759E" w:rsidRPr="0095691A" w:rsidRDefault="00125C5D" w:rsidP="005D78E6">
            <w:pPr>
              <w:pStyle w:val="Bodytext20"/>
              <w:spacing w:after="120" w:line="240" w:lineRule="auto"/>
              <w:ind w:left="46" w:right="157" w:firstLine="4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Ապրանքների առանձին տեսակների դասակարգման վերաբերյալ Հանձնաժողովի որոշումների նախապատրաստման մասին (Եվրասիական տնտեսական հանձնաժողովի կոլեգիայի 2013 թվականի դեկտեմբերի 2-ի թիվ 284 որոշման մեջ փոփոխությունների կատարում)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22-րդ հոդվածի 5-րդ կետ</w:t>
            </w:r>
          </w:p>
        </w:tc>
        <w:tc>
          <w:tcPr>
            <w:tcW w:w="2881" w:type="dxa"/>
            <w:shd w:val="clear" w:color="auto" w:fill="FFFFFF"/>
            <w:vAlign w:val="center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10.</w:t>
            </w:r>
          </w:p>
        </w:tc>
        <w:tc>
          <w:tcPr>
            <w:tcW w:w="7197" w:type="dxa"/>
            <w:shd w:val="clear" w:color="auto" w:fill="FFFFFF"/>
            <w:vAlign w:val="center"/>
          </w:tcPr>
          <w:p w:rsidR="0018759E" w:rsidRPr="0095691A" w:rsidRDefault="00125C5D" w:rsidP="005D78E6">
            <w:pPr>
              <w:pStyle w:val="Bodytext20"/>
              <w:spacing w:after="120" w:line="240" w:lineRule="auto"/>
              <w:ind w:left="46" w:right="157" w:firstLine="4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Ապրանքների առանձին տեսակների դասակարգման վերաբերյալ Հանձնաժողովի պարզաբանումները նախապատրաստելու կարգի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22-րդ հոդվածի 6-րդ կետ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11.</w:t>
            </w:r>
          </w:p>
        </w:tc>
        <w:tc>
          <w:tcPr>
            <w:tcW w:w="7197" w:type="dxa"/>
            <w:shd w:val="clear" w:color="auto" w:fill="FFFFFF"/>
            <w:vAlign w:val="center"/>
          </w:tcPr>
          <w:p w:rsidR="0018759E" w:rsidRPr="0095691A" w:rsidRDefault="00125C5D" w:rsidP="005D78E6">
            <w:pPr>
              <w:pStyle w:val="Bodytext20"/>
              <w:spacing w:after="120" w:line="240" w:lineRule="auto"/>
              <w:ind w:left="46" w:right="157" w:firstLine="4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Ապրանքի ծագման մասին նախնական որոշման ձ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ը հաստատելու, այն լրացնելու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այդպիսի նախնական որոշման մեջ փոփոխություններ (լրացումներ) կատարելու կարգը սահմանելու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33-րդ հոդվածի 5-րդ կետ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12.</w:t>
            </w:r>
          </w:p>
        </w:tc>
        <w:tc>
          <w:tcPr>
            <w:tcW w:w="7197" w:type="dxa"/>
            <w:shd w:val="clear" w:color="auto" w:fill="FFFFFF"/>
          </w:tcPr>
          <w:p w:rsidR="0018759E" w:rsidRPr="0095691A" w:rsidRDefault="00125C5D" w:rsidP="005D78E6">
            <w:pPr>
              <w:pStyle w:val="Bodytext20"/>
              <w:spacing w:after="120" w:line="240" w:lineRule="auto"/>
              <w:ind w:left="46" w:right="157" w:firstLine="4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Միության մաքսային սահմանով անձնական օգտագործման ապրանքների տեղափոխման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անձնական օգտագործման ապրանքների նկատմամբ մաքսատուրքերի, հարկերի կիրառման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256-րդ հոդվածի 5-րդ կետ, 6-րդ կետի 2-րդ ենթակետ, 260-րդ հոդվածի 11-րդ կետ, 266-րդ հոդվածի 6-րդ կետի առաջին պարբերություն, 8-րդ կետի առաջին պարբերություն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95" w:right="227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7197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left="46" w:right="157" w:firstLine="4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Անձնական օգտագործման տրանսպորտային միջոցների մասին</w:t>
            </w:r>
          </w:p>
        </w:tc>
        <w:tc>
          <w:tcPr>
            <w:tcW w:w="4238" w:type="dxa"/>
            <w:gridSpan w:val="2"/>
            <w:shd w:val="clear" w:color="auto" w:fill="FFFFFF"/>
            <w:vAlign w:val="center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266-րդ հոդվածի 12-րդ կետի երրորդ պարբերություն</w:t>
            </w:r>
          </w:p>
        </w:tc>
        <w:tc>
          <w:tcPr>
            <w:tcW w:w="2881" w:type="dxa"/>
            <w:shd w:val="clear" w:color="auto" w:fill="FFFFFF"/>
            <w:vAlign w:val="center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18759E" w:rsidRPr="0095691A" w:rsidTr="003D3820">
        <w:tc>
          <w:tcPr>
            <w:tcW w:w="426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14.</w:t>
            </w:r>
          </w:p>
        </w:tc>
        <w:tc>
          <w:tcPr>
            <w:tcW w:w="7197" w:type="dxa"/>
            <w:shd w:val="clear" w:color="auto" w:fill="FFFFFF"/>
          </w:tcPr>
          <w:p w:rsidR="0018759E" w:rsidRPr="0095691A" w:rsidRDefault="00125C5D" w:rsidP="003D3820">
            <w:pPr>
              <w:pStyle w:val="Bodytext20"/>
              <w:spacing w:after="120" w:line="240" w:lineRule="auto"/>
              <w:ind w:right="157" w:firstLine="16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Միության մաքսային տարածքից արտահանվող ապրանքների ծագումը որոշելու կանոնները հաստատելու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28-րդ հոդվածի 2-րդ կետ</w:t>
            </w:r>
          </w:p>
        </w:tc>
        <w:tc>
          <w:tcPr>
            <w:tcW w:w="2881" w:type="dxa"/>
            <w:shd w:val="clear" w:color="auto" w:fill="FFFFFF"/>
          </w:tcPr>
          <w:p w:rsidR="0018759E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4941CD" w:rsidRPr="0095691A" w:rsidTr="003D3820">
        <w:tc>
          <w:tcPr>
            <w:tcW w:w="426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15.</w:t>
            </w:r>
          </w:p>
        </w:tc>
        <w:tc>
          <w:tcPr>
            <w:tcW w:w="7197" w:type="dxa"/>
            <w:shd w:val="clear" w:color="auto" w:fill="FFFFFF"/>
          </w:tcPr>
          <w:p w:rsidR="004941CD" w:rsidRPr="0095691A" w:rsidRDefault="00125C5D" w:rsidP="003D3820">
            <w:pPr>
              <w:pStyle w:val="Bodytext20"/>
              <w:spacing w:after="120" w:line="240" w:lineRule="auto"/>
              <w:ind w:right="157" w:firstLine="16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 xml:space="preserve">Այն դեպքերը սահմանելու մասին, երբ Միության անդամներ չհանդիսացող պետությունների տարածքներով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(կամ) ծովով Միության մաքսային տարածքի մի մասից Միության մաքսային տարածքի մեկ այլ մաս փոխադրվող (տրանսպորտով փոխադրվող) ապրանքները կորցնում են Միության ապրանքների կարգավիճակը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>, Միության մաքսային տարածք ներմուծելիս, դիտարկվում որպես օտարերկրյա ապրանքներ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304-րդ հոդվածի 17-րդ կետ</w:t>
            </w:r>
          </w:p>
        </w:tc>
        <w:tc>
          <w:tcPr>
            <w:tcW w:w="2881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</w:tr>
      <w:tr w:rsidR="004941CD" w:rsidRPr="0095691A" w:rsidTr="003D3820">
        <w:tc>
          <w:tcPr>
            <w:tcW w:w="426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16.</w:t>
            </w:r>
          </w:p>
        </w:tc>
        <w:tc>
          <w:tcPr>
            <w:tcW w:w="7197" w:type="dxa"/>
            <w:shd w:val="clear" w:color="auto" w:fill="FFFFFF"/>
          </w:tcPr>
          <w:p w:rsidR="004941CD" w:rsidRPr="0095691A" w:rsidRDefault="00125C5D" w:rsidP="003D3820">
            <w:pPr>
              <w:pStyle w:val="Bodytext20"/>
              <w:spacing w:after="120" w:line="240" w:lineRule="auto"/>
              <w:ind w:right="157" w:firstLine="16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Ուղ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որների մաքսային հայտարարագրում հայտարարագրված տեղեկությունները հաստատելու համար կանխիկ դրամական միջոցների </w:t>
            </w:r>
            <w:r w:rsidR="006B4F20" w:rsidRPr="0095691A">
              <w:rPr>
                <w:rFonts w:ascii="Sylfaen" w:hAnsi="Sylfaen"/>
                <w:sz w:val="20"/>
                <w:szCs w:val="20"/>
              </w:rPr>
              <w:t>եւ</w:t>
            </w:r>
            <w:r w:rsidRPr="0095691A">
              <w:rPr>
                <w:rFonts w:ascii="Sylfaen" w:hAnsi="Sylfaen"/>
                <w:sz w:val="20"/>
                <w:szCs w:val="20"/>
              </w:rPr>
              <w:t xml:space="preserve"> (կամ) դրամական գործիքների ծագումը հաստատող փաստաթղթերի ներկայացման դեպքերը սահմանելու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261–րդ հոդվածի 1–ին կետի 9-րդ ենթակետ</w:t>
            </w:r>
          </w:p>
        </w:tc>
        <w:tc>
          <w:tcPr>
            <w:tcW w:w="2881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4941CD" w:rsidRPr="0095691A" w:rsidTr="003D3820">
        <w:tc>
          <w:tcPr>
            <w:tcW w:w="426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17.</w:t>
            </w:r>
          </w:p>
        </w:tc>
        <w:tc>
          <w:tcPr>
            <w:tcW w:w="7197" w:type="dxa"/>
            <w:shd w:val="clear" w:color="auto" w:fill="FFFFFF"/>
          </w:tcPr>
          <w:p w:rsidR="004941CD" w:rsidRPr="0095691A" w:rsidRDefault="00125C5D" w:rsidP="003D3820">
            <w:pPr>
              <w:pStyle w:val="Bodytext20"/>
              <w:spacing w:after="120" w:line="240" w:lineRule="auto"/>
              <w:ind w:right="157" w:firstLine="16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Մաքսային միության հանձնաժողովի 2010 թվականի մայիսի 20-ի թիվ 257 որոշման մեջ փոփոխություններ կատարելու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հոդված 117</w:t>
            </w:r>
          </w:p>
        </w:tc>
        <w:tc>
          <w:tcPr>
            <w:tcW w:w="2881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4941CD" w:rsidRPr="005D78E6" w:rsidTr="00032781">
        <w:tc>
          <w:tcPr>
            <w:tcW w:w="426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firstLine="0"/>
              <w:rPr>
                <w:rStyle w:val="Bodytext2CordiaUPC3"/>
                <w:rFonts w:ascii="Sylfaen" w:hAnsi="Sylfaen"/>
                <w:bCs/>
                <w:sz w:val="20"/>
                <w:szCs w:val="20"/>
              </w:rPr>
            </w:pPr>
            <w:r w:rsidRPr="0095691A">
              <w:rPr>
                <w:rStyle w:val="Bodytext2CordiaUPC3"/>
                <w:rFonts w:ascii="Sylfaen" w:hAnsi="Sylfaen"/>
                <w:bCs/>
                <w:sz w:val="20"/>
                <w:szCs w:val="20"/>
              </w:rPr>
              <w:t>18.</w:t>
            </w:r>
          </w:p>
        </w:tc>
        <w:tc>
          <w:tcPr>
            <w:tcW w:w="7197" w:type="dxa"/>
            <w:shd w:val="clear" w:color="auto" w:fill="FFFFFF"/>
          </w:tcPr>
          <w:p w:rsidR="004941CD" w:rsidRPr="0095691A" w:rsidRDefault="00125C5D" w:rsidP="00032781">
            <w:pPr>
              <w:pStyle w:val="Bodytext20"/>
              <w:spacing w:after="120" w:line="240" w:lineRule="auto"/>
              <w:ind w:right="157" w:firstLine="16"/>
              <w:jc w:val="left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Հանձնաժողովի ակտերը Եվրասիական տնտեսական միության Մաքսային օրենսգրքին համապատասխանեցնելու մասին</w:t>
            </w:r>
          </w:p>
        </w:tc>
        <w:tc>
          <w:tcPr>
            <w:tcW w:w="4238" w:type="dxa"/>
            <w:gridSpan w:val="2"/>
            <w:shd w:val="clear" w:color="auto" w:fill="FFFFFF"/>
          </w:tcPr>
          <w:p w:rsidR="004941CD" w:rsidRPr="0095691A" w:rsidRDefault="004941CD" w:rsidP="00032781">
            <w:pPr>
              <w:spacing w:after="120"/>
              <w:ind w:left="74" w:right="112"/>
              <w:rPr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FFFFFF"/>
          </w:tcPr>
          <w:p w:rsidR="004941CD" w:rsidRPr="005D78E6" w:rsidRDefault="00125C5D" w:rsidP="00032781">
            <w:pPr>
              <w:pStyle w:val="Bodytext20"/>
              <w:spacing w:after="120" w:line="240" w:lineRule="auto"/>
              <w:ind w:left="74" w:right="112" w:firstLine="0"/>
              <w:rPr>
                <w:rFonts w:ascii="Sylfaen" w:hAnsi="Sylfaen"/>
                <w:sz w:val="20"/>
                <w:szCs w:val="20"/>
              </w:rPr>
            </w:pPr>
            <w:r w:rsidRPr="0095691A">
              <w:rPr>
                <w:rFonts w:ascii="Sylfaen" w:hAnsi="Sylfaen"/>
                <w:sz w:val="20"/>
                <w:szCs w:val="20"/>
              </w:rPr>
              <w:t>Հանձնաժողով</w:t>
            </w:r>
          </w:p>
        </w:tc>
      </w:tr>
    </w:tbl>
    <w:p w:rsidR="008802B0" w:rsidRPr="006B4F20" w:rsidRDefault="008802B0" w:rsidP="006B4F20">
      <w:pPr>
        <w:pStyle w:val="Footnote0"/>
        <w:spacing w:after="160" w:line="360" w:lineRule="auto"/>
        <w:rPr>
          <w:rFonts w:ascii="Sylfaen" w:hAnsi="Sylfaen"/>
          <w:sz w:val="24"/>
          <w:szCs w:val="24"/>
        </w:rPr>
      </w:pPr>
    </w:p>
    <w:sectPr w:rsidR="008802B0" w:rsidRPr="006B4F20" w:rsidSect="005D78E6">
      <w:pgSz w:w="16840" w:h="11900" w:orient="landscape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AD" w:rsidRDefault="00FA39AD" w:rsidP="004D1CBD">
      <w:r>
        <w:separator/>
      </w:r>
    </w:p>
  </w:endnote>
  <w:endnote w:type="continuationSeparator" w:id="0">
    <w:p w:rsidR="00FA39AD" w:rsidRDefault="00FA39AD" w:rsidP="004D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032"/>
      <w:docPartObj>
        <w:docPartGallery w:val="Page Numbers (Bottom of Page)"/>
        <w:docPartUnique/>
      </w:docPartObj>
    </w:sdtPr>
    <w:sdtEndPr/>
    <w:sdtContent>
      <w:p w:rsidR="005D78E6" w:rsidRDefault="00860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AD" w:rsidRDefault="00FA39AD">
      <w:r>
        <w:separator/>
      </w:r>
    </w:p>
  </w:footnote>
  <w:footnote w:type="continuationSeparator" w:id="0">
    <w:p w:rsidR="00FA39AD" w:rsidRDefault="00FA39AD">
      <w:r>
        <w:continuationSeparator/>
      </w:r>
    </w:p>
  </w:footnote>
  <w:footnote w:id="1">
    <w:p w:rsidR="00AB1432" w:rsidRDefault="00AB1432">
      <w:pPr>
        <w:pStyle w:val="FootnoteText"/>
      </w:pPr>
      <w:r w:rsidRPr="00AB1432">
        <w:rPr>
          <w:rStyle w:val="FootnoteReference"/>
        </w:rPr>
        <w:sym w:font="Symbol" w:char="F02A"/>
      </w:r>
      <w:r>
        <w:t xml:space="preserve"> </w:t>
      </w:r>
      <w:r w:rsidRPr="006B4F20">
        <w:t>Կարող են կարգավորվել Հանձնաժողովի մեկ կամ մի քանի որոշումներով:</w:t>
      </w:r>
    </w:p>
  </w:footnote>
  <w:footnote w:id="2">
    <w:p w:rsidR="00F46431" w:rsidRPr="00F46431" w:rsidRDefault="00F46431" w:rsidP="00032781">
      <w:pPr>
        <w:pStyle w:val="FootnoteText"/>
        <w:jc w:val="both"/>
      </w:pPr>
      <w:r w:rsidRPr="00F46431">
        <w:rPr>
          <w:rStyle w:val="FootnoteReference"/>
        </w:rPr>
        <w:sym w:font="Symbol" w:char="F02A"/>
      </w:r>
      <w:r>
        <w:t xml:space="preserve"> </w:t>
      </w:r>
      <w:r w:rsidRPr="00F46431">
        <w:t>Գործողությունը չի տարածվում Եվրասիական տնտեսական հանձնաժողովի խորհրդի 2017 թվականի մարտի 3-ի թիվ 11 կարգադրության թիվ 1 հավելվածի 11-րդ, 14-րդ, 20-րդ եւ 22-րդ կետերով նախատեսված՝ Հանձնաժողովի որոշումների վրա, որոնք ներկայացվում են Հանձնաժողովի կոլեգիայի քննարկմանը՝ համապատասխանաբար՝ Եվրասիական տնտեսական հանձնաժողովի խորհրդի 2017 թվականի մարտի 3-ի թիվ 11 կարգադրության թիվ 1 հավելվածի 10-րդ, 13-րդ, 19-րդ եւ 21-րդ կետերով նախատեսված որոշումների նախագծերը Հանձնաժողովի կոլեգիայի քննարկմանը ներկայացնելու օրվանից 14 օրացուցային օրը լրանալուց հետո</w:t>
      </w:r>
    </w:p>
  </w:footnote>
  <w:footnote w:id="3">
    <w:p w:rsidR="00B570B5" w:rsidRPr="00B570B5" w:rsidRDefault="00B570B5">
      <w:pPr>
        <w:pStyle w:val="FootnoteText"/>
      </w:pPr>
      <w:r w:rsidRPr="00B570B5">
        <w:rPr>
          <w:rStyle w:val="FootnoteReference"/>
        </w:rPr>
        <w:sym w:font="Symbol" w:char="F02A"/>
      </w:r>
      <w:r w:rsidRPr="00B570B5">
        <w:rPr>
          <w:rStyle w:val="FootnoteReference"/>
        </w:rPr>
        <w:sym w:font="Symbol" w:char="F02A"/>
      </w:r>
      <w:r w:rsidRPr="00F46431">
        <w:t>Հաշվի առնելով, որ «Եվրասիական տնտեսական միության մաքսային օրենսգրքի մասին» պայմանագիրն ուժի մեջ է մտնում 2017 թվականի հուլիսի 1-ից</w:t>
      </w:r>
    </w:p>
  </w:footnote>
  <w:footnote w:id="4">
    <w:p w:rsidR="00B570B5" w:rsidRPr="00B570B5" w:rsidRDefault="00B570B5" w:rsidP="00B570B5">
      <w:pPr>
        <w:pStyle w:val="FootnoteText"/>
        <w:jc w:val="both"/>
      </w:pPr>
      <w:r w:rsidRPr="00B570B5">
        <w:rPr>
          <w:rStyle w:val="FootnoteReference"/>
        </w:rPr>
        <w:sym w:font="Symbol" w:char="F02A"/>
      </w:r>
      <w:r w:rsidRPr="00B570B5">
        <w:rPr>
          <w:rStyle w:val="FootnoteReference"/>
        </w:rPr>
        <w:sym w:font="Symbol" w:char="F02A"/>
      </w:r>
      <w:r w:rsidRPr="00B570B5">
        <w:rPr>
          <w:rStyle w:val="FootnoteReference"/>
        </w:rPr>
        <w:sym w:font="Symbol" w:char="F02A"/>
      </w:r>
      <w:r w:rsidRPr="00B570B5">
        <w:t xml:space="preserve"> Հանձնաժողովի որոշման կարգավորող ազդեցությունը գնահատելու կամ այն հանրային քննարկման համար նախնական հրապարակման ուղարկելու հարցը որոշվելու է Հանձնաժողովի յուրաքանչյուր որոշում մշակելուց հետո՝ Եվրասիական տնտեսական բարձրագույն խորհրդի 2014 թվականի դեկտեմբերի 23-ի թիվ 98 որոշմամբ հաստատված՝ Եվրասիական տնտեսական հանձնաժողովի աշխատանքի կանոնակարգին համապատասխան, իսկ դրա մասին տեղեկատվությունը կնշվի Հանձնաժողովի գրության մեջ, որով որոշման նախագիծը համաձայնեցման համար կուղարկվի անդամ պետություններ:</w:t>
      </w:r>
    </w:p>
  </w:footnote>
  <w:footnote w:id="5">
    <w:p w:rsidR="00B570B5" w:rsidRPr="00B570B5" w:rsidRDefault="00B570B5" w:rsidP="00B570B5">
      <w:pPr>
        <w:pStyle w:val="FootnoteText"/>
        <w:jc w:val="both"/>
      </w:pPr>
      <w:r w:rsidRPr="00B570B5">
        <w:rPr>
          <w:rStyle w:val="FootnoteReference"/>
        </w:rPr>
        <w:sym w:font="Symbol" w:char="F02A"/>
      </w:r>
      <w:r w:rsidRPr="00B570B5">
        <w:rPr>
          <w:rStyle w:val="FootnoteReference"/>
        </w:rPr>
        <w:sym w:font="Symbol" w:char="F02A"/>
      </w:r>
      <w:r w:rsidRPr="00B570B5">
        <w:rPr>
          <w:rStyle w:val="FootnoteReference"/>
        </w:rPr>
        <w:sym w:font="Symbol" w:char="F02A"/>
      </w:r>
      <w:r w:rsidRPr="00B570B5">
        <w:rPr>
          <w:rStyle w:val="FootnoteReference"/>
        </w:rPr>
        <w:sym w:font="Symbol" w:char="F02A"/>
      </w:r>
      <w:r w:rsidRPr="00B570B5">
        <w:t xml:space="preserve"> Նշվում է 2016 թվականի դեկտեմբերի 21-ին տեղի ունեցած՝ Հանձնաժողովի խորհրդի կարգադրության համապատասխան անցկացվող միջոցառումների կատարման փաստացի ժամկետը</w:t>
      </w:r>
    </w:p>
  </w:footnote>
  <w:footnote w:id="6">
    <w:p w:rsidR="005D78E6" w:rsidRPr="005D78E6" w:rsidRDefault="005D78E6" w:rsidP="005D78E6">
      <w:pPr>
        <w:pStyle w:val="FootnoteText"/>
        <w:jc w:val="both"/>
      </w:pPr>
      <w:r w:rsidRPr="005D78E6">
        <w:rPr>
          <w:rStyle w:val="FootnoteReference"/>
        </w:rPr>
        <w:sym w:font="Symbol" w:char="F02A"/>
      </w:r>
      <w:r w:rsidRPr="005D78E6">
        <w:t xml:space="preserve"> Կարող են կարգավորվել Հանձնաժողովի մեկ կամ մի քանի որոշումներով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45E"/>
    <w:multiLevelType w:val="multilevel"/>
    <w:tmpl w:val="C8CE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67283"/>
    <w:multiLevelType w:val="hybridMultilevel"/>
    <w:tmpl w:val="604CA080"/>
    <w:lvl w:ilvl="0" w:tplc="6E96FD62">
      <w:start w:val="1"/>
      <w:numFmt w:val="decimal"/>
      <w:lvlText w:val="%1."/>
      <w:lvlJc w:val="left"/>
      <w:pPr>
        <w:ind w:left="-7" w:hanging="360"/>
      </w:pPr>
      <w:rPr>
        <w:rFonts w:eastAsia="Trebuchet MS"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713" w:hanging="360"/>
      </w:pPr>
    </w:lvl>
    <w:lvl w:ilvl="2" w:tplc="0409001B" w:tentative="1">
      <w:start w:val="1"/>
      <w:numFmt w:val="lowerRoman"/>
      <w:lvlText w:val="%3."/>
      <w:lvlJc w:val="right"/>
      <w:pPr>
        <w:ind w:left="1433" w:hanging="180"/>
      </w:pPr>
    </w:lvl>
    <w:lvl w:ilvl="3" w:tplc="0409000F" w:tentative="1">
      <w:start w:val="1"/>
      <w:numFmt w:val="decimal"/>
      <w:lvlText w:val="%4."/>
      <w:lvlJc w:val="left"/>
      <w:pPr>
        <w:ind w:left="2153" w:hanging="360"/>
      </w:pPr>
    </w:lvl>
    <w:lvl w:ilvl="4" w:tplc="04090019" w:tentative="1">
      <w:start w:val="1"/>
      <w:numFmt w:val="lowerLetter"/>
      <w:lvlText w:val="%5."/>
      <w:lvlJc w:val="left"/>
      <w:pPr>
        <w:ind w:left="2873" w:hanging="360"/>
      </w:pPr>
    </w:lvl>
    <w:lvl w:ilvl="5" w:tplc="0409001B" w:tentative="1">
      <w:start w:val="1"/>
      <w:numFmt w:val="lowerRoman"/>
      <w:lvlText w:val="%6."/>
      <w:lvlJc w:val="right"/>
      <w:pPr>
        <w:ind w:left="3593" w:hanging="180"/>
      </w:pPr>
    </w:lvl>
    <w:lvl w:ilvl="6" w:tplc="0409000F" w:tentative="1">
      <w:start w:val="1"/>
      <w:numFmt w:val="decimal"/>
      <w:lvlText w:val="%7."/>
      <w:lvlJc w:val="left"/>
      <w:pPr>
        <w:ind w:left="4313" w:hanging="360"/>
      </w:pPr>
    </w:lvl>
    <w:lvl w:ilvl="7" w:tplc="04090019" w:tentative="1">
      <w:start w:val="1"/>
      <w:numFmt w:val="lowerLetter"/>
      <w:lvlText w:val="%8."/>
      <w:lvlJc w:val="left"/>
      <w:pPr>
        <w:ind w:left="5033" w:hanging="360"/>
      </w:pPr>
    </w:lvl>
    <w:lvl w:ilvl="8" w:tplc="0409001B" w:tentative="1">
      <w:start w:val="1"/>
      <w:numFmt w:val="lowerRoman"/>
      <w:lvlText w:val="%9."/>
      <w:lvlJc w:val="right"/>
      <w:pPr>
        <w:ind w:left="57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BD"/>
    <w:rsid w:val="00006180"/>
    <w:rsid w:val="00032781"/>
    <w:rsid w:val="00054D63"/>
    <w:rsid w:val="000932B6"/>
    <w:rsid w:val="000C14B8"/>
    <w:rsid w:val="00125C5D"/>
    <w:rsid w:val="00134141"/>
    <w:rsid w:val="0015058D"/>
    <w:rsid w:val="00155C37"/>
    <w:rsid w:val="00166BFB"/>
    <w:rsid w:val="00186929"/>
    <w:rsid w:val="0018759E"/>
    <w:rsid w:val="00190914"/>
    <w:rsid w:val="001A1209"/>
    <w:rsid w:val="001E1CAE"/>
    <w:rsid w:val="001E6A55"/>
    <w:rsid w:val="00214148"/>
    <w:rsid w:val="002215C2"/>
    <w:rsid w:val="002269B5"/>
    <w:rsid w:val="002570CB"/>
    <w:rsid w:val="00267D6F"/>
    <w:rsid w:val="00271CC0"/>
    <w:rsid w:val="00285EB4"/>
    <w:rsid w:val="002904B1"/>
    <w:rsid w:val="00295BB7"/>
    <w:rsid w:val="002E38D8"/>
    <w:rsid w:val="00383B65"/>
    <w:rsid w:val="003B769E"/>
    <w:rsid w:val="003D3820"/>
    <w:rsid w:val="00451AA7"/>
    <w:rsid w:val="004941CD"/>
    <w:rsid w:val="004D1CBD"/>
    <w:rsid w:val="005C058D"/>
    <w:rsid w:val="005D78E6"/>
    <w:rsid w:val="00661D34"/>
    <w:rsid w:val="00662DCD"/>
    <w:rsid w:val="00666BA6"/>
    <w:rsid w:val="00677835"/>
    <w:rsid w:val="006965E7"/>
    <w:rsid w:val="0069734A"/>
    <w:rsid w:val="006B0247"/>
    <w:rsid w:val="006B37E7"/>
    <w:rsid w:val="006B4F20"/>
    <w:rsid w:val="006D07B8"/>
    <w:rsid w:val="006E47F2"/>
    <w:rsid w:val="006F10A3"/>
    <w:rsid w:val="00717CA9"/>
    <w:rsid w:val="00722876"/>
    <w:rsid w:val="007414B0"/>
    <w:rsid w:val="0076265C"/>
    <w:rsid w:val="00783E29"/>
    <w:rsid w:val="007B75CD"/>
    <w:rsid w:val="007C48CC"/>
    <w:rsid w:val="007D5193"/>
    <w:rsid w:val="007F1E2F"/>
    <w:rsid w:val="00825EC3"/>
    <w:rsid w:val="00860393"/>
    <w:rsid w:val="008603E9"/>
    <w:rsid w:val="008802B0"/>
    <w:rsid w:val="008B12F6"/>
    <w:rsid w:val="008B3100"/>
    <w:rsid w:val="008E294D"/>
    <w:rsid w:val="00917091"/>
    <w:rsid w:val="009240FE"/>
    <w:rsid w:val="0095691A"/>
    <w:rsid w:val="009925A0"/>
    <w:rsid w:val="009F7CA3"/>
    <w:rsid w:val="00A0530F"/>
    <w:rsid w:val="00A20937"/>
    <w:rsid w:val="00A211EA"/>
    <w:rsid w:val="00A65146"/>
    <w:rsid w:val="00A7098A"/>
    <w:rsid w:val="00A86BA6"/>
    <w:rsid w:val="00AA6487"/>
    <w:rsid w:val="00AB1432"/>
    <w:rsid w:val="00AC780A"/>
    <w:rsid w:val="00AE31F7"/>
    <w:rsid w:val="00B521F7"/>
    <w:rsid w:val="00B570B5"/>
    <w:rsid w:val="00B62210"/>
    <w:rsid w:val="00B65456"/>
    <w:rsid w:val="00BA68C0"/>
    <w:rsid w:val="00BC57B2"/>
    <w:rsid w:val="00BC6C32"/>
    <w:rsid w:val="00C2181D"/>
    <w:rsid w:val="00C22999"/>
    <w:rsid w:val="00C31450"/>
    <w:rsid w:val="00C60967"/>
    <w:rsid w:val="00C731EA"/>
    <w:rsid w:val="00C75DF9"/>
    <w:rsid w:val="00C86D11"/>
    <w:rsid w:val="00C92535"/>
    <w:rsid w:val="00C93F16"/>
    <w:rsid w:val="00CA6F5C"/>
    <w:rsid w:val="00CE62F5"/>
    <w:rsid w:val="00D003E9"/>
    <w:rsid w:val="00D0716B"/>
    <w:rsid w:val="00D32C71"/>
    <w:rsid w:val="00D422A1"/>
    <w:rsid w:val="00D8289D"/>
    <w:rsid w:val="00DB5363"/>
    <w:rsid w:val="00DB6631"/>
    <w:rsid w:val="00DE3ED2"/>
    <w:rsid w:val="00DF0488"/>
    <w:rsid w:val="00E04FEA"/>
    <w:rsid w:val="00E07802"/>
    <w:rsid w:val="00E17081"/>
    <w:rsid w:val="00E317AB"/>
    <w:rsid w:val="00E46DE6"/>
    <w:rsid w:val="00E57EB4"/>
    <w:rsid w:val="00E64FEC"/>
    <w:rsid w:val="00E71E56"/>
    <w:rsid w:val="00F334E2"/>
    <w:rsid w:val="00F37FBC"/>
    <w:rsid w:val="00F46431"/>
    <w:rsid w:val="00F52F8E"/>
    <w:rsid w:val="00F62F90"/>
    <w:rsid w:val="00F65712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C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CB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rebuchetMS">
    <w:name w:val="Body text (2) + Trebuchet MS"/>
    <w:aliases w:val="12 pt"/>
    <w:basedOn w:val="Bodytext2"/>
    <w:rsid w:val="004D1C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95pt">
    <w:name w:val="Body text (2) + 9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CordiaUPC">
    <w:name w:val="Body text (2) + CordiaUPC"/>
    <w:aliases w:val="17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85pt">
    <w:name w:val="Body text (2) + 8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CordiaUPC0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CordiaUPC1">
    <w:name w:val="Body text (2) + CordiaUPC"/>
    <w:aliases w:val="24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hy-AM" w:eastAsia="hy-AM" w:bidi="hy-AM"/>
    </w:rPr>
  </w:style>
  <w:style w:type="character" w:customStyle="1" w:styleId="Bodytext2CordiaUPC2">
    <w:name w:val="Body text (2) + CordiaUPC"/>
    <w:aliases w:val="18 pt,Bold,Body text (2) + 13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CordiaUPC3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4D1CBD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rsid w:val="004D1CB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D1CB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4D1CBD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D1CBD"/>
    <w:pPr>
      <w:shd w:val="clear" w:color="auto" w:fill="FFFFFF"/>
      <w:spacing w:line="299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4D1CB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4D1CB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4D1CB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F334E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B7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5B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8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CA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7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A3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EB4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43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4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C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CB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rebuchetMS">
    <w:name w:val="Body text (2) + Trebuchet MS"/>
    <w:aliases w:val="12 pt"/>
    <w:basedOn w:val="Bodytext2"/>
    <w:rsid w:val="004D1C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95pt">
    <w:name w:val="Body text (2) + 9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CordiaUPC">
    <w:name w:val="Body text (2) + CordiaUPC"/>
    <w:aliases w:val="17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85pt">
    <w:name w:val="Body text (2) + 8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CordiaUPC0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CordiaUPC1">
    <w:name w:val="Body text (2) + CordiaUPC"/>
    <w:aliases w:val="24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hy-AM" w:eastAsia="hy-AM" w:bidi="hy-AM"/>
    </w:rPr>
  </w:style>
  <w:style w:type="character" w:customStyle="1" w:styleId="Bodytext2CordiaUPC2">
    <w:name w:val="Body text (2) + CordiaUPC"/>
    <w:aliases w:val="18 pt,Bold,Body text (2) + 13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CordiaUPC3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4D1CBD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rsid w:val="004D1CB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D1CB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4D1CBD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D1CBD"/>
    <w:pPr>
      <w:shd w:val="clear" w:color="auto" w:fill="FFFFFF"/>
      <w:spacing w:line="299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4D1CB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4D1CB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4D1CB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F334E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B7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5B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8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CA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7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A3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EB4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43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E6D8-0C2A-4975-AD68-A442825B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2018-08-24T06:49:00Z</dcterms:created>
  <dcterms:modified xsi:type="dcterms:W3CDTF">2018-08-24T06:49:00Z</dcterms:modified>
</cp:coreProperties>
</file>