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12479">
        <w:rPr>
          <w:rFonts w:ascii="Sylfaen" w:hAnsi="Sylfaen"/>
          <w:sz w:val="24"/>
          <w:szCs w:val="24"/>
        </w:rPr>
        <w:t>ՀԱՎԵԼՎԱԾ</w:t>
      </w:r>
      <w:r w:rsidR="004F0BB5" w:rsidRPr="004F0BB5">
        <w:rPr>
          <w:rFonts w:ascii="Sylfaen" w:hAnsi="Sylfaen"/>
          <w:sz w:val="24"/>
          <w:szCs w:val="24"/>
        </w:rPr>
        <w:br/>
      </w:r>
      <w:r w:rsidRPr="0031247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F0BB5" w:rsidRPr="004F0BB5">
        <w:rPr>
          <w:rFonts w:ascii="Sylfaen" w:hAnsi="Sylfaen"/>
          <w:sz w:val="24"/>
          <w:szCs w:val="24"/>
        </w:rPr>
        <w:br/>
      </w:r>
      <w:r w:rsidR="004F0BB5">
        <w:rPr>
          <w:rFonts w:ascii="Sylfaen" w:hAnsi="Sylfaen"/>
          <w:sz w:val="24"/>
          <w:szCs w:val="24"/>
        </w:rPr>
        <w:t>2016 թվականի նոյեմբերի 29-ի</w:t>
      </w:r>
      <w:r w:rsidR="004F0BB5" w:rsidRPr="004F0BB5">
        <w:rPr>
          <w:rFonts w:ascii="Sylfaen" w:hAnsi="Sylfaen"/>
          <w:sz w:val="24"/>
          <w:szCs w:val="24"/>
        </w:rPr>
        <w:br/>
      </w:r>
      <w:r w:rsidRPr="00312479">
        <w:rPr>
          <w:rFonts w:ascii="Sylfaen" w:hAnsi="Sylfaen"/>
          <w:sz w:val="24"/>
          <w:szCs w:val="24"/>
        </w:rPr>
        <w:t>թիվ 23 հանձնարարականի</w:t>
      </w:r>
    </w:p>
    <w:p w:rsidR="00E73B5D" w:rsidRPr="00312479" w:rsidRDefault="00E73B5D" w:rsidP="00312479">
      <w:pPr>
        <w:pStyle w:val="Bodytext30"/>
        <w:shd w:val="clear" w:color="auto" w:fill="auto"/>
        <w:spacing w:after="160" w:line="360" w:lineRule="auto"/>
        <w:ind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881C58" w:rsidRPr="00312479" w:rsidRDefault="00161461" w:rsidP="00312479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312479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881C58" w:rsidRPr="00312479" w:rsidRDefault="00161461" w:rsidP="002457BE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 պարզաբանումներում կատարվող</w:t>
      </w:r>
    </w:p>
    <w:p w:rsidR="00E73B5D" w:rsidRPr="00312479" w:rsidRDefault="00E73B5D" w:rsidP="00312479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881C58" w:rsidRPr="00312479" w:rsidRDefault="002457BE" w:rsidP="00296B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2457BE">
        <w:rPr>
          <w:rFonts w:ascii="Sylfaen" w:hAnsi="Sylfaen"/>
          <w:sz w:val="24"/>
          <w:szCs w:val="24"/>
        </w:rPr>
        <w:tab/>
      </w:r>
      <w:r w:rsidR="00161461" w:rsidRPr="00312479">
        <w:rPr>
          <w:rFonts w:ascii="Sylfaen" w:hAnsi="Sylfaen"/>
          <w:sz w:val="24"/>
          <w:szCs w:val="24"/>
        </w:rPr>
        <w:t>1-ին հատորում՝</w:t>
      </w:r>
    </w:p>
    <w:p w:rsidR="00881C58" w:rsidRPr="00312479" w:rsidRDefault="002457BE" w:rsidP="00296B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 w:rsidRPr="002457BE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3 </w:t>
      </w:r>
      <w:r w:rsidR="005D637B" w:rsidRPr="00312479">
        <w:rPr>
          <w:rFonts w:ascii="Sylfaen" w:hAnsi="Sylfaen"/>
          <w:sz w:val="24"/>
          <w:szCs w:val="24"/>
        </w:rPr>
        <w:t>«</w:t>
      </w:r>
      <w:r w:rsidR="00E73B5D" w:rsidRPr="00312479">
        <w:rPr>
          <w:rFonts w:ascii="Sylfaen" w:hAnsi="Sylfaen"/>
          <w:sz w:val="24"/>
          <w:szCs w:val="24"/>
        </w:rPr>
        <w:t>բ</w:t>
      </w:r>
      <w:r w:rsidR="005D637B" w:rsidRPr="00312479">
        <w:rPr>
          <w:rFonts w:ascii="Sylfaen" w:hAnsi="Sylfaen"/>
          <w:sz w:val="24"/>
          <w:szCs w:val="24"/>
        </w:rPr>
        <w:t>»</w:t>
      </w:r>
      <w:r w:rsidR="00E73B5D" w:rsidRPr="00312479">
        <w:rPr>
          <w:rFonts w:ascii="Sylfaen" w:hAnsi="Sylfaen"/>
          <w:sz w:val="24"/>
          <w:szCs w:val="24"/>
        </w:rPr>
        <w:t xml:space="preserve"> Կանոնի պարզաբանումների (X) մասի </w:t>
      </w:r>
      <w:r w:rsidR="00D41CD2" w:rsidRPr="00312479">
        <w:rPr>
          <w:rFonts w:ascii="Sylfaen" w:hAnsi="Sylfaen"/>
          <w:sz w:val="24"/>
          <w:szCs w:val="24"/>
        </w:rPr>
        <w:t>1-ին</w:t>
      </w:r>
      <w:r w:rsidR="00E73B5D" w:rsidRPr="00312479">
        <w:rPr>
          <w:rFonts w:ascii="Sylfaen" w:hAnsi="Sylfaen"/>
          <w:sz w:val="24"/>
          <w:szCs w:val="24"/>
        </w:rPr>
        <w:t xml:space="preserve"> կետի վերջին պարբերությունը լրացնել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յալ </w:t>
      </w:r>
      <w:r w:rsidR="00E73B5D" w:rsidRPr="00296B10">
        <w:rPr>
          <w:rFonts w:ascii="Sylfaen" w:hAnsi="Sylfaen"/>
          <w:sz w:val="24"/>
          <w:szCs w:val="24"/>
        </w:rPr>
        <w:t>բովանդակությամբ նախադասությամբ՝ «</w:t>
      </w:r>
      <w:r w:rsidR="003131CC" w:rsidRPr="00296B10">
        <w:rPr>
          <w:rFonts w:ascii="Sylfaen" w:hAnsi="Sylfaen"/>
          <w:sz w:val="24"/>
          <w:szCs w:val="24"/>
        </w:rPr>
        <w:t>Այն</w:t>
      </w:r>
      <w:r w:rsidR="00E73B5D" w:rsidRPr="00296B10">
        <w:rPr>
          <w:rFonts w:ascii="Sylfaen" w:hAnsi="Sylfaen"/>
          <w:sz w:val="24"/>
          <w:szCs w:val="24"/>
        </w:rPr>
        <w:t xml:space="preserve"> նա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296B10">
        <w:rPr>
          <w:rFonts w:ascii="Sylfaen" w:hAnsi="Sylfaen"/>
          <w:sz w:val="24"/>
          <w:szCs w:val="24"/>
        </w:rPr>
        <w:t xml:space="preserve"> կիրառելի է, օրինակ</w:t>
      </w:r>
      <w:r w:rsidR="003131CC" w:rsidRPr="00296B10">
        <w:rPr>
          <w:rFonts w:ascii="Sylfaen" w:hAnsi="Sylfaen"/>
          <w:sz w:val="24"/>
          <w:szCs w:val="24"/>
        </w:rPr>
        <w:t>,</w:t>
      </w:r>
      <w:r w:rsidR="00E73B5D" w:rsidRPr="00296B10">
        <w:rPr>
          <w:rFonts w:ascii="Sylfaen" w:hAnsi="Sylfaen"/>
          <w:sz w:val="24"/>
          <w:szCs w:val="24"/>
        </w:rPr>
        <w:t xml:space="preserve"> մանրածախ վաճառքի համար </w:t>
      </w:r>
      <w:r w:rsidR="003131CC" w:rsidRPr="00296B10">
        <w:rPr>
          <w:rFonts w:ascii="Sylfaen" w:hAnsi="Sylfaen"/>
          <w:sz w:val="24"/>
          <w:szCs w:val="24"/>
        </w:rPr>
        <w:t xml:space="preserve">ստվարաթղթե տուփի մեջ </w:t>
      </w:r>
      <w:r w:rsidR="00E73B5D" w:rsidRPr="00296B10">
        <w:rPr>
          <w:rFonts w:ascii="Sylfaen" w:hAnsi="Sylfaen"/>
          <w:sz w:val="24"/>
          <w:szCs w:val="24"/>
        </w:rPr>
        <w:t xml:space="preserve">միասին բաժնեծրարված՝ ապակե բանկայով լուծվող սուրճի (ապրանքային դիրք 2101), կերամիկական բաժակի (ապրանքային դիրք 6912) 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296B10">
        <w:rPr>
          <w:rFonts w:ascii="Sylfaen" w:hAnsi="Sylfaen"/>
          <w:sz w:val="24"/>
          <w:szCs w:val="24"/>
        </w:rPr>
        <w:t xml:space="preserve"> կերամիկական</w:t>
      </w:r>
      <w:r w:rsidR="00E73B5D" w:rsidRPr="00312479">
        <w:rPr>
          <w:rFonts w:ascii="Sylfaen" w:hAnsi="Sylfaen"/>
          <w:sz w:val="24"/>
          <w:szCs w:val="24"/>
        </w:rPr>
        <w:t xml:space="preserve"> ափսեի (ապրանքային դիրք 6912) համար։».</w:t>
      </w:r>
    </w:p>
    <w:p w:rsidR="00881C58" w:rsidRPr="00312479" w:rsidRDefault="002457BE" w:rsidP="00296B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 w:rsidRPr="002457BE">
        <w:rPr>
          <w:rFonts w:ascii="Sylfaen" w:hAnsi="Sylfaen"/>
          <w:sz w:val="24"/>
          <w:szCs w:val="24"/>
        </w:rPr>
        <w:tab/>
      </w:r>
      <w:r w:rsidR="00CE1A34" w:rsidRPr="00312479">
        <w:rPr>
          <w:rFonts w:ascii="Sylfaen" w:hAnsi="Sylfaen"/>
          <w:sz w:val="24"/>
          <w:szCs w:val="24"/>
        </w:rPr>
        <w:t xml:space="preserve">ԵԱՏՄ </w:t>
      </w:r>
      <w:r w:rsidR="00E73B5D" w:rsidRPr="00312479">
        <w:rPr>
          <w:rFonts w:ascii="Sylfaen" w:hAnsi="Sylfaen"/>
          <w:sz w:val="24"/>
          <w:szCs w:val="24"/>
        </w:rPr>
        <w:t>ԱՏԳ ԱԱ 03 խմբի պարզաբանումների ընդհանուր դրույթների երրորդ պարբերությունը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296B1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«Տվյալ խմբում ընդգրկվում են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CE1A34" w:rsidRPr="00312479">
        <w:rPr>
          <w:rFonts w:ascii="Sylfaen" w:hAnsi="Sylfaen"/>
          <w:sz w:val="24"/>
          <w:szCs w:val="24"/>
        </w:rPr>
        <w:t xml:space="preserve">ձկների </w:t>
      </w:r>
      <w:r w:rsidRPr="00312479">
        <w:rPr>
          <w:rFonts w:ascii="Sylfaen" w:hAnsi="Sylfaen"/>
          <w:sz w:val="24"/>
          <w:szCs w:val="24"/>
        </w:rPr>
        <w:t xml:space="preserve">սննդային ձկնկիթը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սերմնագեղձերը, որոնք պատրաստ</w:t>
      </w:r>
      <w:r w:rsidR="00CE1A34" w:rsidRPr="00312479">
        <w:rPr>
          <w:rFonts w:ascii="Sylfaen" w:hAnsi="Sylfaen"/>
          <w:sz w:val="24"/>
          <w:szCs w:val="24"/>
        </w:rPr>
        <w:t>ված</w:t>
      </w:r>
      <w:r w:rsidRPr="00312479">
        <w:rPr>
          <w:rFonts w:ascii="Sylfaen" w:hAnsi="Sylfaen"/>
          <w:sz w:val="24"/>
          <w:szCs w:val="24"/>
        </w:rPr>
        <w:t xml:space="preserve"> չեն կամ պահածոյացված չեն, կամ պատրաստ</w:t>
      </w:r>
      <w:r w:rsidR="00CE1A34" w:rsidRPr="00312479">
        <w:rPr>
          <w:rFonts w:ascii="Sylfaen" w:hAnsi="Sylfaen"/>
          <w:sz w:val="24"/>
          <w:szCs w:val="24"/>
        </w:rPr>
        <w:t>ված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CE1A34" w:rsidRPr="00312479">
        <w:rPr>
          <w:rFonts w:ascii="Sylfaen" w:hAnsi="Sylfaen"/>
          <w:sz w:val="24"/>
          <w:szCs w:val="24"/>
        </w:rPr>
        <w:t xml:space="preserve">են </w:t>
      </w:r>
      <w:r w:rsidRPr="00312479">
        <w:rPr>
          <w:rFonts w:ascii="Sylfaen" w:hAnsi="Sylfaen"/>
          <w:sz w:val="24"/>
          <w:szCs w:val="24"/>
        </w:rPr>
        <w:t>կամ պահածոյացված են տվյալ խմբում նախատեսված եղանակներով։ Այլ եղանակներով պատրաստ</w:t>
      </w:r>
      <w:r w:rsidR="00CE1A34" w:rsidRPr="00312479">
        <w:rPr>
          <w:rFonts w:ascii="Sylfaen" w:hAnsi="Sylfaen"/>
          <w:sz w:val="24"/>
          <w:szCs w:val="24"/>
        </w:rPr>
        <w:t>ված</w:t>
      </w:r>
      <w:r w:rsidRPr="00312479">
        <w:rPr>
          <w:rFonts w:ascii="Sylfaen" w:hAnsi="Sylfaen"/>
          <w:sz w:val="24"/>
          <w:szCs w:val="24"/>
        </w:rPr>
        <w:t xml:space="preserve"> կամ պահածոյացված </w:t>
      </w:r>
      <w:r w:rsidR="00CE1A34" w:rsidRPr="00312479">
        <w:rPr>
          <w:rFonts w:ascii="Sylfaen" w:hAnsi="Sylfaen"/>
          <w:sz w:val="24"/>
          <w:szCs w:val="24"/>
        </w:rPr>
        <w:t xml:space="preserve">ձկների </w:t>
      </w:r>
      <w:r w:rsidRPr="00312479">
        <w:rPr>
          <w:rFonts w:ascii="Sylfaen" w:hAnsi="Sylfaen"/>
          <w:sz w:val="24"/>
          <w:szCs w:val="24"/>
        </w:rPr>
        <w:t xml:space="preserve">սննդային ձկնկիթը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սերմնագեղձերը, կամ </w:t>
      </w:r>
      <w:r w:rsidR="00CE1A34" w:rsidRPr="00312479">
        <w:rPr>
          <w:rFonts w:ascii="Sylfaen" w:hAnsi="Sylfaen"/>
          <w:sz w:val="24"/>
          <w:szCs w:val="24"/>
        </w:rPr>
        <w:t xml:space="preserve">ձկների </w:t>
      </w:r>
      <w:r w:rsidRPr="00312479">
        <w:rPr>
          <w:rFonts w:ascii="Sylfaen" w:hAnsi="Sylfaen"/>
          <w:sz w:val="24"/>
          <w:szCs w:val="24"/>
        </w:rPr>
        <w:t xml:space="preserve">սննդային ձկնկիթը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սերմնագեղձերը, որոնք պիտանի են որպես թառափազգիների ձկնկիթ կամ թառափազգիների ձկնկիթի փոխարինիչներ սննդի մեջ անմիջական </w:t>
      </w:r>
      <w:r w:rsidRPr="00312479">
        <w:rPr>
          <w:rFonts w:ascii="Sylfaen" w:hAnsi="Sylfaen"/>
          <w:sz w:val="24"/>
          <w:szCs w:val="24"/>
        </w:rPr>
        <w:lastRenderedPageBreak/>
        <w:t xml:space="preserve">օգտագործման համար, ընդգրկվում են </w:t>
      </w:r>
      <w:r w:rsidR="009F3343" w:rsidRPr="00312479">
        <w:rPr>
          <w:rFonts w:ascii="Sylfaen" w:hAnsi="Sylfaen"/>
          <w:b/>
          <w:sz w:val="24"/>
          <w:szCs w:val="24"/>
        </w:rPr>
        <w:t>1604 ապրանքային դիրքում։».</w:t>
      </w:r>
    </w:p>
    <w:p w:rsidR="00881C58" w:rsidRPr="00312479" w:rsidRDefault="003E178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3)</w:t>
      </w:r>
      <w:r w:rsidRPr="003E1781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0511 ապրանքային դիրքի պարզաբանումների մեջ՝</w:t>
      </w:r>
    </w:p>
    <w:p w:rsidR="00881C58" w:rsidRPr="00312479" w:rsidRDefault="003E178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 w:rsidRPr="003E1781">
        <w:rPr>
          <w:rFonts w:ascii="Sylfaen" w:hAnsi="Sylfaen"/>
          <w:sz w:val="24"/>
          <w:szCs w:val="24"/>
        </w:rPr>
        <w:tab/>
      </w:r>
      <w:r w:rsidR="00D41CD2" w:rsidRPr="00312479">
        <w:rPr>
          <w:rFonts w:ascii="Sylfaen" w:hAnsi="Sylfaen"/>
          <w:sz w:val="24"/>
          <w:szCs w:val="24"/>
        </w:rPr>
        <w:t>6 (ii)</w:t>
      </w:r>
      <w:r w:rsidR="00161461" w:rsidRPr="00312479">
        <w:rPr>
          <w:rFonts w:ascii="Sylfaen" w:hAnsi="Sylfaen"/>
          <w:sz w:val="24"/>
          <w:szCs w:val="24"/>
        </w:rPr>
        <w:t xml:space="preserve"> կետում «ձկների </w:t>
      </w:r>
      <w:r w:rsidR="009F3343" w:rsidRPr="00312479">
        <w:rPr>
          <w:rFonts w:ascii="Sylfaen" w:hAnsi="Sylfaen"/>
          <w:sz w:val="24"/>
          <w:szCs w:val="24"/>
        </w:rPr>
        <w:t>պարկեր</w:t>
      </w:r>
      <w:r w:rsidR="00161461" w:rsidRPr="00312479">
        <w:rPr>
          <w:rFonts w:ascii="Sylfaen" w:hAnsi="Sylfaen"/>
          <w:sz w:val="24"/>
          <w:szCs w:val="24"/>
        </w:rPr>
        <w:t>» բառերը փոխարինել «ձկների լողափամփուշտներ» բառերով.</w:t>
      </w:r>
    </w:p>
    <w:p w:rsidR="00881C58" w:rsidRPr="00312479" w:rsidRDefault="003E178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 w:rsidRPr="003E1781">
        <w:rPr>
          <w:rFonts w:ascii="Sylfaen" w:hAnsi="Sylfaen"/>
          <w:sz w:val="24"/>
          <w:szCs w:val="24"/>
        </w:rPr>
        <w:tab/>
      </w:r>
      <w:r w:rsidR="00161461" w:rsidRPr="00312479">
        <w:rPr>
          <w:rFonts w:ascii="Sylfaen" w:hAnsi="Sylfaen"/>
          <w:sz w:val="24"/>
          <w:szCs w:val="24"/>
        </w:rPr>
        <w:t xml:space="preserve">6-րդ կետի </w:t>
      </w:r>
      <w:r w:rsidR="00EF1166" w:rsidRPr="00312479">
        <w:rPr>
          <w:rFonts w:ascii="Sylfaen" w:hAnsi="Sylfaen"/>
          <w:sz w:val="24"/>
          <w:szCs w:val="24"/>
        </w:rPr>
        <w:t xml:space="preserve">«ա» </w:t>
      </w:r>
      <w:r w:rsidR="00161461" w:rsidRPr="00312479">
        <w:rPr>
          <w:rFonts w:ascii="Sylfaen" w:hAnsi="Sylfaen"/>
          <w:sz w:val="24"/>
          <w:szCs w:val="24"/>
        </w:rPr>
        <w:t xml:space="preserve">բացառության մեջ «ձկների </w:t>
      </w:r>
      <w:r w:rsidR="009F3343" w:rsidRPr="00312479">
        <w:rPr>
          <w:rFonts w:ascii="Sylfaen" w:hAnsi="Sylfaen"/>
          <w:sz w:val="24"/>
          <w:szCs w:val="24"/>
        </w:rPr>
        <w:t>պարկեր</w:t>
      </w:r>
      <w:r w:rsidR="00161461" w:rsidRPr="00312479">
        <w:rPr>
          <w:rFonts w:ascii="Sylfaen" w:hAnsi="Sylfaen"/>
          <w:sz w:val="24"/>
          <w:szCs w:val="24"/>
        </w:rPr>
        <w:t>» բառերը փոխարինել «լողափամփուշտներ» բառերով.</w:t>
      </w:r>
    </w:p>
    <w:p w:rsidR="00881C58" w:rsidRPr="00312479" w:rsidRDefault="003E178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4)</w:t>
      </w:r>
      <w:r w:rsidRPr="003E1781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0712 ապրանքային դիրքի պարզաբանումների առաջին պարբերության մեջ ԵԱՏՄ ԱՏԳ ԱԱ «070</w:t>
      </w:r>
      <w:r w:rsidR="00251F12">
        <w:rPr>
          <w:rFonts w:ascii="Sylfaen" w:hAnsi="Sylfaen"/>
          <w:sz w:val="24"/>
          <w:szCs w:val="24"/>
        </w:rPr>
        <w:t>9» ծածկագիրը փոխարինել ԵԱՏՄ</w:t>
      </w:r>
      <w:r w:rsidR="00251F12" w:rsidRPr="00251F12">
        <w:rPr>
          <w:rFonts w:ascii="Sylfaen" w:hAnsi="Sylfaen"/>
          <w:sz w:val="24"/>
          <w:szCs w:val="24"/>
        </w:rPr>
        <w:t> </w:t>
      </w:r>
      <w:r w:rsidR="00251F12">
        <w:rPr>
          <w:rFonts w:ascii="Sylfaen" w:hAnsi="Sylfaen"/>
          <w:sz w:val="24"/>
          <w:szCs w:val="24"/>
        </w:rPr>
        <w:t>ԱՏԳ</w:t>
      </w:r>
      <w:r w:rsidR="00251F12" w:rsidRPr="00251F12">
        <w:rPr>
          <w:rFonts w:ascii="Sylfaen" w:hAnsi="Sylfaen"/>
          <w:sz w:val="24"/>
          <w:szCs w:val="24"/>
        </w:rPr>
        <w:t> </w:t>
      </w:r>
      <w:r w:rsidR="00251F12">
        <w:rPr>
          <w:rFonts w:ascii="Sylfaen" w:hAnsi="Sylfaen"/>
          <w:sz w:val="24"/>
          <w:szCs w:val="24"/>
        </w:rPr>
        <w:t>ԱԱ</w:t>
      </w:r>
      <w:r w:rsidR="00251F12" w:rsidRPr="00251F12">
        <w:rPr>
          <w:rFonts w:ascii="Sylfaen" w:hAnsi="Sylfaen"/>
          <w:sz w:val="24"/>
          <w:szCs w:val="24"/>
        </w:rPr>
        <w:t> </w:t>
      </w:r>
      <w:r w:rsidR="00E73B5D" w:rsidRPr="00312479">
        <w:rPr>
          <w:rFonts w:ascii="Sylfaen" w:hAnsi="Sylfaen"/>
          <w:sz w:val="24"/>
          <w:szCs w:val="24"/>
        </w:rPr>
        <w:t>«0711» ծածկագրով.</w:t>
      </w:r>
    </w:p>
    <w:p w:rsidR="00881C58" w:rsidRPr="00312479" w:rsidRDefault="003E178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5)</w:t>
      </w:r>
      <w:r w:rsidRPr="003E1781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1509 ապրանքային դիրքի պ</w:t>
      </w:r>
      <w:r w:rsidR="00251F12">
        <w:rPr>
          <w:rFonts w:ascii="Sylfaen" w:hAnsi="Sylfaen"/>
          <w:sz w:val="24"/>
          <w:szCs w:val="24"/>
        </w:rPr>
        <w:t>արզաբանումների մեջ Գ</w:t>
      </w:r>
      <w:r w:rsidR="00251F12" w:rsidRPr="00251F12">
        <w:rPr>
          <w:rFonts w:ascii="Sylfaen" w:hAnsi="Sylfaen"/>
          <w:sz w:val="24"/>
          <w:szCs w:val="24"/>
        </w:rPr>
        <w:t> </w:t>
      </w:r>
      <w:r w:rsidR="00E73B5D" w:rsidRPr="00312479">
        <w:rPr>
          <w:rFonts w:ascii="Sylfaen" w:hAnsi="Sylfaen"/>
          <w:sz w:val="24"/>
          <w:szCs w:val="24"/>
        </w:rPr>
        <w:t>կետից հետո պարբերությունները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«Ա) կետում դիտարկված՝ առաջին (սառը) մամլումով ստացված ձիթապտղի յուղը կարելի է տարբերել Բ </w:t>
      </w:r>
      <w:r w:rsidR="00A61C81">
        <w:rPr>
          <w:rFonts w:ascii="Sylfaen" w:hAnsi="Sylfaen"/>
          <w:sz w:val="24"/>
          <w:szCs w:val="24"/>
        </w:rPr>
        <w:t>և</w:t>
      </w:r>
      <w:r w:rsidR="00EC6C0B" w:rsidRPr="00312479">
        <w:rPr>
          <w:rFonts w:ascii="Sylfaen" w:hAnsi="Sylfaen"/>
          <w:sz w:val="24"/>
          <w:szCs w:val="24"/>
        </w:rPr>
        <w:t xml:space="preserve"> </w:t>
      </w:r>
      <w:r w:rsidRPr="00312479">
        <w:rPr>
          <w:rFonts w:ascii="Sylfaen" w:hAnsi="Sylfaen"/>
          <w:sz w:val="24"/>
          <w:szCs w:val="24"/>
        </w:rPr>
        <w:t>Գ կետերում դիտարկված յուղերից՝ Կոդեքս Ալիմենտարիուսի 33-1981 ստանդարտին համապատասխան։</w:t>
      </w:r>
    </w:p>
    <w:p w:rsidR="00881C58" w:rsidRPr="00312479" w:rsidRDefault="0016146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Տվյալ ապրանքային դիրքի ձիթապտ</w:t>
      </w:r>
      <w:r w:rsidR="00251F12">
        <w:rPr>
          <w:rFonts w:ascii="Sylfaen" w:hAnsi="Sylfaen"/>
          <w:sz w:val="24"/>
          <w:szCs w:val="24"/>
        </w:rPr>
        <w:t>ղի յուղը կարելի է տարբերել 1510</w:t>
      </w:r>
      <w:r w:rsidR="00251F12" w:rsidRPr="00251F12">
        <w:rPr>
          <w:rFonts w:ascii="Sylfaen" w:hAnsi="Sylfaen"/>
          <w:sz w:val="24"/>
          <w:szCs w:val="24"/>
        </w:rPr>
        <w:t> </w:t>
      </w:r>
      <w:r w:rsidRPr="00312479">
        <w:rPr>
          <w:rFonts w:ascii="Sylfaen" w:hAnsi="Sylfaen"/>
          <w:sz w:val="24"/>
          <w:szCs w:val="24"/>
        </w:rPr>
        <w:t>ապրանքային դիրքի ձիթապտղի յուղից՝ ըստ Բելյեի բացասական ռեակցիայի։</w:t>
      </w:r>
    </w:p>
    <w:p w:rsidR="00881C58" w:rsidRPr="00312479" w:rsidRDefault="0016146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Որոշ դեպքերում մնացորդային ձիթապտղի յուղի առկայությունը կարելի է սահմանել միայն </w:t>
      </w:r>
      <w:r w:rsidR="000C5403" w:rsidRPr="00312479">
        <w:rPr>
          <w:rFonts w:ascii="Sylfaen" w:hAnsi="Sylfaen"/>
          <w:sz w:val="24"/>
          <w:szCs w:val="24"/>
        </w:rPr>
        <w:t>չօճառաց</w:t>
      </w:r>
      <w:r w:rsidRPr="00312479">
        <w:rPr>
          <w:rFonts w:ascii="Sylfaen" w:hAnsi="Sylfaen"/>
          <w:sz w:val="24"/>
          <w:szCs w:val="24"/>
        </w:rPr>
        <w:t xml:space="preserve">վող </w:t>
      </w:r>
      <w:r w:rsidR="000C5403" w:rsidRPr="00312479">
        <w:rPr>
          <w:rFonts w:ascii="Sylfaen" w:hAnsi="Sylfaen"/>
          <w:sz w:val="24"/>
          <w:szCs w:val="24"/>
        </w:rPr>
        <w:t>զտ</w:t>
      </w:r>
      <w:r w:rsidRPr="00312479">
        <w:rPr>
          <w:rFonts w:ascii="Sylfaen" w:hAnsi="Sylfaen"/>
          <w:sz w:val="24"/>
          <w:szCs w:val="24"/>
        </w:rPr>
        <w:t>ամասում տրիտերպենային դիոլները հետազոտելու դեպքում։</w:t>
      </w:r>
    </w:p>
    <w:p w:rsidR="00881C58" w:rsidRPr="00312479" w:rsidRDefault="0016146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Style w:val="Bodytext2Bold"/>
          <w:rFonts w:ascii="Sylfaen" w:hAnsi="Sylfaen"/>
          <w:b w:val="0"/>
          <w:sz w:val="24"/>
          <w:szCs w:val="24"/>
        </w:rPr>
        <w:t>Տվյալ</w:t>
      </w:r>
      <w:r w:rsidRPr="00312479">
        <w:rPr>
          <w:rFonts w:ascii="Sylfaen" w:hAnsi="Sylfaen"/>
          <w:sz w:val="24"/>
          <w:szCs w:val="24"/>
        </w:rPr>
        <w:t xml:space="preserve"> ապրանքային դիրք</w:t>
      </w:r>
      <w:r w:rsidR="000C5403" w:rsidRPr="00312479">
        <w:rPr>
          <w:rFonts w:ascii="Sylfaen" w:hAnsi="Sylfaen"/>
          <w:sz w:val="24"/>
          <w:szCs w:val="24"/>
        </w:rPr>
        <w:t>ում</w:t>
      </w:r>
      <w:r w:rsidRPr="00312479">
        <w:rPr>
          <w:rFonts w:ascii="Sylfaen" w:hAnsi="Sylfaen"/>
          <w:sz w:val="24"/>
          <w:szCs w:val="24"/>
        </w:rPr>
        <w:t xml:space="preserve"> </w:t>
      </w:r>
      <w:r w:rsidRPr="00312479">
        <w:rPr>
          <w:rStyle w:val="Bodytext2Bold"/>
          <w:rFonts w:ascii="Sylfaen" w:hAnsi="Sylfaen"/>
          <w:sz w:val="24"/>
          <w:szCs w:val="24"/>
        </w:rPr>
        <w:t>չեն ընդգրկվում</w:t>
      </w:r>
      <w:r w:rsidRPr="00312479">
        <w:rPr>
          <w:rFonts w:ascii="Sylfaen" w:hAnsi="Sylfaen"/>
          <w:sz w:val="24"/>
          <w:szCs w:val="24"/>
        </w:rPr>
        <w:t xml:space="preserve"> մնացորդային ձիթապտղի յուղը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ձիթապտղի յուղի հետ դրա խառնուրդները </w:t>
      </w:r>
      <w:r w:rsidRPr="00312479">
        <w:rPr>
          <w:rStyle w:val="Bodytext2Bold"/>
          <w:rFonts w:ascii="Sylfaen" w:hAnsi="Sylfaen"/>
          <w:sz w:val="24"/>
          <w:szCs w:val="24"/>
        </w:rPr>
        <w:t xml:space="preserve">(ապրանքային դիրք 1510) </w:t>
      </w:r>
      <w:r w:rsidRPr="00312479">
        <w:rPr>
          <w:rFonts w:ascii="Sylfaen" w:hAnsi="Sylfaen"/>
          <w:sz w:val="24"/>
          <w:szCs w:val="24"/>
        </w:rPr>
        <w:t>կամ ձիթապտղի յուղից ստացվող վերաեթերացված յուղը (ապրանքային դիրք 1516)։».</w:t>
      </w:r>
    </w:p>
    <w:p w:rsidR="00881C58" w:rsidRPr="00312479" w:rsidRDefault="00A85A03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6)</w:t>
      </w:r>
      <w:r w:rsidRPr="00A85A03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1604 ապրանքային դիրքի պարզաբանումներում (ա) բացառությունը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A85A03" w:rsidRDefault="00161461" w:rsidP="00A85A0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«ա) ձկների ձկնկիթը, այսինքն՝ ձկների ձկնկիթները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սերմնագեղձերը, որոնք պատրաստ</w:t>
      </w:r>
      <w:r w:rsidR="00A8659D" w:rsidRPr="00312479">
        <w:rPr>
          <w:rFonts w:ascii="Sylfaen" w:hAnsi="Sylfaen"/>
          <w:sz w:val="24"/>
          <w:szCs w:val="24"/>
        </w:rPr>
        <w:t>ված</w:t>
      </w:r>
      <w:r w:rsidRPr="00312479">
        <w:rPr>
          <w:rFonts w:ascii="Sylfaen" w:hAnsi="Sylfaen"/>
          <w:sz w:val="24"/>
          <w:szCs w:val="24"/>
        </w:rPr>
        <w:t xml:space="preserve"> չեն կամ պահածոյացված չեն</w:t>
      </w:r>
      <w:r w:rsidR="00306440" w:rsidRPr="00312479">
        <w:rPr>
          <w:rFonts w:ascii="Sylfaen" w:hAnsi="Sylfaen"/>
          <w:sz w:val="24"/>
          <w:szCs w:val="24"/>
        </w:rPr>
        <w:t>,</w:t>
      </w:r>
      <w:r w:rsidRPr="00312479">
        <w:rPr>
          <w:rFonts w:ascii="Sylfaen" w:hAnsi="Sylfaen"/>
          <w:sz w:val="24"/>
          <w:szCs w:val="24"/>
        </w:rPr>
        <w:t xml:space="preserve"> կամ պատրաստ</w:t>
      </w:r>
      <w:r w:rsidR="00A8659D" w:rsidRPr="00312479">
        <w:rPr>
          <w:rFonts w:ascii="Sylfaen" w:hAnsi="Sylfaen"/>
          <w:sz w:val="24"/>
          <w:szCs w:val="24"/>
        </w:rPr>
        <w:t>ված են</w:t>
      </w:r>
      <w:r w:rsidRPr="00312479">
        <w:rPr>
          <w:rFonts w:ascii="Sylfaen" w:hAnsi="Sylfaen"/>
          <w:sz w:val="24"/>
          <w:szCs w:val="24"/>
        </w:rPr>
        <w:t xml:space="preserve"> կամ </w:t>
      </w:r>
      <w:r w:rsidRPr="00312479">
        <w:rPr>
          <w:rFonts w:ascii="Sylfaen" w:hAnsi="Sylfaen"/>
          <w:sz w:val="24"/>
          <w:szCs w:val="24"/>
        </w:rPr>
        <w:lastRenderedPageBreak/>
        <w:t>պահածոյացված են միայն 03 խմբում նախատեսված եղանակներով՝ բաց</w:t>
      </w:r>
      <w:r w:rsidR="00A8659D" w:rsidRPr="00312479">
        <w:rPr>
          <w:rFonts w:ascii="Sylfaen" w:hAnsi="Sylfaen"/>
          <w:sz w:val="24"/>
          <w:szCs w:val="24"/>
        </w:rPr>
        <w:t>ի</w:t>
      </w:r>
      <w:r w:rsidRPr="00312479">
        <w:rPr>
          <w:rFonts w:ascii="Sylfaen" w:hAnsi="Sylfaen"/>
          <w:sz w:val="24"/>
          <w:szCs w:val="24"/>
        </w:rPr>
        <w:t xml:space="preserve"> սննդի մեջ անմիջական օգտագործման համար պիտանի</w:t>
      </w:r>
      <w:r w:rsidR="00A8659D" w:rsidRPr="00312479">
        <w:rPr>
          <w:rFonts w:ascii="Sylfaen" w:hAnsi="Sylfaen"/>
          <w:sz w:val="24"/>
          <w:szCs w:val="24"/>
        </w:rPr>
        <w:t xml:space="preserve"> այնպիսի</w:t>
      </w:r>
      <w:r w:rsidRPr="00312479">
        <w:rPr>
          <w:rFonts w:ascii="Sylfaen" w:hAnsi="Sylfaen"/>
          <w:sz w:val="24"/>
          <w:szCs w:val="24"/>
        </w:rPr>
        <w:t xml:space="preserve"> ձկնկիթներից, ինչպիսիք են թառափազգիների ձկնկիթը կամ թառափազգիների ձկնկիթի փոխարինիչները </w:t>
      </w:r>
      <w:r w:rsidR="009F3343" w:rsidRPr="00312479">
        <w:rPr>
          <w:rFonts w:ascii="Sylfaen" w:hAnsi="Sylfaen"/>
          <w:b/>
          <w:sz w:val="24"/>
          <w:szCs w:val="24"/>
        </w:rPr>
        <w:t>(խումբ 03)։»</w:t>
      </w:r>
    </w:p>
    <w:p w:rsidR="00881C58" w:rsidRPr="00312479" w:rsidRDefault="00BC7BF4" w:rsidP="007B040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7)</w:t>
      </w:r>
      <w:r w:rsidR="00A85A03" w:rsidRPr="00A85A03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ԵԱՏՄ ԱՏԳ ԱԱ 1704 ապրանքային դիրքի պարզաբանման 9-րդ կետի </w:t>
      </w:r>
      <w:r w:rsidR="002905E4" w:rsidRPr="00312479">
        <w:rPr>
          <w:rFonts w:ascii="Sylfaen" w:hAnsi="Sylfaen"/>
          <w:sz w:val="24"/>
          <w:szCs w:val="24"/>
        </w:rPr>
        <w:t>«</w:t>
      </w:r>
      <w:r w:rsidR="00E73B5D" w:rsidRPr="00312479">
        <w:rPr>
          <w:rFonts w:ascii="Sylfaen" w:hAnsi="Sylfaen"/>
          <w:sz w:val="24"/>
          <w:szCs w:val="24"/>
        </w:rPr>
        <w:t>գ</w:t>
      </w:r>
      <w:r w:rsidR="002905E4" w:rsidRPr="007B040B">
        <w:rPr>
          <w:rFonts w:ascii="Sylfaen" w:hAnsi="Sylfaen"/>
          <w:sz w:val="24"/>
          <w:szCs w:val="24"/>
        </w:rPr>
        <w:t>»</w:t>
      </w:r>
      <w:r w:rsidR="00E73B5D" w:rsidRPr="00312479">
        <w:rPr>
          <w:rFonts w:ascii="Sylfaen" w:hAnsi="Sylfaen"/>
          <w:sz w:val="24"/>
          <w:szCs w:val="24"/>
        </w:rPr>
        <w:t xml:space="preserve"> ենթակետից հետո </w:t>
      </w:r>
      <w:r w:rsidR="00A8659D" w:rsidRPr="00312479">
        <w:rPr>
          <w:rFonts w:ascii="Sylfaen" w:hAnsi="Sylfaen"/>
          <w:sz w:val="24"/>
          <w:szCs w:val="24"/>
        </w:rPr>
        <w:t>ավելացն</w:t>
      </w:r>
      <w:r w:rsidR="00E73B5D" w:rsidRPr="00312479">
        <w:rPr>
          <w:rFonts w:ascii="Sylfaen" w:hAnsi="Sylfaen"/>
          <w:sz w:val="24"/>
          <w:szCs w:val="24"/>
        </w:rPr>
        <w:t>ել</w:t>
      </w:r>
      <w:r w:rsidR="00D41CD2" w:rsidRPr="00312479">
        <w:rPr>
          <w:rFonts w:ascii="Sylfaen" w:hAnsi="Sylfaen"/>
          <w:sz w:val="24"/>
          <w:szCs w:val="24"/>
        </w:rPr>
        <w:t>10-րդ կետ</w:t>
      </w:r>
      <w:r w:rsidR="00D74BC9" w:rsidRPr="00312479">
        <w:rPr>
          <w:rFonts w:ascii="Sylfaen" w:hAnsi="Sylfaen"/>
          <w:sz w:val="24"/>
          <w:szCs w:val="24"/>
        </w:rPr>
        <w:t>ը</w:t>
      </w:r>
      <w:r w:rsidR="00A8659D" w:rsidRPr="00312479">
        <w:rPr>
          <w:rFonts w:ascii="Sylfaen" w:hAnsi="Sylfaen"/>
          <w:sz w:val="24"/>
          <w:szCs w:val="24"/>
        </w:rPr>
        <w:t xml:space="preserve">՝ </w:t>
      </w:r>
      <w:r w:rsidR="00E73B5D" w:rsidRPr="00312479">
        <w:rPr>
          <w:rFonts w:ascii="Sylfaen" w:hAnsi="Sylfaen"/>
          <w:sz w:val="24"/>
          <w:szCs w:val="24"/>
        </w:rPr>
        <w:t>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7B040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«10) Բնական մեղրի հիմ</w:t>
      </w:r>
      <w:r w:rsidR="00A8659D" w:rsidRPr="00312479">
        <w:rPr>
          <w:rFonts w:ascii="Sylfaen" w:hAnsi="Sylfaen"/>
          <w:sz w:val="24"/>
          <w:szCs w:val="24"/>
        </w:rPr>
        <w:t>քով</w:t>
      </w:r>
      <w:r w:rsidRPr="00312479">
        <w:rPr>
          <w:rFonts w:ascii="Sylfaen" w:hAnsi="Sylfaen"/>
          <w:sz w:val="24"/>
          <w:szCs w:val="24"/>
        </w:rPr>
        <w:t xml:space="preserve"> մթերք</w:t>
      </w:r>
      <w:r w:rsidR="00A8659D" w:rsidRPr="00312479">
        <w:rPr>
          <w:rFonts w:ascii="Sylfaen" w:hAnsi="Sylfaen"/>
          <w:sz w:val="24"/>
          <w:szCs w:val="24"/>
        </w:rPr>
        <w:t>ներ՝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5D42E0" w:rsidRPr="00312479">
        <w:rPr>
          <w:rFonts w:ascii="Sylfaen" w:hAnsi="Sylfaen"/>
          <w:sz w:val="24"/>
          <w:szCs w:val="24"/>
        </w:rPr>
        <w:t xml:space="preserve">շաքարից </w:t>
      </w:r>
      <w:r w:rsidRPr="00312479">
        <w:rPr>
          <w:rFonts w:ascii="Sylfaen" w:hAnsi="Sylfaen"/>
          <w:sz w:val="24"/>
          <w:szCs w:val="24"/>
        </w:rPr>
        <w:t xml:space="preserve">պատրաստված </w:t>
      </w:r>
      <w:r w:rsidR="00EC6C0B" w:rsidRPr="00312479">
        <w:rPr>
          <w:rFonts w:ascii="Sylfaen" w:hAnsi="Sylfaen"/>
          <w:sz w:val="24"/>
          <w:szCs w:val="24"/>
        </w:rPr>
        <w:t>հրուշակեղենի</w:t>
      </w:r>
      <w:r w:rsidRPr="00312479">
        <w:rPr>
          <w:rFonts w:ascii="Sylfaen" w:hAnsi="Sylfaen"/>
          <w:sz w:val="24"/>
          <w:szCs w:val="24"/>
        </w:rPr>
        <w:t xml:space="preserve"> տեսքով (օրինակ՝ «հալվա»)։».</w:t>
      </w:r>
    </w:p>
    <w:p w:rsidR="00881C58" w:rsidRPr="00312479" w:rsidRDefault="007B040B" w:rsidP="007B040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8)</w:t>
      </w:r>
      <w:r w:rsidRPr="007B040B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ԵԱՏՄ ԱՏԳ ԱԱ 2008 ապրանքային դիրքի պարզաբանումների վերջին պարբերությունից առաջ </w:t>
      </w:r>
      <w:r w:rsidR="00A8659D" w:rsidRPr="00312479">
        <w:rPr>
          <w:rFonts w:ascii="Sylfaen" w:hAnsi="Sylfaen"/>
          <w:sz w:val="24"/>
          <w:szCs w:val="24"/>
        </w:rPr>
        <w:t>ավելացն</w:t>
      </w:r>
      <w:r w:rsidR="00E73B5D" w:rsidRPr="00312479">
        <w:rPr>
          <w:rFonts w:ascii="Sylfaen" w:hAnsi="Sylfaen"/>
          <w:sz w:val="24"/>
          <w:szCs w:val="24"/>
        </w:rPr>
        <w:t xml:space="preserve">ել </w:t>
      </w:r>
      <w:r w:rsidR="00A8659D" w:rsidRPr="00312479">
        <w:rPr>
          <w:rFonts w:ascii="Sylfaen" w:hAnsi="Sylfaen"/>
          <w:sz w:val="24"/>
          <w:szCs w:val="24"/>
        </w:rPr>
        <w:t xml:space="preserve">պարբերություն՝ </w:t>
      </w:r>
      <w:r w:rsidR="00E73B5D" w:rsidRPr="00312479">
        <w:rPr>
          <w:rFonts w:ascii="Sylfaen" w:hAnsi="Sylfaen"/>
          <w:sz w:val="24"/>
          <w:szCs w:val="24"/>
        </w:rPr>
        <w:t>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7B040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«Տվյալ ապրանքային դիրքում չեն ընդգրկվում </w:t>
      </w:r>
      <w:r w:rsidR="009F3343" w:rsidRPr="00312479">
        <w:rPr>
          <w:rFonts w:ascii="Sylfaen" w:hAnsi="Sylfaen"/>
          <w:b/>
          <w:sz w:val="24"/>
          <w:szCs w:val="24"/>
        </w:rPr>
        <w:t>1704 ապրանքային դիրքի</w:t>
      </w:r>
      <w:r w:rsidRPr="00312479">
        <w:rPr>
          <w:rFonts w:ascii="Sylfaen" w:hAnsi="Sylfaen"/>
          <w:sz w:val="24"/>
          <w:szCs w:val="24"/>
        </w:rPr>
        <w:t xml:space="preserve"> մր</w:t>
      </w:r>
      <w:r w:rsidR="00A8659D" w:rsidRPr="00312479">
        <w:rPr>
          <w:rFonts w:ascii="Sylfaen" w:hAnsi="Sylfaen"/>
          <w:sz w:val="24"/>
          <w:szCs w:val="24"/>
        </w:rPr>
        <w:t>գ</w:t>
      </w:r>
      <w:r w:rsidRPr="00312479">
        <w:rPr>
          <w:rFonts w:ascii="Sylfaen" w:hAnsi="Sylfaen"/>
          <w:sz w:val="24"/>
          <w:szCs w:val="24"/>
        </w:rPr>
        <w:t>երը, ընկույզները կամ բույսերի</w:t>
      </w:r>
      <w:r w:rsidR="00A8659D" w:rsidRPr="00312479">
        <w:rPr>
          <w:rFonts w:ascii="Sylfaen" w:hAnsi="Sylfaen"/>
          <w:sz w:val="24"/>
          <w:szCs w:val="24"/>
        </w:rPr>
        <w:t>՝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A8659D" w:rsidRPr="00312479">
        <w:rPr>
          <w:rFonts w:ascii="Sylfaen" w:hAnsi="Sylfaen"/>
          <w:sz w:val="24"/>
          <w:szCs w:val="24"/>
        </w:rPr>
        <w:t>սննդի մեջ օգտագործման համար</w:t>
      </w:r>
      <w:r w:rsidR="00A8659D" w:rsidRPr="00312479" w:rsidDel="00A8659D">
        <w:rPr>
          <w:rFonts w:ascii="Sylfaen" w:hAnsi="Sylfaen"/>
          <w:sz w:val="24"/>
          <w:szCs w:val="24"/>
        </w:rPr>
        <w:t xml:space="preserve"> </w:t>
      </w:r>
      <w:r w:rsidR="00A8659D" w:rsidRPr="00312479">
        <w:rPr>
          <w:rFonts w:ascii="Sylfaen" w:hAnsi="Sylfaen"/>
          <w:sz w:val="24"/>
          <w:szCs w:val="24"/>
        </w:rPr>
        <w:t>պիտանի</w:t>
      </w:r>
      <w:r w:rsidR="00A8659D" w:rsidRPr="00312479" w:rsidDel="00A8659D">
        <w:rPr>
          <w:rFonts w:ascii="Sylfaen" w:hAnsi="Sylfaen"/>
          <w:sz w:val="24"/>
          <w:szCs w:val="24"/>
        </w:rPr>
        <w:t xml:space="preserve"> </w:t>
      </w:r>
      <w:r w:rsidR="00A8659D" w:rsidRPr="00312479">
        <w:rPr>
          <w:rFonts w:ascii="Sylfaen" w:hAnsi="Sylfaen"/>
          <w:sz w:val="24"/>
          <w:szCs w:val="24"/>
        </w:rPr>
        <w:t xml:space="preserve">մյուս </w:t>
      </w:r>
      <w:r w:rsidRPr="00312479">
        <w:rPr>
          <w:rFonts w:ascii="Sylfaen" w:hAnsi="Sylfaen"/>
          <w:sz w:val="24"/>
          <w:szCs w:val="24"/>
        </w:rPr>
        <w:t>մասեր</w:t>
      </w:r>
      <w:r w:rsidR="00D74BC9" w:rsidRPr="00312479">
        <w:rPr>
          <w:rFonts w:ascii="Sylfaen" w:hAnsi="Sylfaen"/>
          <w:sz w:val="24"/>
          <w:szCs w:val="24"/>
        </w:rPr>
        <w:t>ը</w:t>
      </w:r>
      <w:r w:rsidRPr="00312479">
        <w:rPr>
          <w:rFonts w:ascii="Sylfaen" w:hAnsi="Sylfaen"/>
          <w:sz w:val="24"/>
          <w:szCs w:val="24"/>
        </w:rPr>
        <w:t>, որոնք վերամշակման միջոցով վերածվել են շաքարից պատրաստված հրուշակեղենի (այդ թվում՝ բնական մեղրի հիմ</w:t>
      </w:r>
      <w:r w:rsidR="00306440" w:rsidRPr="00312479">
        <w:rPr>
          <w:rFonts w:ascii="Sylfaen" w:hAnsi="Sylfaen"/>
          <w:sz w:val="24"/>
          <w:szCs w:val="24"/>
        </w:rPr>
        <w:t>ք</w:t>
      </w:r>
      <w:r w:rsidR="00A8659D" w:rsidRPr="00312479">
        <w:rPr>
          <w:rFonts w:ascii="Sylfaen" w:hAnsi="Sylfaen"/>
          <w:sz w:val="24"/>
          <w:szCs w:val="24"/>
        </w:rPr>
        <w:t>ով</w:t>
      </w:r>
      <w:r w:rsidRPr="00312479">
        <w:rPr>
          <w:rFonts w:ascii="Sylfaen" w:hAnsi="Sylfaen"/>
          <w:sz w:val="24"/>
          <w:szCs w:val="24"/>
        </w:rPr>
        <w:t>)</w:t>
      </w:r>
      <w:r w:rsidR="009F3343" w:rsidRPr="00312479">
        <w:rPr>
          <w:rFonts w:ascii="Sylfaen" w:hAnsi="Sylfaen"/>
          <w:b/>
          <w:sz w:val="24"/>
          <w:szCs w:val="24"/>
        </w:rPr>
        <w:t>։».</w:t>
      </w:r>
    </w:p>
    <w:p w:rsidR="00881C58" w:rsidRPr="00312479" w:rsidRDefault="007B040B" w:rsidP="007B040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</w:t>
      </w:r>
      <w:r w:rsidRPr="00D47232">
        <w:rPr>
          <w:rFonts w:ascii="Sylfaen" w:hAnsi="Sylfaen"/>
          <w:sz w:val="24"/>
          <w:szCs w:val="24"/>
        </w:rPr>
        <w:t>)</w:t>
      </w:r>
      <w:r w:rsidRPr="00D47232">
        <w:rPr>
          <w:rFonts w:ascii="Sylfaen" w:hAnsi="Sylfaen"/>
          <w:sz w:val="24"/>
          <w:szCs w:val="24"/>
        </w:rPr>
        <w:tab/>
      </w:r>
      <w:r w:rsidR="00E73B5D" w:rsidRPr="00D47232">
        <w:rPr>
          <w:rFonts w:ascii="Sylfaen" w:hAnsi="Sylfaen"/>
          <w:sz w:val="24"/>
          <w:szCs w:val="24"/>
        </w:rPr>
        <w:t xml:space="preserve">ԵԱՏՄ ԱՏԳ ԱԱ 2501 ապրանքային դիրքի պարզաբանումների </w:t>
      </w:r>
      <w:r w:rsidR="003413A9" w:rsidRPr="00D47232">
        <w:rPr>
          <w:rFonts w:ascii="Sylfaen" w:hAnsi="Sylfaen"/>
          <w:sz w:val="24"/>
          <w:szCs w:val="24"/>
        </w:rPr>
        <w:t>«</w:t>
      </w:r>
      <w:r w:rsidR="00E73B5D" w:rsidRPr="00D47232">
        <w:rPr>
          <w:rFonts w:ascii="Sylfaen" w:hAnsi="Sylfaen"/>
          <w:sz w:val="24"/>
          <w:szCs w:val="24"/>
        </w:rPr>
        <w:t>բ</w:t>
      </w:r>
      <w:r w:rsidR="003413A9" w:rsidRPr="00D47232">
        <w:rPr>
          <w:rFonts w:ascii="Sylfaen" w:hAnsi="Sylfaen"/>
          <w:b/>
          <w:sz w:val="24"/>
          <w:szCs w:val="24"/>
        </w:rPr>
        <w:t>»</w:t>
      </w:r>
      <w:r w:rsidR="00E73B5D" w:rsidRPr="00D47232">
        <w:rPr>
          <w:rFonts w:ascii="Sylfaen" w:hAnsi="Sylfaen"/>
          <w:sz w:val="24"/>
          <w:szCs w:val="24"/>
        </w:rPr>
        <w:t xml:space="preserve"> բացառությունը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D47232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7B040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«բ) սրվակներում </w:t>
      </w:r>
      <w:r w:rsidR="00306440" w:rsidRPr="00312479">
        <w:rPr>
          <w:rFonts w:ascii="Sylfaen" w:hAnsi="Sylfaen"/>
          <w:sz w:val="24"/>
          <w:szCs w:val="24"/>
        </w:rPr>
        <w:t>զետեղ</w:t>
      </w:r>
      <w:r w:rsidRPr="00312479">
        <w:rPr>
          <w:rFonts w:ascii="Sylfaen" w:hAnsi="Sylfaen"/>
          <w:sz w:val="24"/>
          <w:szCs w:val="24"/>
        </w:rPr>
        <w:t>ված նատրիումի քլորիդի լուծույթներ</w:t>
      </w:r>
      <w:r w:rsidR="00EC6C0B" w:rsidRPr="00312479">
        <w:rPr>
          <w:rFonts w:ascii="Sylfaen" w:hAnsi="Sylfaen"/>
          <w:sz w:val="24"/>
          <w:szCs w:val="24"/>
        </w:rPr>
        <w:t>`</w:t>
      </w:r>
      <w:r w:rsidRPr="00312479">
        <w:rPr>
          <w:rFonts w:ascii="Sylfaen" w:hAnsi="Sylfaen"/>
          <w:sz w:val="24"/>
          <w:szCs w:val="24"/>
        </w:rPr>
        <w:t xml:space="preserve"> ներառյալ ծովի ջուր</w:t>
      </w:r>
      <w:r w:rsidR="0071023D" w:rsidRPr="00312479">
        <w:rPr>
          <w:rFonts w:ascii="Sylfaen" w:hAnsi="Sylfaen"/>
          <w:sz w:val="24"/>
          <w:szCs w:val="24"/>
        </w:rPr>
        <w:t>ը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այլ եղանակով փաթեթավորված նատրիումի քլորիդ</w:t>
      </w:r>
      <w:r w:rsidR="00A43330" w:rsidRPr="00312479">
        <w:rPr>
          <w:rFonts w:ascii="Sylfaen" w:hAnsi="Sylfaen"/>
          <w:sz w:val="24"/>
          <w:szCs w:val="24"/>
        </w:rPr>
        <w:t>ը</w:t>
      </w:r>
      <w:r w:rsidRPr="00312479">
        <w:rPr>
          <w:rFonts w:ascii="Sylfaen" w:hAnsi="Sylfaen"/>
          <w:sz w:val="24"/>
          <w:szCs w:val="24"/>
        </w:rPr>
        <w:t xml:space="preserve">, որոնք ներկայացված են որպես դեղամիջոցներ </w:t>
      </w:r>
      <w:r w:rsidR="009F3343" w:rsidRPr="00312479">
        <w:rPr>
          <w:rFonts w:ascii="Sylfaen" w:hAnsi="Sylfaen"/>
          <w:b/>
          <w:sz w:val="24"/>
          <w:szCs w:val="24"/>
        </w:rPr>
        <w:t>(խումբ 30)</w:t>
      </w:r>
      <w:r w:rsidRPr="00312479">
        <w:rPr>
          <w:rFonts w:ascii="Sylfaen" w:hAnsi="Sylfaen"/>
          <w:sz w:val="24"/>
          <w:szCs w:val="24"/>
        </w:rPr>
        <w:t>, ինչպես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հիգիենիկ նպատակներով մանրածախ առ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տրի համար փաթեթվածքներում բաժնեծրարված նատրիումի քլորիդի լուծույթներ՝ բացառությամբ բժշկական կամ դեղագործական միջոցների, մանրէազերծ կամ ոչ մանրէազերծ </w:t>
      </w:r>
      <w:r w:rsidR="009F3343" w:rsidRPr="00312479">
        <w:rPr>
          <w:rFonts w:ascii="Sylfaen" w:hAnsi="Sylfaen"/>
          <w:b/>
          <w:sz w:val="24"/>
          <w:szCs w:val="24"/>
        </w:rPr>
        <w:t>(ապրանքային դիրք 3307).».</w:t>
      </w:r>
    </w:p>
    <w:p w:rsidR="00881C58" w:rsidRPr="00312479" w:rsidRDefault="007B040B" w:rsidP="007B040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10)</w:t>
      </w:r>
      <w:r w:rsidRPr="007B040B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2817 ապրանքային դիրքի պարզաբանումների Ա մասը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9F3343" w:rsidP="007B040B">
      <w:pPr>
        <w:pStyle w:val="Bodytext3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b w:val="0"/>
          <w:sz w:val="24"/>
          <w:szCs w:val="24"/>
        </w:rPr>
        <w:t>«Ա) մաս</w:t>
      </w:r>
      <w:r w:rsidR="00027A94" w:rsidRPr="00312479">
        <w:rPr>
          <w:rFonts w:ascii="Sylfaen" w:hAnsi="Sylfaen"/>
          <w:sz w:val="24"/>
          <w:szCs w:val="24"/>
        </w:rPr>
        <w:t>.</w:t>
      </w:r>
      <w:r w:rsidR="00161461" w:rsidRPr="00312479">
        <w:rPr>
          <w:rFonts w:ascii="Sylfaen" w:hAnsi="Sylfaen"/>
          <w:sz w:val="24"/>
          <w:szCs w:val="24"/>
        </w:rPr>
        <w:t xml:space="preserve"> ՑԻՆԿԻ ՕՔՍԻԴ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Ցինկի օքսիդ (ցինկի շպար) (ZnO) ստանում են օդի թթվածնով ցինկի </w:t>
      </w:r>
      <w:r w:rsidRPr="00312479">
        <w:rPr>
          <w:rFonts w:ascii="Sylfaen" w:hAnsi="Sylfaen"/>
          <w:sz w:val="24"/>
          <w:szCs w:val="24"/>
        </w:rPr>
        <w:lastRenderedPageBreak/>
        <w:t>գոլորշիներն այրելու միջոցով։ Ցինկի գոլորշիներ</w:t>
      </w:r>
      <w:r w:rsidR="00EF2A20" w:rsidRPr="00312479">
        <w:rPr>
          <w:rFonts w:ascii="Sylfaen" w:hAnsi="Sylfaen"/>
          <w:sz w:val="24"/>
          <w:szCs w:val="24"/>
        </w:rPr>
        <w:t>ն</w:t>
      </w:r>
      <w:r w:rsidRPr="00312479">
        <w:rPr>
          <w:rFonts w:ascii="Sylfaen" w:hAnsi="Sylfaen"/>
          <w:sz w:val="24"/>
          <w:szCs w:val="24"/>
        </w:rPr>
        <w:t xml:space="preserve"> ստանում են մետաղական ցինկի շոգիացման միջոցով (անուղղակի կամ ֆրանսիական գործընթաց) կամ ածխածնով ցինկային օքսիդային հումքի, օրինակ՝ ցինկի հանքաքարերի (թրծած սֆալերիտ, կալամին՝ </w:t>
      </w:r>
      <w:r w:rsidR="009F3343" w:rsidRPr="00312479">
        <w:rPr>
          <w:rFonts w:ascii="Sylfaen" w:hAnsi="Sylfaen"/>
          <w:b/>
          <w:sz w:val="24"/>
          <w:szCs w:val="24"/>
        </w:rPr>
        <w:t>ապրանքային դիրք 2608</w:t>
      </w:r>
      <w:r w:rsidRPr="00312479">
        <w:rPr>
          <w:rFonts w:ascii="Sylfaen" w:hAnsi="Sylfaen"/>
          <w:sz w:val="24"/>
          <w:szCs w:val="24"/>
        </w:rPr>
        <w:t>) վերականգնման միջոցով (ուղղակի կամ ամերիկյան գործնթաց)։ Այս գործընթացներում օքսիդը հավաքվում է թ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քային զտիչներով փոշեորսիչ խցիկներում կամ մաքրության մակարդակի բարձրացմամբ օքսիդների նստվածքների ձ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ավորման խցիկներում։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Թաց գործընթացներում ցինկը </w:t>
      </w:r>
      <w:r w:rsidR="00D41CD2" w:rsidRPr="00312479">
        <w:rPr>
          <w:rFonts w:ascii="Sylfaen" w:hAnsi="Sylfaen"/>
          <w:sz w:val="24"/>
          <w:szCs w:val="24"/>
        </w:rPr>
        <w:t>ալկալահանում</w:t>
      </w:r>
      <w:r w:rsidRPr="00312479">
        <w:rPr>
          <w:rFonts w:ascii="Sylfaen" w:hAnsi="Sylfaen"/>
          <w:sz w:val="24"/>
          <w:szCs w:val="24"/>
        </w:rPr>
        <w:t xml:space="preserve"> են ցինկի հումքից, այնուհետ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նստեցնում են ցինկի հիդրօքսիդի կամ ցինկի կարբոնատի տեսքով։ Նստվածքը </w:t>
      </w:r>
      <w:r w:rsidR="00E974DE" w:rsidRPr="00312479">
        <w:rPr>
          <w:rFonts w:ascii="Sylfaen" w:hAnsi="Sylfaen"/>
          <w:sz w:val="24"/>
          <w:szCs w:val="24"/>
        </w:rPr>
        <w:t>ֆիլտր</w:t>
      </w:r>
      <w:r w:rsidRPr="00312479">
        <w:rPr>
          <w:rFonts w:ascii="Sylfaen" w:hAnsi="Sylfaen"/>
          <w:sz w:val="24"/>
          <w:szCs w:val="24"/>
        </w:rPr>
        <w:t xml:space="preserve">ում են, լվանում, չորացնում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շիկացնում են</w:t>
      </w:r>
      <w:r w:rsidR="00E974DE" w:rsidRPr="00312479">
        <w:rPr>
          <w:rFonts w:ascii="Sylfaen" w:hAnsi="Sylfaen"/>
          <w:sz w:val="24"/>
          <w:szCs w:val="24"/>
        </w:rPr>
        <w:t>՝ վերածելով</w:t>
      </w:r>
      <w:r w:rsidRPr="00312479">
        <w:rPr>
          <w:rFonts w:ascii="Sylfaen" w:hAnsi="Sylfaen"/>
          <w:sz w:val="24"/>
          <w:szCs w:val="24"/>
        </w:rPr>
        <w:t xml:space="preserve"> ZnO</w:t>
      </w:r>
      <w:r w:rsidR="00A96997" w:rsidRPr="00312479">
        <w:rPr>
          <w:rFonts w:ascii="Sylfaen" w:hAnsi="Sylfaen"/>
          <w:sz w:val="24"/>
          <w:szCs w:val="24"/>
        </w:rPr>
        <w:t>-ի</w:t>
      </w:r>
      <w:r w:rsidRPr="00312479">
        <w:rPr>
          <w:rFonts w:ascii="Sylfaen" w:hAnsi="Sylfaen"/>
          <w:sz w:val="24"/>
          <w:szCs w:val="24"/>
        </w:rPr>
        <w:t>։ Ցինկի օքսիդ</w:t>
      </w:r>
      <w:r w:rsidR="00E974DE" w:rsidRPr="00312479">
        <w:rPr>
          <w:rFonts w:ascii="Sylfaen" w:hAnsi="Sylfaen"/>
          <w:sz w:val="24"/>
          <w:szCs w:val="24"/>
        </w:rPr>
        <w:t>ը</w:t>
      </w:r>
      <w:r w:rsidRPr="00312479">
        <w:rPr>
          <w:rFonts w:ascii="Sylfaen" w:hAnsi="Sylfaen"/>
          <w:sz w:val="24"/>
          <w:szCs w:val="24"/>
        </w:rPr>
        <w:t xml:space="preserve"> մանր սպիտակ փոշի</w:t>
      </w:r>
      <w:r w:rsidR="00E974DE" w:rsidRPr="00312479">
        <w:rPr>
          <w:rFonts w:ascii="Sylfaen" w:hAnsi="Sylfaen"/>
          <w:sz w:val="24"/>
          <w:szCs w:val="24"/>
        </w:rPr>
        <w:t xml:space="preserve"> է</w:t>
      </w:r>
      <w:r w:rsidRPr="00312479">
        <w:rPr>
          <w:rFonts w:ascii="Sylfaen" w:hAnsi="Sylfaen"/>
          <w:sz w:val="24"/>
          <w:szCs w:val="24"/>
        </w:rPr>
        <w:t xml:space="preserve">, որը տաքացման ժամանակ դեղնում է։ Այն ունի ամֆոտեր բնույթ, լուծվում է թթուներում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ալկալիներում։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Ցինկի օքսիդն օգտագործվում է հիմնականում արդյունաբերական ներկերում։ Այն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օգտագործվում է ռետինի, կերամիկայի, ապակու, էլեկտրոնիկայի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դեղագործ</w:t>
      </w:r>
      <w:r w:rsidR="00E974DE" w:rsidRPr="00312479">
        <w:rPr>
          <w:rFonts w:ascii="Sylfaen" w:hAnsi="Sylfaen"/>
          <w:sz w:val="24"/>
          <w:szCs w:val="24"/>
        </w:rPr>
        <w:t>ակ</w:t>
      </w:r>
      <w:r w:rsidRPr="00312479">
        <w:rPr>
          <w:rFonts w:ascii="Sylfaen" w:hAnsi="Sylfaen"/>
          <w:sz w:val="24"/>
          <w:szCs w:val="24"/>
        </w:rPr>
        <w:t xml:space="preserve">ան </w:t>
      </w:r>
      <w:r w:rsidR="00E974DE" w:rsidRPr="00312479">
        <w:rPr>
          <w:rFonts w:ascii="Sylfaen" w:hAnsi="Sylfaen"/>
          <w:sz w:val="24"/>
          <w:szCs w:val="24"/>
        </w:rPr>
        <w:t xml:space="preserve">նյութերի </w:t>
      </w:r>
      <w:r w:rsidRPr="00312479">
        <w:rPr>
          <w:rFonts w:ascii="Sylfaen" w:hAnsi="Sylfaen"/>
          <w:sz w:val="24"/>
          <w:szCs w:val="24"/>
        </w:rPr>
        <w:t>արտադրության ժամանակ։ Ցինկի օքսիդը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պլաստմասսայի արտադրության ժամանակ օգտագործվող՝ անօրգանական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օրգանական աղերի լայն սպեկտրի արտադրության համար հումք է։</w:t>
      </w:r>
    </w:p>
    <w:p w:rsidR="00881C58" w:rsidRPr="00A41EA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312479">
        <w:rPr>
          <w:rFonts w:ascii="Sylfaen" w:hAnsi="Sylfaen"/>
          <w:sz w:val="24"/>
          <w:szCs w:val="24"/>
        </w:rPr>
        <w:t>2841 ապրանքային դիրքի ցինկատները համապատաս</w:t>
      </w:r>
      <w:r w:rsidR="00A41EA9">
        <w:rPr>
          <w:rFonts w:ascii="Sylfaen" w:hAnsi="Sylfaen"/>
          <w:sz w:val="24"/>
          <w:szCs w:val="24"/>
        </w:rPr>
        <w:t>խանում են այդ ամֆոտեր օքսիդին։»</w:t>
      </w:r>
    </w:p>
    <w:p w:rsidR="00881C58" w:rsidRPr="00312479" w:rsidRDefault="00A41EA9" w:rsidP="00A8233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11)</w:t>
      </w:r>
      <w:r w:rsidRPr="00A41EA9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ԵԱՏՄ ԱՏԳ ԱԱ 2833 ապրանքային դիրքի պարզաբանումների (Ա) մասի 1-ին կետի </w:t>
      </w:r>
      <w:r w:rsidR="00D46D3A" w:rsidRPr="00312479">
        <w:rPr>
          <w:rFonts w:ascii="Sylfaen" w:hAnsi="Sylfaen"/>
          <w:sz w:val="24"/>
          <w:szCs w:val="24"/>
        </w:rPr>
        <w:t>«</w:t>
      </w:r>
      <w:r w:rsidR="00E73B5D" w:rsidRPr="00312479">
        <w:rPr>
          <w:rFonts w:ascii="Sylfaen" w:hAnsi="Sylfaen"/>
          <w:sz w:val="24"/>
          <w:szCs w:val="24"/>
        </w:rPr>
        <w:t>ա</w:t>
      </w:r>
      <w:r w:rsidR="00D46D3A" w:rsidRPr="00312479">
        <w:rPr>
          <w:rFonts w:ascii="Sylfaen" w:hAnsi="Sylfaen"/>
          <w:sz w:val="24"/>
          <w:szCs w:val="24"/>
        </w:rPr>
        <w:t>»</w:t>
      </w:r>
      <w:r w:rsidR="00E73B5D" w:rsidRPr="00312479">
        <w:rPr>
          <w:rFonts w:ascii="Sylfaen" w:hAnsi="Sylfaen"/>
          <w:sz w:val="24"/>
          <w:szCs w:val="24"/>
        </w:rPr>
        <w:t xml:space="preserve"> ենթակետից հետո պարբերությ</w:t>
      </w:r>
      <w:r w:rsidR="008E2EC7" w:rsidRPr="00312479">
        <w:rPr>
          <w:rFonts w:ascii="Sylfaen" w:hAnsi="Sylfaen"/>
          <w:sz w:val="24"/>
          <w:szCs w:val="24"/>
        </w:rPr>
        <w:t>ա</w:t>
      </w:r>
      <w:r w:rsidR="00E73B5D" w:rsidRPr="00312479">
        <w:rPr>
          <w:rFonts w:ascii="Sylfaen" w:hAnsi="Sylfaen"/>
          <w:sz w:val="24"/>
          <w:szCs w:val="24"/>
        </w:rPr>
        <w:t>ն</w:t>
      </w:r>
      <w:r w:rsidR="008E2EC7" w:rsidRPr="00312479">
        <w:rPr>
          <w:rFonts w:ascii="Sylfaen" w:hAnsi="Sylfaen"/>
          <w:sz w:val="24"/>
          <w:szCs w:val="24"/>
        </w:rPr>
        <w:t xml:space="preserve"> </w:t>
      </w:r>
      <w:r w:rsidR="00E73B5D" w:rsidRPr="00312479">
        <w:rPr>
          <w:rFonts w:ascii="Sylfaen" w:hAnsi="Sylfaen"/>
          <w:sz w:val="24"/>
          <w:szCs w:val="24"/>
        </w:rPr>
        <w:t>մ</w:t>
      </w:r>
      <w:r w:rsidR="008E2EC7" w:rsidRPr="00312479">
        <w:rPr>
          <w:rFonts w:ascii="Sylfaen" w:hAnsi="Sylfaen"/>
          <w:sz w:val="24"/>
          <w:szCs w:val="24"/>
        </w:rPr>
        <w:t>եջ</w:t>
      </w:r>
      <w:r w:rsidR="00E73B5D" w:rsidRPr="00312479">
        <w:rPr>
          <w:rFonts w:ascii="Sylfaen" w:hAnsi="Sylfaen"/>
          <w:sz w:val="24"/>
          <w:szCs w:val="24"/>
        </w:rPr>
        <w:t>՝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հանել «պոլիհալիտ» բառը.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«աստրախանիտ,» բառից հետո ավելացնել «</w:t>
      </w:r>
      <w:r w:rsidR="009F3343" w:rsidRPr="00312479">
        <w:rPr>
          <w:rFonts w:ascii="Sylfaen" w:hAnsi="Sylfaen"/>
          <w:sz w:val="24"/>
          <w:szCs w:val="24"/>
        </w:rPr>
        <w:t>ռեուսին</w:t>
      </w:r>
      <w:r w:rsidRPr="00312479">
        <w:rPr>
          <w:rFonts w:ascii="Sylfaen" w:hAnsi="Sylfaen"/>
          <w:sz w:val="24"/>
          <w:szCs w:val="24"/>
        </w:rPr>
        <w:t>,» բառը։</w:t>
      </w:r>
    </w:p>
    <w:p w:rsidR="00881C58" w:rsidRPr="00312479" w:rsidRDefault="00A41EA9" w:rsidP="00A8233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A8233F">
        <w:rPr>
          <w:rFonts w:ascii="Sylfaen" w:hAnsi="Sylfaen"/>
          <w:sz w:val="24"/>
          <w:szCs w:val="24"/>
        </w:rPr>
        <w:tab/>
      </w:r>
      <w:r w:rsidR="00161461" w:rsidRPr="00312479">
        <w:rPr>
          <w:rFonts w:ascii="Sylfaen" w:hAnsi="Sylfaen"/>
          <w:sz w:val="24"/>
          <w:szCs w:val="24"/>
        </w:rPr>
        <w:t>2-րդ հատորում՝</w:t>
      </w:r>
    </w:p>
    <w:p w:rsidR="00881C58" w:rsidRPr="00312479" w:rsidRDefault="00A8233F" w:rsidP="00A8233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 w:rsidRPr="00A8233F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ԵԱՏՄ ԱՏԳ ԱԱ 2909 ապրանքային դիրքի պարզաբանումների Դ մասի առաջին 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 երկրորդ պարբերությունները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A8233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lastRenderedPageBreak/>
        <w:t>«ROOH, ROOR</w:t>
      </w:r>
      <w:r w:rsidRPr="00312479">
        <w:rPr>
          <w:rFonts w:ascii="Sylfaen" w:hAnsi="Sylfaen"/>
          <w:sz w:val="24"/>
          <w:szCs w:val="24"/>
          <w:vertAlign w:val="superscript"/>
        </w:rPr>
        <w:t>1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ROOR</w:t>
      </w:r>
      <w:r w:rsidRPr="00312479">
        <w:rPr>
          <w:rFonts w:ascii="Sylfaen" w:hAnsi="Sylfaen"/>
          <w:sz w:val="24"/>
          <w:szCs w:val="24"/>
          <w:vertAlign w:val="superscript"/>
        </w:rPr>
        <w:t>2</w:t>
      </w:r>
      <w:r w:rsidRPr="00312479">
        <w:rPr>
          <w:rFonts w:ascii="Sylfaen" w:hAnsi="Sylfaen"/>
          <w:sz w:val="24"/>
          <w:szCs w:val="24"/>
        </w:rPr>
        <w:t>OOR</w:t>
      </w:r>
      <w:r w:rsidRPr="00312479">
        <w:rPr>
          <w:rFonts w:ascii="Sylfaen" w:hAnsi="Sylfaen"/>
          <w:sz w:val="24"/>
          <w:szCs w:val="24"/>
          <w:vertAlign w:val="superscript"/>
        </w:rPr>
        <w:t>1</w:t>
      </w:r>
      <w:r w:rsidRPr="00312479">
        <w:rPr>
          <w:rFonts w:ascii="Sylfaen" w:hAnsi="Sylfaen"/>
          <w:sz w:val="24"/>
          <w:szCs w:val="24"/>
        </w:rPr>
        <w:t xml:space="preserve"> տ</w:t>
      </w:r>
      <w:r w:rsidR="00306440" w:rsidRPr="00312479">
        <w:rPr>
          <w:rFonts w:ascii="Sylfaen" w:hAnsi="Sylfaen"/>
          <w:sz w:val="24"/>
          <w:szCs w:val="24"/>
        </w:rPr>
        <w:t>իպ</w:t>
      </w:r>
      <w:r w:rsidRPr="00312479">
        <w:rPr>
          <w:rFonts w:ascii="Sylfaen" w:hAnsi="Sylfaen"/>
          <w:sz w:val="24"/>
          <w:szCs w:val="24"/>
        </w:rPr>
        <w:t>ի միացությունները, որոնցում R</w:t>
      </w:r>
      <w:r w:rsidR="00306440" w:rsidRPr="00312479">
        <w:rPr>
          <w:rFonts w:ascii="Sylfaen" w:hAnsi="Sylfaen"/>
          <w:sz w:val="24"/>
          <w:szCs w:val="24"/>
        </w:rPr>
        <w:t>-ը</w:t>
      </w:r>
      <w:r w:rsidRPr="00312479">
        <w:rPr>
          <w:rFonts w:ascii="Sylfaen" w:hAnsi="Sylfaen"/>
          <w:sz w:val="24"/>
          <w:szCs w:val="24"/>
        </w:rPr>
        <w:t>, R</w:t>
      </w:r>
      <w:r w:rsidRPr="00312479">
        <w:rPr>
          <w:rFonts w:ascii="Sylfaen" w:hAnsi="Sylfaen"/>
          <w:sz w:val="24"/>
          <w:szCs w:val="24"/>
          <w:vertAlign w:val="superscript"/>
        </w:rPr>
        <w:t>1</w:t>
      </w:r>
      <w:r w:rsidR="00306440" w:rsidRPr="00312479">
        <w:rPr>
          <w:rFonts w:ascii="Sylfaen" w:hAnsi="Sylfaen"/>
          <w:sz w:val="24"/>
          <w:szCs w:val="24"/>
        </w:rPr>
        <w:t>-ը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R</w:t>
      </w:r>
      <w:r w:rsidRPr="00312479">
        <w:rPr>
          <w:rFonts w:ascii="Sylfaen" w:hAnsi="Sylfaen"/>
          <w:sz w:val="24"/>
          <w:szCs w:val="24"/>
          <w:vertAlign w:val="superscript"/>
        </w:rPr>
        <w:t>2</w:t>
      </w:r>
      <w:r w:rsidR="00306440" w:rsidRPr="00312479">
        <w:rPr>
          <w:rFonts w:ascii="Sylfaen" w:hAnsi="Sylfaen"/>
          <w:sz w:val="24"/>
          <w:szCs w:val="24"/>
        </w:rPr>
        <w:t>-ը</w:t>
      </w:r>
      <w:r w:rsidRPr="00312479">
        <w:rPr>
          <w:rFonts w:ascii="Sylfaen" w:hAnsi="Sylfaen"/>
          <w:sz w:val="24"/>
          <w:szCs w:val="24"/>
        </w:rPr>
        <w:t xml:space="preserve"> օրգանական ռադիկալներ են,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R</w:t>
      </w:r>
      <w:r w:rsidR="00306440" w:rsidRPr="00312479">
        <w:rPr>
          <w:rFonts w:ascii="Sylfaen" w:hAnsi="Sylfaen"/>
          <w:sz w:val="24"/>
          <w:szCs w:val="24"/>
        </w:rPr>
        <w:t>-</w:t>
      </w:r>
      <w:r w:rsidR="008E2EC7" w:rsidRPr="00312479">
        <w:rPr>
          <w:rFonts w:ascii="Sylfaen" w:hAnsi="Sylfaen"/>
          <w:sz w:val="24"/>
          <w:szCs w:val="24"/>
        </w:rPr>
        <w:t>ն</w:t>
      </w:r>
      <w:r w:rsidRPr="00312479">
        <w:rPr>
          <w:rFonts w:ascii="Sylfaen" w:hAnsi="Sylfaen"/>
          <w:sz w:val="24"/>
          <w:szCs w:val="24"/>
        </w:rPr>
        <w:t xml:space="preserve"> ու R</w:t>
      </w:r>
      <w:r w:rsidRPr="00312479">
        <w:rPr>
          <w:rFonts w:ascii="Sylfaen" w:hAnsi="Sylfaen"/>
          <w:sz w:val="24"/>
          <w:szCs w:val="24"/>
          <w:vertAlign w:val="superscript"/>
        </w:rPr>
        <w:t>1</w:t>
      </w:r>
      <w:r w:rsidR="00306440" w:rsidRPr="00312479">
        <w:rPr>
          <w:rFonts w:ascii="Sylfaen" w:hAnsi="Sylfaen"/>
          <w:sz w:val="24"/>
          <w:szCs w:val="24"/>
        </w:rPr>
        <w:t>-ը</w:t>
      </w:r>
      <w:r w:rsidRPr="00312479">
        <w:rPr>
          <w:rFonts w:ascii="Sylfaen" w:hAnsi="Sylfaen"/>
          <w:sz w:val="24"/>
          <w:szCs w:val="24"/>
        </w:rPr>
        <w:t xml:space="preserve"> կարող են լինել միանման կամ տարբեր։</w:t>
      </w:r>
    </w:p>
    <w:p w:rsidR="00881C58" w:rsidRPr="00312479" w:rsidRDefault="00161461" w:rsidP="00A8233F">
      <w:pPr>
        <w:pStyle w:val="Bodytext3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Օրինակներ </w:t>
      </w:r>
      <w:r w:rsidR="00D41CD2" w:rsidRPr="00312479">
        <w:rPr>
          <w:rFonts w:ascii="Sylfaen" w:hAnsi="Sylfaen"/>
          <w:sz w:val="24"/>
          <w:szCs w:val="24"/>
        </w:rPr>
        <w:t>են</w:t>
      </w:r>
      <w:r w:rsidR="001F00A7" w:rsidRPr="00312479">
        <w:rPr>
          <w:rFonts w:ascii="Sylfaen" w:hAnsi="Sylfaen"/>
          <w:sz w:val="24"/>
          <w:szCs w:val="24"/>
        </w:rPr>
        <w:t xml:space="preserve"> է</w:t>
      </w:r>
      <w:r w:rsidRPr="00312479">
        <w:rPr>
          <w:rFonts w:ascii="Sylfaen" w:hAnsi="Sylfaen"/>
          <w:sz w:val="24"/>
          <w:szCs w:val="24"/>
        </w:rPr>
        <w:t xml:space="preserve">թիլհիդրոպերօքսիդը, դիէթիլպերօքսիդը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1Դ-դի(տրետ-բութիլպերօքսի)ցիկլոհեքսանը։».</w:t>
      </w:r>
    </w:p>
    <w:p w:rsidR="00881C58" w:rsidRPr="00312479" w:rsidRDefault="00A8233F" w:rsidP="00A8233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 w:rsidRPr="00A8233F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29-րդ խմբի VII ենթախմբի պարզաբանումների ընդհանուր դրույթներում՝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Գ մասը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խմբագրությամբ՝</w:t>
      </w:r>
    </w:p>
    <w:p w:rsidR="00470D28" w:rsidRPr="00312479" w:rsidRDefault="00470D28" w:rsidP="00312479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</w:p>
    <w:p w:rsidR="00881C58" w:rsidRPr="00312479" w:rsidRDefault="00161461" w:rsidP="00312479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«Գ) ԹԹՈՒՆԵՐԻ ՊԵՐՕՔՍԻԴՆԵՐ</w:t>
      </w:r>
    </w:p>
    <w:p w:rsidR="00881C58" w:rsidRPr="007C334D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Թթուների պերօքսիդները, որոնք հայտնի են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որպես դիացիլպերօքսիդներ, </w:t>
      </w:r>
      <w:r w:rsidR="00E774CE" w:rsidRPr="00312479">
        <w:rPr>
          <w:rFonts w:ascii="Sylfaen" w:hAnsi="Sylfaen"/>
          <w:sz w:val="24"/>
          <w:szCs w:val="24"/>
        </w:rPr>
        <w:t xml:space="preserve">այնպիսի </w:t>
      </w:r>
      <w:r w:rsidRPr="00312479">
        <w:rPr>
          <w:rFonts w:ascii="Sylfaen" w:hAnsi="Sylfaen"/>
          <w:sz w:val="24"/>
          <w:szCs w:val="24"/>
        </w:rPr>
        <w:t>միացություններ</w:t>
      </w:r>
      <w:r w:rsidR="00E774CE" w:rsidRPr="00312479">
        <w:rPr>
          <w:rFonts w:ascii="Sylfaen" w:hAnsi="Sylfaen"/>
          <w:sz w:val="24"/>
          <w:szCs w:val="24"/>
        </w:rPr>
        <w:t xml:space="preserve"> են</w:t>
      </w:r>
      <w:r w:rsidRPr="00312479">
        <w:rPr>
          <w:rFonts w:ascii="Sylfaen" w:hAnsi="Sylfaen"/>
          <w:sz w:val="24"/>
          <w:szCs w:val="24"/>
        </w:rPr>
        <w:t>, որոնցում երկու ացիլային ռադիկալներ կապված են թթվածնի երկու ատոմով. դրանց ընդհանուր բանաձ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ն ունի 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տեսքը (R·CO-O-O-COR</w:t>
      </w:r>
      <w:r w:rsidRPr="00312479">
        <w:rPr>
          <w:rFonts w:ascii="Sylfaen" w:hAnsi="Sylfaen"/>
          <w:sz w:val="24"/>
          <w:szCs w:val="24"/>
          <w:vertAlign w:val="superscript"/>
        </w:rPr>
        <w:t>1</w:t>
      </w:r>
      <w:r w:rsidRPr="00312479">
        <w:rPr>
          <w:rFonts w:ascii="Sylfaen" w:hAnsi="Sylfaen"/>
          <w:sz w:val="24"/>
          <w:szCs w:val="24"/>
        </w:rPr>
        <w:t>), որում R</w:t>
      </w:r>
      <w:r w:rsidR="00E774CE" w:rsidRPr="00312479">
        <w:rPr>
          <w:rFonts w:ascii="Sylfaen" w:hAnsi="Sylfaen"/>
          <w:sz w:val="24"/>
          <w:szCs w:val="24"/>
        </w:rPr>
        <w:t>-ը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R</w:t>
      </w:r>
      <w:r w:rsidRPr="00312479">
        <w:rPr>
          <w:rFonts w:ascii="Sylfaen" w:hAnsi="Sylfaen"/>
          <w:sz w:val="24"/>
          <w:szCs w:val="24"/>
          <w:vertAlign w:val="superscript"/>
        </w:rPr>
        <w:t>1</w:t>
      </w:r>
      <w:r w:rsidR="00E774CE" w:rsidRPr="00312479">
        <w:rPr>
          <w:rFonts w:ascii="Sylfaen" w:hAnsi="Sylfaen"/>
          <w:sz w:val="24"/>
          <w:szCs w:val="24"/>
        </w:rPr>
        <w:t>-ը</w:t>
      </w:r>
      <w:r w:rsidRPr="00312479">
        <w:rPr>
          <w:rFonts w:ascii="Sylfaen" w:hAnsi="Sylfaen"/>
          <w:sz w:val="24"/>
          <w:szCs w:val="24"/>
        </w:rPr>
        <w:t xml:space="preserve"> կարո</w:t>
      </w:r>
      <w:r w:rsidR="00233672">
        <w:rPr>
          <w:rFonts w:ascii="Sylfaen" w:hAnsi="Sylfaen"/>
          <w:sz w:val="24"/>
          <w:szCs w:val="24"/>
        </w:rPr>
        <w:t>ղ են լինել միանման կամ տարբեր։»</w:t>
      </w:r>
    </w:p>
    <w:p w:rsidR="00881C58" w:rsidRPr="007C334D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Ե մասից հետո </w:t>
      </w:r>
      <w:r w:rsidR="00E774CE" w:rsidRPr="00312479">
        <w:rPr>
          <w:rFonts w:ascii="Sylfaen" w:hAnsi="Sylfaen"/>
          <w:sz w:val="24"/>
          <w:szCs w:val="24"/>
        </w:rPr>
        <w:t>ավելացն</w:t>
      </w:r>
      <w:r w:rsidRPr="00312479">
        <w:rPr>
          <w:rFonts w:ascii="Sylfaen" w:hAnsi="Sylfaen"/>
          <w:sz w:val="24"/>
          <w:szCs w:val="24"/>
        </w:rPr>
        <w:t xml:space="preserve">ել </w:t>
      </w:r>
      <w:r w:rsidR="00E774CE" w:rsidRPr="00312479">
        <w:rPr>
          <w:rFonts w:ascii="Sylfaen" w:hAnsi="Sylfaen"/>
          <w:sz w:val="24"/>
          <w:szCs w:val="24"/>
        </w:rPr>
        <w:t xml:space="preserve">նոր Զ մաս՝ </w:t>
      </w:r>
      <w:r w:rsidRPr="00312479">
        <w:rPr>
          <w:rFonts w:ascii="Sylfaen" w:hAnsi="Sylfaen"/>
          <w:sz w:val="24"/>
          <w:szCs w:val="24"/>
        </w:rPr>
        <w:t>հետ</w:t>
      </w:r>
      <w:r w:rsidR="00A61C81">
        <w:rPr>
          <w:rFonts w:ascii="Sylfaen" w:hAnsi="Sylfaen"/>
          <w:sz w:val="24"/>
          <w:szCs w:val="24"/>
        </w:rPr>
        <w:t>և</w:t>
      </w:r>
      <w:r w:rsidR="00233672">
        <w:rPr>
          <w:rFonts w:ascii="Sylfaen" w:hAnsi="Sylfaen"/>
          <w:sz w:val="24"/>
          <w:szCs w:val="24"/>
        </w:rPr>
        <w:t>յալ բովանդակությամբ</w:t>
      </w:r>
    </w:p>
    <w:p w:rsidR="00470D28" w:rsidRPr="00312479" w:rsidRDefault="00470D28" w:rsidP="00312479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</w:p>
    <w:p w:rsidR="00881C58" w:rsidRPr="00312479" w:rsidRDefault="00161461" w:rsidP="00312479">
      <w:pPr>
        <w:pStyle w:val="Bodytext3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«Զ) ՊԵՐՕՔՍԻԵԹԵՐՆԵՐ</w:t>
      </w:r>
    </w:p>
    <w:p w:rsidR="00881C58" w:rsidRPr="00233672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312479">
        <w:rPr>
          <w:rFonts w:ascii="Sylfaen" w:hAnsi="Sylfaen"/>
          <w:sz w:val="24"/>
          <w:szCs w:val="24"/>
        </w:rPr>
        <w:t>Պերօքսիեթերների ընդհանուր բանաձ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ն ունի 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տեսքը (RCO-O-OR</w:t>
      </w:r>
      <w:r w:rsidRPr="00312479">
        <w:rPr>
          <w:rFonts w:ascii="Sylfaen" w:hAnsi="Sylfaen"/>
          <w:sz w:val="24"/>
          <w:szCs w:val="24"/>
          <w:vertAlign w:val="superscript"/>
        </w:rPr>
        <w:t>1</w:t>
      </w:r>
      <w:r w:rsidRPr="00312479">
        <w:rPr>
          <w:rFonts w:ascii="Sylfaen" w:hAnsi="Sylfaen"/>
          <w:sz w:val="24"/>
          <w:szCs w:val="24"/>
        </w:rPr>
        <w:t>), որում R</w:t>
      </w:r>
      <w:r w:rsidR="00E774CE" w:rsidRPr="00312479">
        <w:rPr>
          <w:rFonts w:ascii="Sylfaen" w:hAnsi="Sylfaen"/>
          <w:sz w:val="24"/>
          <w:szCs w:val="24"/>
        </w:rPr>
        <w:t>-ը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R</w:t>
      </w:r>
      <w:r w:rsidRPr="00312479">
        <w:rPr>
          <w:rFonts w:ascii="Sylfaen" w:hAnsi="Sylfaen"/>
          <w:sz w:val="24"/>
          <w:szCs w:val="24"/>
          <w:vertAlign w:val="superscript"/>
        </w:rPr>
        <w:t>1</w:t>
      </w:r>
      <w:r w:rsidR="00E774CE" w:rsidRPr="00312479">
        <w:rPr>
          <w:rFonts w:ascii="Sylfaen" w:hAnsi="Sylfaen"/>
          <w:sz w:val="24"/>
          <w:szCs w:val="24"/>
        </w:rPr>
        <w:t>-ը</w:t>
      </w:r>
      <w:r w:rsidRPr="00312479">
        <w:rPr>
          <w:rFonts w:ascii="Sylfaen" w:hAnsi="Sylfaen"/>
          <w:sz w:val="24"/>
          <w:szCs w:val="24"/>
        </w:rPr>
        <w:t xml:space="preserve"> օրգանական ռադիկալներ են, որոնք կարո</w:t>
      </w:r>
      <w:r w:rsidR="00233672">
        <w:rPr>
          <w:rFonts w:ascii="Sylfaen" w:hAnsi="Sylfaen"/>
          <w:sz w:val="24"/>
          <w:szCs w:val="24"/>
        </w:rPr>
        <w:t>ղ են լինել միանման կամ տարբեր։»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Զ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Է մասերը համարել համապատասխանաբար Է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Ը մասեր.</w:t>
      </w:r>
    </w:p>
    <w:p w:rsidR="00881C58" w:rsidRPr="00312479" w:rsidRDefault="00233672" w:rsidP="0023367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3)</w:t>
      </w:r>
      <w:r w:rsidRPr="00233672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ԵԱՏՄ </w:t>
      </w:r>
      <w:r w:rsidR="00E73B5D" w:rsidRPr="008E0D12">
        <w:rPr>
          <w:rFonts w:ascii="Sylfaen" w:hAnsi="Sylfaen"/>
          <w:spacing w:val="6"/>
          <w:sz w:val="24"/>
          <w:szCs w:val="24"/>
        </w:rPr>
        <w:t xml:space="preserve">ԱՏԳ ԱԱ 2920 ապրանքային դիրքի պարզաբանումների Դ մասի 4-րդ կետից հետո </w:t>
      </w:r>
      <w:r w:rsidR="00E774CE" w:rsidRPr="008E0D12">
        <w:rPr>
          <w:rFonts w:ascii="Sylfaen" w:hAnsi="Sylfaen"/>
          <w:spacing w:val="6"/>
          <w:sz w:val="24"/>
          <w:szCs w:val="24"/>
        </w:rPr>
        <w:t>ավելաց</w:t>
      </w:r>
      <w:r w:rsidR="00E73B5D" w:rsidRPr="008E0D12">
        <w:rPr>
          <w:rFonts w:ascii="Sylfaen" w:hAnsi="Sylfaen"/>
          <w:spacing w:val="6"/>
          <w:sz w:val="24"/>
          <w:szCs w:val="24"/>
        </w:rPr>
        <w:t xml:space="preserve">նել </w:t>
      </w:r>
      <w:r w:rsidR="00E774CE" w:rsidRPr="008E0D12">
        <w:rPr>
          <w:rFonts w:ascii="Sylfaen" w:hAnsi="Sylfaen"/>
          <w:spacing w:val="6"/>
          <w:sz w:val="24"/>
          <w:szCs w:val="24"/>
        </w:rPr>
        <w:t xml:space="preserve">5-րդ կետ՝ </w:t>
      </w:r>
      <w:r w:rsidR="00E73B5D" w:rsidRPr="008E0D12">
        <w:rPr>
          <w:rFonts w:ascii="Sylfaen" w:hAnsi="Sylfaen"/>
          <w:spacing w:val="6"/>
          <w:sz w:val="24"/>
          <w:szCs w:val="24"/>
        </w:rPr>
        <w:t>հետ</w:t>
      </w:r>
      <w:r w:rsidR="00A61C81">
        <w:rPr>
          <w:rFonts w:ascii="Sylfaen" w:hAnsi="Sylfaen"/>
          <w:spacing w:val="6"/>
          <w:sz w:val="24"/>
          <w:szCs w:val="24"/>
        </w:rPr>
        <w:t>և</w:t>
      </w:r>
      <w:r w:rsidR="00E73B5D" w:rsidRPr="008E0D12">
        <w:rPr>
          <w:rFonts w:ascii="Sylfaen" w:hAnsi="Sylfaen"/>
          <w:spacing w:val="6"/>
          <w:sz w:val="24"/>
          <w:szCs w:val="24"/>
        </w:rPr>
        <w:t>յալ խմբագրությամբ</w:t>
      </w:r>
      <w:r w:rsidR="00E73B5D" w:rsidRPr="00312479">
        <w:rPr>
          <w:rFonts w:ascii="Sylfaen" w:hAnsi="Sylfaen"/>
          <w:sz w:val="24"/>
          <w:szCs w:val="24"/>
        </w:rPr>
        <w:t>՝</w:t>
      </w:r>
    </w:p>
    <w:p w:rsidR="00881C58" w:rsidRPr="00233672" w:rsidRDefault="00161461" w:rsidP="00233672">
      <w:pPr>
        <w:pStyle w:val="Bodytext3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«5) Տրետ-բութի</w:t>
      </w:r>
      <w:r w:rsidR="00233672">
        <w:rPr>
          <w:rFonts w:ascii="Sylfaen" w:hAnsi="Sylfaen"/>
          <w:sz w:val="24"/>
          <w:szCs w:val="24"/>
        </w:rPr>
        <w:t>լպերօքսի-2-էթիլհեքսիլկարբոնատ։»</w:t>
      </w:r>
    </w:p>
    <w:p w:rsidR="00881C58" w:rsidRPr="00312479" w:rsidRDefault="00233672" w:rsidP="0023367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4)</w:t>
      </w:r>
      <w:r w:rsidRPr="00233672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2922 ապրանքային դիրքի պարզաբանումների ենթադիրքերի պարզաբանումները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312479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«Ենթադիրքերի պարզաբանումները՝</w:t>
      </w:r>
    </w:p>
    <w:p w:rsidR="00881C58" w:rsidRPr="00312479" w:rsidRDefault="00E774CE" w:rsidP="00312479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Ենթադիրքեր </w:t>
      </w:r>
      <w:r w:rsidR="007C334D">
        <w:rPr>
          <w:rFonts w:ascii="Sylfaen" w:hAnsi="Sylfaen"/>
          <w:sz w:val="24"/>
          <w:szCs w:val="24"/>
        </w:rPr>
        <w:t>2922</w:t>
      </w:r>
      <w:r w:rsidR="007C334D" w:rsidRPr="00E44829">
        <w:rPr>
          <w:rFonts w:ascii="Sylfaen" w:hAnsi="Sylfaen"/>
          <w:sz w:val="24"/>
          <w:szCs w:val="24"/>
        </w:rPr>
        <w:t> </w:t>
      </w:r>
      <w:r w:rsidR="00161461" w:rsidRPr="00312479">
        <w:rPr>
          <w:rFonts w:ascii="Sylfaen" w:hAnsi="Sylfaen"/>
          <w:sz w:val="24"/>
          <w:szCs w:val="24"/>
        </w:rPr>
        <w:t>11-</w:t>
      </w:r>
      <w:r w:rsidR="007C334D">
        <w:rPr>
          <w:rFonts w:ascii="Sylfaen" w:hAnsi="Sylfaen"/>
          <w:sz w:val="24"/>
          <w:szCs w:val="24"/>
        </w:rPr>
        <w:t>2922</w:t>
      </w:r>
      <w:r w:rsidR="007C334D" w:rsidRPr="00E44829">
        <w:rPr>
          <w:rFonts w:ascii="Sylfaen" w:hAnsi="Sylfaen"/>
          <w:sz w:val="24"/>
          <w:szCs w:val="24"/>
        </w:rPr>
        <w:t> </w:t>
      </w:r>
      <w:r w:rsidR="00161461" w:rsidRPr="00312479">
        <w:rPr>
          <w:rFonts w:ascii="Sylfaen" w:hAnsi="Sylfaen"/>
          <w:sz w:val="24"/>
          <w:szCs w:val="24"/>
        </w:rPr>
        <w:t>50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Տվյալ ենթադիրքերում դասակարգման համար օրգանական կամ անօրգանական թթվի պարզ եթերային կամ բարդ եթերային </w:t>
      </w:r>
      <w:r w:rsidR="00E774CE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E774CE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խումբը դիտարկվում է որպես սպիրտային, ֆենոլային կամ թթվային </w:t>
      </w:r>
      <w:r w:rsidR="00E774CE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E774CE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խումբ՝ կախված ամին</w:t>
      </w:r>
      <w:r w:rsidR="00E774CE" w:rsidRPr="00312479">
        <w:rPr>
          <w:rFonts w:ascii="Sylfaen" w:hAnsi="Sylfaen"/>
          <w:sz w:val="24"/>
          <w:szCs w:val="24"/>
        </w:rPr>
        <w:t>ա</w:t>
      </w:r>
      <w:r w:rsidRPr="00312479">
        <w:rPr>
          <w:rFonts w:ascii="Sylfaen" w:hAnsi="Sylfaen"/>
          <w:sz w:val="24"/>
          <w:szCs w:val="24"/>
        </w:rPr>
        <w:t xml:space="preserve">խմբի նկատմամբ թթվածնակիր </w:t>
      </w:r>
      <w:r w:rsidR="00E774CE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E774CE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խմբի դիրքից։ Այս դեպքերում պետք է հաշվի առնվեն միայն այն թթվածնակիր </w:t>
      </w:r>
      <w:r w:rsidR="00E774CE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E774CE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խմբերը, որոնք ա</w:t>
      </w:r>
      <w:r w:rsidR="00E774CE" w:rsidRPr="00312479">
        <w:rPr>
          <w:rFonts w:ascii="Sylfaen" w:hAnsi="Sylfaen"/>
          <w:sz w:val="24"/>
          <w:szCs w:val="24"/>
        </w:rPr>
        <w:t>ռկա</w:t>
      </w:r>
      <w:r w:rsidRPr="00312479">
        <w:rPr>
          <w:rFonts w:ascii="Sylfaen" w:hAnsi="Sylfaen"/>
          <w:sz w:val="24"/>
          <w:szCs w:val="24"/>
        </w:rPr>
        <w:t xml:space="preserve"> են մոլեկուլի այն մասում, որը գտնվում է ամինային </w:t>
      </w:r>
      <w:r w:rsidR="00E774CE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E774CE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խմբի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պարզ եթերային կամ բարդ եթերային </w:t>
      </w:r>
      <w:r w:rsidR="00E774CE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E774CE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խմբին պատկանող թթվածնի ատոմի միջ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։ Ամինային </w:t>
      </w:r>
      <w:r w:rsidR="00E774CE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E774CE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խումբ պարունակող սեգմենտը դիտարկվում է որպես «ելակետային»։</w:t>
      </w:r>
      <w:r w:rsidR="002E0DFA" w:rsidRPr="002E0DFA">
        <w:rPr>
          <w:rFonts w:ascii="Sylfaen" w:hAnsi="Sylfaen"/>
          <w:sz w:val="24"/>
          <w:szCs w:val="24"/>
        </w:rPr>
        <w:t xml:space="preserve"> </w:t>
      </w:r>
      <w:r w:rsidRPr="00043A87">
        <w:rPr>
          <w:rFonts w:ascii="Sylfaen" w:hAnsi="Sylfaen"/>
          <w:spacing w:val="-6"/>
          <w:sz w:val="24"/>
          <w:szCs w:val="24"/>
        </w:rPr>
        <w:t>Օրինակ՝ 3-(2-ամինոէթօքսի)</w:t>
      </w:r>
      <w:r w:rsidR="00E44829" w:rsidRPr="00E44829">
        <w:rPr>
          <w:rFonts w:ascii="Sylfaen" w:hAnsi="Sylfaen"/>
          <w:spacing w:val="-6"/>
          <w:sz w:val="24"/>
          <w:szCs w:val="24"/>
        </w:rPr>
        <w:t xml:space="preserve"> </w:t>
      </w:r>
      <w:r w:rsidRPr="00043A87">
        <w:rPr>
          <w:rFonts w:ascii="Sylfaen" w:hAnsi="Sylfaen"/>
          <w:spacing w:val="-6"/>
          <w:sz w:val="24"/>
          <w:szCs w:val="24"/>
        </w:rPr>
        <w:t>պրոպիոնաթթու միացության մեջ ելակետային սեգմենտը ամին</w:t>
      </w:r>
      <w:r w:rsidR="00E774CE" w:rsidRPr="00043A87">
        <w:rPr>
          <w:rFonts w:ascii="Sylfaen" w:hAnsi="Sylfaen"/>
          <w:spacing w:val="-6"/>
          <w:sz w:val="24"/>
          <w:szCs w:val="24"/>
        </w:rPr>
        <w:t>ա</w:t>
      </w:r>
      <w:r w:rsidRPr="00043A87">
        <w:rPr>
          <w:rFonts w:ascii="Sylfaen" w:hAnsi="Sylfaen"/>
          <w:spacing w:val="-6"/>
          <w:sz w:val="24"/>
          <w:szCs w:val="24"/>
        </w:rPr>
        <w:t xml:space="preserve">էթանոլն է, </w:t>
      </w:r>
      <w:r w:rsidR="00A61C81">
        <w:rPr>
          <w:rFonts w:ascii="Sylfaen" w:hAnsi="Sylfaen"/>
          <w:spacing w:val="-6"/>
          <w:sz w:val="24"/>
          <w:szCs w:val="24"/>
        </w:rPr>
        <w:t>և</w:t>
      </w:r>
      <w:r w:rsidRPr="00043A87">
        <w:rPr>
          <w:rFonts w:ascii="Sylfaen" w:hAnsi="Sylfaen"/>
          <w:spacing w:val="-6"/>
          <w:sz w:val="24"/>
          <w:szCs w:val="24"/>
        </w:rPr>
        <w:t xml:space="preserve"> կարբօքսիլային խումբը դասակարգման նպատակներով հաշվի չի առնվում. տվյալ միացությունը, որպես ամին</w:t>
      </w:r>
      <w:r w:rsidR="00E774CE" w:rsidRPr="00043A87">
        <w:rPr>
          <w:rFonts w:ascii="Sylfaen" w:hAnsi="Sylfaen"/>
          <w:spacing w:val="-6"/>
          <w:sz w:val="24"/>
          <w:szCs w:val="24"/>
        </w:rPr>
        <w:t>ա</w:t>
      </w:r>
      <w:r w:rsidRPr="00043A87">
        <w:rPr>
          <w:rFonts w:ascii="Sylfaen" w:hAnsi="Sylfaen"/>
          <w:spacing w:val="-6"/>
          <w:sz w:val="24"/>
          <w:szCs w:val="24"/>
        </w:rPr>
        <w:t xml:space="preserve">սպիրտի պարզ եթեր, </w:t>
      </w:r>
      <w:r w:rsidR="00043A87">
        <w:rPr>
          <w:rFonts w:ascii="Sylfaen" w:hAnsi="Sylfaen"/>
          <w:sz w:val="24"/>
          <w:szCs w:val="24"/>
        </w:rPr>
        <w:t>ընդգրկվում է 2922</w:t>
      </w:r>
      <w:r w:rsidR="00043A87" w:rsidRPr="00043A87">
        <w:rPr>
          <w:rFonts w:ascii="Sylfaen" w:hAnsi="Sylfaen"/>
          <w:sz w:val="24"/>
          <w:szCs w:val="24"/>
        </w:rPr>
        <w:t> </w:t>
      </w:r>
      <w:r w:rsidRPr="00312479">
        <w:rPr>
          <w:rFonts w:ascii="Sylfaen" w:hAnsi="Sylfaen"/>
          <w:sz w:val="24"/>
          <w:szCs w:val="24"/>
        </w:rPr>
        <w:t>19 ենթադիրքում։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Եթե միացությունը պարունակում է երկու կամ ավելի պարզ եթերային կամ բարդ եթերային </w:t>
      </w:r>
      <w:r w:rsidR="00D226D7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D226D7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խմբեր, ապա մոլեկուլը </w:t>
      </w:r>
      <w:r w:rsidR="00371992" w:rsidRPr="00312479">
        <w:rPr>
          <w:rFonts w:ascii="Sylfaen" w:hAnsi="Sylfaen"/>
          <w:sz w:val="24"/>
          <w:szCs w:val="24"/>
        </w:rPr>
        <w:t xml:space="preserve">դասակարգման նպատակներով </w:t>
      </w:r>
      <w:r w:rsidRPr="00312479">
        <w:rPr>
          <w:rFonts w:ascii="Sylfaen" w:hAnsi="Sylfaen"/>
          <w:sz w:val="24"/>
          <w:szCs w:val="24"/>
        </w:rPr>
        <w:t xml:space="preserve">բաժանվում է մասերի՝ ըստ յուրաքանչյուր պարզ եթերային կամ բարդ եթերային </w:t>
      </w:r>
      <w:r w:rsidR="00D226D7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D226D7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խմբի թթվածնի ատոմի,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հաշվի են առնվում միայն այն թթվածնակիր </w:t>
      </w:r>
      <w:r w:rsidR="00D226D7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D226D7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խմբերը, որոնք գտնվում են </w:t>
      </w:r>
      <w:r w:rsidR="00D226D7" w:rsidRPr="00312479">
        <w:rPr>
          <w:rFonts w:ascii="Sylfaen" w:hAnsi="Sylfaen"/>
          <w:sz w:val="24"/>
          <w:szCs w:val="24"/>
        </w:rPr>
        <w:t xml:space="preserve">այն </w:t>
      </w:r>
      <w:r w:rsidRPr="00312479">
        <w:rPr>
          <w:rFonts w:ascii="Sylfaen" w:hAnsi="Sylfaen"/>
          <w:sz w:val="24"/>
          <w:szCs w:val="24"/>
        </w:rPr>
        <w:t xml:space="preserve">նույն սեգմենտում, ինչ ամինային </w:t>
      </w:r>
      <w:r w:rsidR="00D226D7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D226D7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խումբը։</w:t>
      </w:r>
    </w:p>
    <w:p w:rsidR="00881C58" w:rsidRPr="007C334D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Եթե միացությունն ունի երկու կամ ավելի ամինային </w:t>
      </w:r>
      <w:r w:rsidR="00485335" w:rsidRPr="00312479">
        <w:rPr>
          <w:rFonts w:ascii="Sylfaen" w:hAnsi="Sylfaen"/>
          <w:sz w:val="24"/>
          <w:szCs w:val="24"/>
        </w:rPr>
        <w:t>ֆուն</w:t>
      </w:r>
      <w:r w:rsidR="00AD7882" w:rsidRPr="00312479">
        <w:rPr>
          <w:rFonts w:ascii="Sylfaen" w:hAnsi="Sylfaen"/>
          <w:sz w:val="24"/>
          <w:szCs w:val="24"/>
        </w:rPr>
        <w:t>կցիոնալ</w:t>
      </w:r>
      <w:r w:rsidRPr="00312479">
        <w:rPr>
          <w:rFonts w:ascii="Sylfaen" w:hAnsi="Sylfaen"/>
          <w:sz w:val="24"/>
          <w:szCs w:val="24"/>
        </w:rPr>
        <w:t xml:space="preserve"> խմբեր, որոնք կապված են պարզ եթերային կամ բարդ եթերային </w:t>
      </w:r>
      <w:r w:rsidR="00485335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485335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խմբի հետ, ապա այն ընդգրկվում է այն ենթա</w:t>
      </w:r>
      <w:r w:rsidR="00485335" w:rsidRPr="00312479">
        <w:rPr>
          <w:rFonts w:ascii="Sylfaen" w:hAnsi="Sylfaen"/>
          <w:sz w:val="24"/>
          <w:szCs w:val="24"/>
        </w:rPr>
        <w:t>դիրքում</w:t>
      </w:r>
      <w:r w:rsidRPr="00312479">
        <w:rPr>
          <w:rFonts w:ascii="Sylfaen" w:hAnsi="Sylfaen"/>
          <w:sz w:val="24"/>
          <w:szCs w:val="24"/>
        </w:rPr>
        <w:t>, որը ծածկագրերի աճման կարգով վերջինն է. կոնկրետ ենթադիրքը որոշվում է</w:t>
      </w:r>
      <w:r w:rsidR="00364BBE" w:rsidRPr="00312479">
        <w:rPr>
          <w:rFonts w:ascii="Sylfaen" w:hAnsi="Sylfaen"/>
          <w:sz w:val="24"/>
          <w:szCs w:val="24"/>
        </w:rPr>
        <w:t>,</w:t>
      </w:r>
      <w:r w:rsidRPr="00312479">
        <w:rPr>
          <w:rFonts w:ascii="Sylfaen" w:hAnsi="Sylfaen"/>
          <w:sz w:val="24"/>
          <w:szCs w:val="24"/>
        </w:rPr>
        <w:t xml:space="preserve"> հաշվի առնելով այն, թե արդյոք </w:t>
      </w:r>
      <w:r w:rsidR="00364BBE" w:rsidRPr="00312479">
        <w:rPr>
          <w:rFonts w:ascii="Sylfaen" w:hAnsi="Sylfaen"/>
          <w:sz w:val="24"/>
          <w:szCs w:val="24"/>
        </w:rPr>
        <w:t xml:space="preserve">յուրաքանչյուր ամինային ֆունկցիոնալ խմբի նկատմամբ </w:t>
      </w:r>
      <w:r w:rsidRPr="00312479">
        <w:rPr>
          <w:rFonts w:ascii="Sylfaen" w:hAnsi="Sylfaen"/>
          <w:sz w:val="24"/>
          <w:szCs w:val="24"/>
        </w:rPr>
        <w:t xml:space="preserve">պարզ եթերային կամ բարդ եթերային </w:t>
      </w:r>
      <w:r w:rsidR="00485335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485335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խումբը դիտարկվում է որպես սպիրտային, </w:t>
      </w:r>
      <w:r w:rsidRPr="00312479">
        <w:rPr>
          <w:rFonts w:ascii="Sylfaen" w:hAnsi="Sylfaen"/>
          <w:sz w:val="24"/>
          <w:szCs w:val="24"/>
        </w:rPr>
        <w:lastRenderedPageBreak/>
        <w:t xml:space="preserve">ֆենոլային կամ թթվային </w:t>
      </w:r>
      <w:r w:rsidR="00485335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485335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խումբ</w:t>
      </w:r>
      <w:r w:rsidR="007C334D">
        <w:rPr>
          <w:rFonts w:ascii="Sylfaen" w:hAnsi="Sylfaen"/>
          <w:sz w:val="24"/>
          <w:szCs w:val="24"/>
        </w:rPr>
        <w:t>։»</w:t>
      </w:r>
    </w:p>
    <w:p w:rsidR="00881C58" w:rsidRPr="00312479" w:rsidRDefault="007C334D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5)</w:t>
      </w:r>
      <w:r w:rsidRPr="007C334D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ԵԱՏՄ ԱՏԳ ԱԱ 2930 ապրանքային դիրքի պարզաբանումների Ա մասի առաջին պարբերության մեջ «CS(OR)(SR'), որտեղ R-ը օրգանական ռադիկալ է, 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 R'-ը մետաղ է» բառերը փոխարինել «(R·CO·S·SR</w:t>
      </w:r>
      <w:r w:rsidR="00E73B5D" w:rsidRPr="00312479">
        <w:rPr>
          <w:rFonts w:ascii="Sylfaen" w:hAnsi="Sylfaen"/>
          <w:sz w:val="24"/>
          <w:szCs w:val="24"/>
          <w:vertAlign w:val="superscript"/>
        </w:rPr>
        <w:t>1</w:t>
      </w:r>
      <w:r w:rsidR="00E73B5D" w:rsidRPr="00312479">
        <w:rPr>
          <w:rFonts w:ascii="Sylfaen" w:hAnsi="Sylfaen"/>
          <w:sz w:val="24"/>
          <w:szCs w:val="24"/>
        </w:rPr>
        <w:t xml:space="preserve">), որտեղ R-ը օրգանական ռադիկալ է, 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 R</w:t>
      </w:r>
      <w:r w:rsidR="00E73B5D" w:rsidRPr="00312479">
        <w:rPr>
          <w:rFonts w:ascii="Sylfaen" w:hAnsi="Sylfaen"/>
          <w:sz w:val="24"/>
          <w:szCs w:val="24"/>
          <w:vertAlign w:val="superscript"/>
        </w:rPr>
        <w:t>1</w:t>
      </w:r>
      <w:r w:rsidR="00E73B5D" w:rsidRPr="00312479">
        <w:rPr>
          <w:rFonts w:ascii="Sylfaen" w:hAnsi="Sylfaen"/>
          <w:sz w:val="24"/>
          <w:szCs w:val="24"/>
        </w:rPr>
        <w:t>-ը մետաղ է».</w:t>
      </w:r>
    </w:p>
    <w:p w:rsidR="00881C58" w:rsidRPr="00312479" w:rsidRDefault="007C334D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6)</w:t>
      </w:r>
      <w:r w:rsidRPr="007C334D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2934 ապրանքային դիրքի պարզաբանումների մեջ՝</w:t>
      </w:r>
    </w:p>
    <w:p w:rsidR="00881C58" w:rsidRPr="00312479" w:rsidRDefault="00161461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Բ մասի 3-րդ կետից հետո </w:t>
      </w:r>
      <w:r w:rsidR="00485335" w:rsidRPr="00312479">
        <w:rPr>
          <w:rFonts w:ascii="Sylfaen" w:hAnsi="Sylfaen"/>
          <w:sz w:val="24"/>
          <w:szCs w:val="24"/>
        </w:rPr>
        <w:t>ավելաց</w:t>
      </w:r>
      <w:r w:rsidRPr="00312479">
        <w:rPr>
          <w:rFonts w:ascii="Sylfaen" w:hAnsi="Sylfaen"/>
          <w:sz w:val="24"/>
          <w:szCs w:val="24"/>
        </w:rPr>
        <w:t xml:space="preserve">նել </w:t>
      </w:r>
      <w:r w:rsidR="00485335" w:rsidRPr="00312479">
        <w:rPr>
          <w:rFonts w:ascii="Sylfaen" w:hAnsi="Sylfaen"/>
          <w:sz w:val="24"/>
          <w:szCs w:val="24"/>
        </w:rPr>
        <w:t xml:space="preserve">4-րդ կետ՝ </w:t>
      </w:r>
      <w:r w:rsidRPr="00312479">
        <w:rPr>
          <w:rFonts w:ascii="Sylfaen" w:hAnsi="Sylfaen"/>
          <w:sz w:val="24"/>
          <w:szCs w:val="24"/>
        </w:rPr>
        <w:t>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բովանդակությամբ՝</w:t>
      </w:r>
    </w:p>
    <w:p w:rsidR="00881C58" w:rsidRPr="007C334D" w:rsidRDefault="00161461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312479">
        <w:rPr>
          <w:rFonts w:ascii="Sylfaen" w:hAnsi="Sylfaen"/>
          <w:sz w:val="24"/>
          <w:szCs w:val="24"/>
        </w:rPr>
        <w:t xml:space="preserve">«4) </w:t>
      </w:r>
      <w:r w:rsidR="009F3343" w:rsidRPr="00312479">
        <w:rPr>
          <w:rStyle w:val="Bodytext2Bold"/>
          <w:rFonts w:ascii="Sylfaen" w:hAnsi="Sylfaen"/>
          <w:sz w:val="24"/>
          <w:szCs w:val="24"/>
        </w:rPr>
        <w:t>Դեհիդրոթիո</w:t>
      </w:r>
      <w:r w:rsidRPr="00312479">
        <w:rPr>
          <w:rStyle w:val="Bodytext2Bold"/>
          <w:rFonts w:ascii="Sylfaen" w:hAnsi="Sylfaen"/>
          <w:sz w:val="24"/>
          <w:szCs w:val="24"/>
        </w:rPr>
        <w:t>-n-տոլուիդին</w:t>
      </w:r>
      <w:r w:rsidRPr="00312479">
        <w:rPr>
          <w:rFonts w:ascii="Sylfaen" w:hAnsi="Sylfaen"/>
          <w:sz w:val="24"/>
          <w:szCs w:val="24"/>
        </w:rPr>
        <w:t xml:space="preserve">(4-(6-մեթիլ-1,3 </w:t>
      </w:r>
      <w:r w:rsidR="007C334D">
        <w:rPr>
          <w:rFonts w:ascii="Sylfaen" w:hAnsi="Sylfaen"/>
          <w:sz w:val="24"/>
          <w:szCs w:val="24"/>
        </w:rPr>
        <w:t>-բենզոթիազոլ-2-իլ)անիլին)։»</w:t>
      </w:r>
    </w:p>
    <w:p w:rsidR="00881C58" w:rsidRPr="007C334D" w:rsidRDefault="00161461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312479">
        <w:rPr>
          <w:rFonts w:ascii="Sylfaen" w:hAnsi="Sylfaen"/>
          <w:sz w:val="24"/>
          <w:szCs w:val="24"/>
        </w:rPr>
        <w:t xml:space="preserve">հանել </w:t>
      </w:r>
      <w:r w:rsidR="00CF5462" w:rsidRPr="00312479">
        <w:rPr>
          <w:rFonts w:ascii="Sylfaen" w:hAnsi="Sylfaen"/>
          <w:sz w:val="24"/>
          <w:szCs w:val="24"/>
        </w:rPr>
        <w:t xml:space="preserve">«Գ» </w:t>
      </w:r>
      <w:r w:rsidRPr="00312479">
        <w:rPr>
          <w:rFonts w:ascii="Sylfaen" w:hAnsi="Sylfaen"/>
          <w:sz w:val="24"/>
          <w:szCs w:val="24"/>
        </w:rPr>
        <w:t xml:space="preserve">մասի </w:t>
      </w:r>
      <w:r w:rsidR="00E44829">
        <w:rPr>
          <w:rFonts w:ascii="Sylfaen" w:hAnsi="Sylfaen"/>
          <w:sz w:val="24"/>
          <w:szCs w:val="24"/>
        </w:rPr>
        <w:t>5</w:t>
      </w:r>
      <w:r w:rsidR="00D41CD2" w:rsidRPr="00312479">
        <w:rPr>
          <w:rFonts w:ascii="Sylfaen" w:hAnsi="Sylfaen"/>
          <w:sz w:val="24"/>
          <w:szCs w:val="24"/>
        </w:rPr>
        <w:t>-րդ</w:t>
      </w:r>
      <w:r w:rsidRPr="00312479">
        <w:rPr>
          <w:rFonts w:ascii="Sylfaen" w:hAnsi="Sylfaen"/>
          <w:sz w:val="24"/>
          <w:szCs w:val="24"/>
        </w:rPr>
        <w:t xml:space="preserve"> կետը.</w:t>
      </w:r>
    </w:p>
    <w:p w:rsidR="00881C58" w:rsidRPr="00312479" w:rsidRDefault="00161461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6-8-րդ կետերը համարել համապատասխանաբար 5-7-րդ կետեր.</w:t>
      </w:r>
    </w:p>
    <w:p w:rsidR="00881C58" w:rsidRPr="00312479" w:rsidRDefault="007C334D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7)</w:t>
      </w:r>
      <w:r w:rsidRPr="007C334D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2937 ապրանքային դիրքի պարզաբանումների 4</w:t>
      </w:r>
      <w:r w:rsidR="006E2DF3" w:rsidRPr="00312479">
        <w:rPr>
          <w:rFonts w:ascii="Sylfaen" w:hAnsi="Sylfaen"/>
          <w:sz w:val="24"/>
          <w:szCs w:val="24"/>
        </w:rPr>
        <w:t>«</w:t>
      </w:r>
      <w:r w:rsidR="00E73B5D" w:rsidRPr="00312479">
        <w:rPr>
          <w:rFonts w:ascii="Sylfaen" w:hAnsi="Sylfaen"/>
          <w:sz w:val="24"/>
          <w:szCs w:val="24"/>
        </w:rPr>
        <w:t>գ</w:t>
      </w:r>
      <w:r w:rsidR="006E2DF3" w:rsidRPr="00312479">
        <w:rPr>
          <w:rFonts w:ascii="Sylfaen" w:hAnsi="Sylfaen"/>
          <w:sz w:val="24"/>
          <w:szCs w:val="24"/>
        </w:rPr>
        <w:t>»</w:t>
      </w:r>
      <w:r w:rsidR="00E73B5D" w:rsidRPr="00312479">
        <w:rPr>
          <w:rFonts w:ascii="Sylfaen" w:hAnsi="Sylfaen"/>
          <w:sz w:val="24"/>
          <w:szCs w:val="24"/>
        </w:rPr>
        <w:t xml:space="preserve"> բացառության մեջ «մոդուլյատորներ 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 նեյրոմոդուլյատորներ, ինչպիսի</w:t>
      </w:r>
      <w:r w:rsidR="006B0677" w:rsidRPr="00312479">
        <w:rPr>
          <w:rFonts w:ascii="Sylfaen" w:hAnsi="Sylfaen"/>
          <w:sz w:val="24"/>
          <w:szCs w:val="24"/>
        </w:rPr>
        <w:t>ք</w:t>
      </w:r>
      <w:r w:rsidR="00E73B5D" w:rsidRPr="00312479">
        <w:rPr>
          <w:rFonts w:ascii="Sylfaen" w:hAnsi="Sylfaen"/>
          <w:sz w:val="24"/>
          <w:szCs w:val="24"/>
        </w:rPr>
        <w:t xml:space="preserve"> </w:t>
      </w:r>
      <w:r w:rsidR="006B0677" w:rsidRPr="00312479">
        <w:rPr>
          <w:rFonts w:ascii="Sylfaen" w:hAnsi="Sylfaen"/>
          <w:sz w:val="24"/>
          <w:szCs w:val="24"/>
        </w:rPr>
        <w:t>են</w:t>
      </w:r>
      <w:r w:rsidR="00E73B5D" w:rsidRPr="00312479">
        <w:rPr>
          <w:rFonts w:ascii="Sylfaen" w:hAnsi="Sylfaen"/>
          <w:sz w:val="24"/>
          <w:szCs w:val="24"/>
        </w:rPr>
        <w:t xml:space="preserve">» բառերը փոխարինել «նեյրոտրանսմիտերներ 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 նեյրոմոդուլյատորներ, ինչպիսի</w:t>
      </w:r>
      <w:r w:rsidR="00762FC1" w:rsidRPr="00312479">
        <w:rPr>
          <w:rFonts w:ascii="Sylfaen" w:hAnsi="Sylfaen"/>
          <w:sz w:val="24"/>
          <w:szCs w:val="24"/>
        </w:rPr>
        <w:t>ն</w:t>
      </w:r>
      <w:r w:rsidR="00E73B5D" w:rsidRPr="00312479">
        <w:rPr>
          <w:rFonts w:ascii="Sylfaen" w:hAnsi="Sylfaen"/>
          <w:sz w:val="24"/>
          <w:szCs w:val="24"/>
        </w:rPr>
        <w:t xml:space="preserve"> </w:t>
      </w:r>
      <w:r w:rsidR="00762FC1" w:rsidRPr="00312479">
        <w:rPr>
          <w:rFonts w:ascii="Sylfaen" w:hAnsi="Sylfaen"/>
          <w:sz w:val="24"/>
          <w:szCs w:val="24"/>
        </w:rPr>
        <w:t xml:space="preserve">է </w:t>
      </w:r>
      <w:r w:rsidR="00E73B5D" w:rsidRPr="00312479">
        <w:rPr>
          <w:rFonts w:ascii="Sylfaen" w:hAnsi="Sylfaen"/>
          <w:sz w:val="24"/>
          <w:szCs w:val="24"/>
        </w:rPr>
        <w:t xml:space="preserve">սեպրանոլոնը </w:t>
      </w:r>
      <w:r w:rsidR="00E73B5D" w:rsidRPr="00312479">
        <w:rPr>
          <w:rStyle w:val="Bodytext2Bold"/>
          <w:rFonts w:ascii="Sylfaen" w:hAnsi="Sylfaen"/>
          <w:sz w:val="24"/>
          <w:szCs w:val="24"/>
        </w:rPr>
        <w:t>(INN) (ապրանքային դիրք 2914),» բառերով.</w:t>
      </w:r>
    </w:p>
    <w:p w:rsidR="00881C58" w:rsidRPr="00312479" w:rsidRDefault="00E73B5D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8)</w:t>
      </w:r>
      <w:r w:rsidR="007C334D" w:rsidRPr="007C334D">
        <w:rPr>
          <w:rFonts w:ascii="Sylfaen" w:hAnsi="Sylfaen"/>
          <w:sz w:val="24"/>
          <w:szCs w:val="24"/>
        </w:rPr>
        <w:tab/>
      </w:r>
      <w:r w:rsidRPr="00312479">
        <w:rPr>
          <w:rFonts w:ascii="Sylfaen" w:hAnsi="Sylfaen"/>
          <w:sz w:val="24"/>
          <w:szCs w:val="24"/>
        </w:rPr>
        <w:t>ԵԱՏՄ ԱՏԳ ԱԱ 2941 30 ենթադիրքի պարզաբանումների երկրորդ պարբերությունը «քլորտետրացիկլին (INN),» բառերից հետո լրացնել «</w:t>
      </w:r>
      <w:r w:rsidR="009F3343" w:rsidRPr="00312479">
        <w:rPr>
          <w:rFonts w:ascii="Sylfaen" w:hAnsi="Sylfaen"/>
          <w:sz w:val="24"/>
          <w:szCs w:val="24"/>
        </w:rPr>
        <w:t>էրավացիկլին</w:t>
      </w:r>
      <w:r w:rsidRPr="00312479">
        <w:rPr>
          <w:rFonts w:ascii="Sylfaen" w:hAnsi="Sylfaen"/>
          <w:sz w:val="24"/>
          <w:szCs w:val="24"/>
        </w:rPr>
        <w:t xml:space="preserve"> (INN),» բառերով.</w:t>
      </w:r>
    </w:p>
    <w:p w:rsidR="00881C58" w:rsidRPr="00312479" w:rsidRDefault="007C334D" w:rsidP="007C334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9)</w:t>
      </w:r>
      <w:r w:rsidRPr="007C334D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ըստ դեղամիջոցի տեսակի այբ</w:t>
      </w:r>
      <w:r w:rsidR="00F120E4" w:rsidRPr="00312479">
        <w:rPr>
          <w:rFonts w:ascii="Sylfaen" w:hAnsi="Sylfaen"/>
          <w:sz w:val="24"/>
          <w:szCs w:val="24"/>
        </w:rPr>
        <w:t>բ</w:t>
      </w:r>
      <w:r w:rsidR="00E73B5D" w:rsidRPr="00312479">
        <w:rPr>
          <w:rFonts w:ascii="Sylfaen" w:hAnsi="Sylfaen"/>
          <w:sz w:val="24"/>
          <w:szCs w:val="24"/>
        </w:rPr>
        <w:t xml:space="preserve">ենական կարգով ներկայացված՝ դեղորայքային թմրամիջոցների 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 հոգեմետ (հոգեներգործուն) ն</w:t>
      </w:r>
      <w:r w:rsidR="00371992" w:rsidRPr="00312479">
        <w:rPr>
          <w:rFonts w:ascii="Sylfaen" w:hAnsi="Sylfaen"/>
          <w:sz w:val="24"/>
          <w:szCs w:val="24"/>
        </w:rPr>
        <w:t>յութ</w:t>
      </w:r>
      <w:r w:rsidR="00E73B5D" w:rsidRPr="00312479">
        <w:rPr>
          <w:rFonts w:ascii="Sylfaen" w:hAnsi="Sylfaen"/>
          <w:sz w:val="24"/>
          <w:szCs w:val="24"/>
        </w:rPr>
        <w:t>երի ցանկի III մա</w:t>
      </w:r>
      <w:r w:rsidR="00BF0237">
        <w:rPr>
          <w:rFonts w:ascii="Sylfaen" w:hAnsi="Sylfaen"/>
          <w:sz w:val="24"/>
          <w:szCs w:val="24"/>
        </w:rPr>
        <w:t>սը «3,4-(Մեթիլենդիօքսի)</w:t>
      </w:r>
      <w:r w:rsidR="00BF0237" w:rsidRPr="00BF0237">
        <w:rPr>
          <w:rFonts w:ascii="Sylfaen" w:hAnsi="Sylfaen"/>
          <w:sz w:val="24"/>
          <w:szCs w:val="24"/>
        </w:rPr>
        <w:t xml:space="preserve"> </w:t>
      </w:r>
      <w:r w:rsidR="00BF0237">
        <w:rPr>
          <w:rFonts w:ascii="Sylfaen" w:hAnsi="Sylfaen"/>
          <w:sz w:val="24"/>
          <w:szCs w:val="24"/>
        </w:rPr>
        <w:t>ֆենիլ-2-</w:t>
      </w:r>
      <w:r w:rsidR="00E73B5D" w:rsidRPr="00312479">
        <w:rPr>
          <w:rFonts w:ascii="Sylfaen" w:hAnsi="Sylfaen"/>
          <w:sz w:val="24"/>
          <w:szCs w:val="24"/>
        </w:rPr>
        <w:t>պրոպանոն» բառերից հետո լրացնել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դիրքերով՝</w:t>
      </w:r>
    </w:p>
    <w:tbl>
      <w:tblPr>
        <w:tblOverlap w:val="never"/>
        <w:tblW w:w="8920" w:type="dxa"/>
        <w:jc w:val="center"/>
        <w:tblInd w:w="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2359"/>
        <w:gridCol w:w="3089"/>
      </w:tblGrid>
      <w:tr w:rsidR="00881C58" w:rsidRPr="00312479" w:rsidTr="00470D28">
        <w:trPr>
          <w:jc w:val="center"/>
        </w:trPr>
        <w:tc>
          <w:tcPr>
            <w:tcW w:w="3472" w:type="dxa"/>
            <w:shd w:val="clear" w:color="auto" w:fill="FFFFFF"/>
          </w:tcPr>
          <w:p w:rsidR="00881C58" w:rsidRPr="00312479" w:rsidRDefault="00161461" w:rsidP="00312479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12479">
              <w:rPr>
                <w:rStyle w:val="Bodytext212pt"/>
                <w:rFonts w:ascii="Sylfaen" w:hAnsi="Sylfaen"/>
              </w:rPr>
              <w:t xml:space="preserve">«Նորէֆեդրին </w:t>
            </w:r>
          </w:p>
        </w:tc>
        <w:tc>
          <w:tcPr>
            <w:tcW w:w="2359" w:type="dxa"/>
            <w:shd w:val="clear" w:color="auto" w:fill="FFFFFF"/>
          </w:tcPr>
          <w:p w:rsidR="00881C58" w:rsidRPr="00312479" w:rsidRDefault="004A2EB7" w:rsidP="0031247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2939</w:t>
            </w:r>
            <w:r>
              <w:rPr>
                <w:rStyle w:val="Bodytext212pt"/>
                <w:rFonts w:ascii="Sylfaen" w:hAnsi="Sylfaen"/>
                <w:lang w:val="ru-RU"/>
              </w:rPr>
              <w:t> </w:t>
            </w:r>
            <w:r w:rsidR="00161461" w:rsidRPr="00312479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3089" w:type="dxa"/>
            <w:shd w:val="clear" w:color="auto" w:fill="FFFFFF"/>
          </w:tcPr>
          <w:p w:rsidR="00881C58" w:rsidRPr="00312479" w:rsidRDefault="00161461" w:rsidP="0031247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12479">
              <w:rPr>
                <w:rStyle w:val="Bodytext212pt"/>
                <w:rFonts w:ascii="Sylfaen" w:hAnsi="Sylfaen"/>
              </w:rPr>
              <w:t>14838-15-4</w:t>
            </w:r>
          </w:p>
        </w:tc>
      </w:tr>
      <w:tr w:rsidR="00881C58" w:rsidRPr="00312479" w:rsidTr="00470D28">
        <w:trPr>
          <w:jc w:val="center"/>
        </w:trPr>
        <w:tc>
          <w:tcPr>
            <w:tcW w:w="3472" w:type="dxa"/>
            <w:shd w:val="clear" w:color="auto" w:fill="FFFFFF"/>
            <w:vAlign w:val="bottom"/>
          </w:tcPr>
          <w:p w:rsidR="00881C58" w:rsidRPr="00312479" w:rsidRDefault="00161461" w:rsidP="00312479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12479">
              <w:rPr>
                <w:rStyle w:val="Bodytext212pt"/>
                <w:rFonts w:ascii="Sylfaen" w:hAnsi="Sylfaen"/>
              </w:rPr>
              <w:t>Նորէֆեդրինի հիդրոքլորիդ</w:t>
            </w:r>
          </w:p>
        </w:tc>
        <w:tc>
          <w:tcPr>
            <w:tcW w:w="2359" w:type="dxa"/>
            <w:shd w:val="clear" w:color="auto" w:fill="FFFFFF"/>
          </w:tcPr>
          <w:p w:rsidR="00881C58" w:rsidRPr="00312479" w:rsidRDefault="004A2EB7" w:rsidP="0031247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2939</w:t>
            </w:r>
            <w:r>
              <w:rPr>
                <w:rStyle w:val="Bodytext212pt"/>
                <w:rFonts w:ascii="Sylfaen" w:hAnsi="Sylfaen"/>
                <w:lang w:val="ru-RU"/>
              </w:rPr>
              <w:t> </w:t>
            </w:r>
            <w:r w:rsidR="00161461" w:rsidRPr="00312479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3089" w:type="dxa"/>
            <w:shd w:val="clear" w:color="auto" w:fill="FFFFFF"/>
          </w:tcPr>
          <w:p w:rsidR="00881C58" w:rsidRPr="004A2EB7" w:rsidRDefault="00161461" w:rsidP="0031247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312479">
              <w:rPr>
                <w:rStyle w:val="Bodytext212pt"/>
                <w:rFonts w:ascii="Sylfaen" w:hAnsi="Sylfaen"/>
              </w:rPr>
              <w:t>154-41-6».</w:t>
            </w:r>
          </w:p>
        </w:tc>
      </w:tr>
    </w:tbl>
    <w:p w:rsidR="00881C58" w:rsidRPr="00312479" w:rsidRDefault="004A2EB7" w:rsidP="004A2EB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10)</w:t>
      </w:r>
      <w:r w:rsidRPr="004A2EB7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ԵԱՏՄ ԱՏԳ ԱԱ 2909 ապրանքային դիրքի Դ կետը </w:t>
      </w:r>
      <w:r w:rsidR="00E73B5D" w:rsidRPr="00312479">
        <w:rPr>
          <w:rStyle w:val="Bodytext2Bold"/>
          <w:rFonts w:ascii="Sylfaen" w:hAnsi="Sylfaen"/>
          <w:sz w:val="24"/>
          <w:szCs w:val="24"/>
        </w:rPr>
        <w:t xml:space="preserve">«29-րդ խմբի պարզաբանումներում նկարագրված որոշ քիմիական միացությունների </w:t>
      </w:r>
      <w:r w:rsidR="00E73B5D" w:rsidRPr="00312479">
        <w:rPr>
          <w:rStyle w:val="Bodytext2Bold"/>
          <w:rFonts w:ascii="Sylfaen" w:hAnsi="Sylfaen"/>
          <w:sz w:val="24"/>
          <w:szCs w:val="24"/>
        </w:rPr>
        <w:lastRenderedPageBreak/>
        <w:t>կառուցվածքային բանաձ</w:t>
      </w:r>
      <w:r w:rsidR="00A61C81">
        <w:rPr>
          <w:rStyle w:val="Bodytext2Bold"/>
          <w:rFonts w:ascii="Sylfaen" w:hAnsi="Sylfaen"/>
          <w:sz w:val="24"/>
          <w:szCs w:val="24"/>
        </w:rPr>
        <w:t>և</w:t>
      </w:r>
      <w:r w:rsidR="00E73B5D" w:rsidRPr="00312479">
        <w:rPr>
          <w:rStyle w:val="Bodytext2Bold"/>
          <w:rFonts w:ascii="Sylfaen" w:hAnsi="Sylfaen"/>
          <w:sz w:val="24"/>
          <w:szCs w:val="24"/>
        </w:rPr>
        <w:t>երը»</w:t>
      </w:r>
      <w:r w:rsidR="00E73B5D" w:rsidRPr="00312479">
        <w:rPr>
          <w:rFonts w:ascii="Sylfaen" w:hAnsi="Sylfaen"/>
          <w:sz w:val="24"/>
          <w:szCs w:val="24"/>
        </w:rPr>
        <w:t xml:space="preserve"> աղյուսակում «Կետոնների պերօքսիդներ (ցիկլոհե</w:t>
      </w:r>
      <w:r w:rsidR="007F4AB8" w:rsidRPr="00312479">
        <w:rPr>
          <w:rFonts w:ascii="Sylfaen" w:hAnsi="Sylfaen"/>
          <w:sz w:val="24"/>
          <w:szCs w:val="24"/>
        </w:rPr>
        <w:t>ք</w:t>
      </w:r>
      <w:r w:rsidR="00E73B5D" w:rsidRPr="00312479">
        <w:rPr>
          <w:rFonts w:ascii="Sylfaen" w:hAnsi="Sylfaen"/>
          <w:sz w:val="24"/>
          <w:szCs w:val="24"/>
        </w:rPr>
        <w:t>սանոնի պերօքսիդ)» տողից հետո լրացնել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բովանդակությամբ տողով՝</w:t>
      </w:r>
    </w:p>
    <w:tbl>
      <w:tblPr>
        <w:tblOverlap w:val="never"/>
        <w:tblW w:w="10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490"/>
        <w:gridCol w:w="434"/>
        <w:gridCol w:w="462"/>
        <w:gridCol w:w="4465"/>
        <w:gridCol w:w="4450"/>
      </w:tblGrid>
      <w:tr w:rsidR="00881C58" w:rsidRPr="00312479" w:rsidTr="00A73CBF">
        <w:trPr>
          <w:trHeight w:val="1096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312479" w:rsidRDefault="00161461" w:rsidP="00B22681">
            <w:pPr>
              <w:pStyle w:val="Bodytext20"/>
              <w:shd w:val="clear" w:color="auto" w:fill="auto"/>
              <w:spacing w:before="0" w:after="160" w:line="36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312479">
              <w:rPr>
                <w:rStyle w:val="Bodytext212pt"/>
                <w:rFonts w:ascii="Sylfaen" w:hAnsi="Sylfaen"/>
              </w:rPr>
              <w:t>Պարզ եթերների պերօքսիդներ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D28" w:rsidRPr="00312479" w:rsidRDefault="00470D28" w:rsidP="00312479">
            <w:pPr>
              <w:spacing w:after="160" w:line="360" w:lineRule="auto"/>
              <w:jc w:val="right"/>
            </w:pPr>
          </w:p>
          <w:p w:rsidR="00470D28" w:rsidRPr="00312479" w:rsidRDefault="00470D28" w:rsidP="00312479">
            <w:pPr>
              <w:spacing w:after="160" w:line="360" w:lineRule="auto"/>
              <w:jc w:val="right"/>
            </w:pPr>
            <w:r w:rsidRPr="00312479">
              <w:rPr>
                <w:noProof/>
                <w:lang w:val="en-US" w:eastAsia="en-US" w:bidi="ar-SA"/>
              </w:rPr>
              <w:drawing>
                <wp:inline distT="0" distB="0" distL="0" distR="0" wp14:anchorId="01EEA23B" wp14:editId="3AD257CC">
                  <wp:extent cx="2526590" cy="1419148"/>
                  <wp:effectExtent l="19050" t="0" r="7060" b="0"/>
                  <wp:docPr id="19" name="Picture 19" descr="C:\Users\mikhail.LOCAL\Documents\MIKA\2017\05.2017\115-0004-2017-B_for preformatting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ikhail.LOCAL\Documents\MIKA\2017\05.2017\115-0004-2017-B_for preformatting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727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C58" w:rsidRPr="00312479" w:rsidRDefault="00881C58" w:rsidP="00312479">
            <w:pPr>
              <w:spacing w:after="160" w:line="360" w:lineRule="auto"/>
            </w:pPr>
          </w:p>
        </w:tc>
      </w:tr>
      <w:tr w:rsidR="00881C58" w:rsidRPr="00312479" w:rsidTr="00A73CBF">
        <w:trPr>
          <w:trHeight w:val="1268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58" w:rsidRPr="00312479" w:rsidRDefault="00161461" w:rsidP="00B22681">
            <w:pPr>
              <w:pStyle w:val="Bodytext20"/>
              <w:shd w:val="clear" w:color="auto" w:fill="auto"/>
              <w:spacing w:before="0" w:after="160" w:line="36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312479">
              <w:rPr>
                <w:rStyle w:val="Bodytext212pt"/>
                <w:rFonts w:ascii="Sylfaen" w:hAnsi="Sylfaen"/>
              </w:rPr>
              <w:t>1,1-դի(տրետ-բութիլպերօքսի)ցիկլոհեքսան</w:t>
            </w:r>
          </w:p>
        </w:tc>
        <w:tc>
          <w:tcPr>
            <w:tcW w:w="4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C58" w:rsidRPr="00312479" w:rsidRDefault="00881C58" w:rsidP="00312479">
            <w:pPr>
              <w:spacing w:after="160" w:line="360" w:lineRule="auto"/>
            </w:pPr>
          </w:p>
        </w:tc>
      </w:tr>
    </w:tbl>
    <w:p w:rsidR="00881C58" w:rsidRPr="00312479" w:rsidRDefault="00A73CBF" w:rsidP="00A73C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11)</w:t>
      </w:r>
      <w:r w:rsidRPr="00A73CBF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3002 ապրանքային դիրքի պարզաբանումների մեջ՝</w:t>
      </w:r>
    </w:p>
    <w:p w:rsidR="00881C58" w:rsidRPr="00312479" w:rsidRDefault="00161461" w:rsidP="00A73C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Գ մասի 1-ին կետի երկրորդ պարբերությունը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A73C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«Տվյալ ապրանքային դիրքում</w:t>
      </w:r>
      <w:r w:rsidR="00F012CB" w:rsidRPr="00312479">
        <w:rPr>
          <w:rFonts w:ascii="Sylfaen" w:hAnsi="Sylfaen"/>
          <w:sz w:val="24"/>
          <w:szCs w:val="24"/>
        </w:rPr>
        <w:t>, ի թիվս այլ ապրանքների,</w:t>
      </w:r>
      <w:r w:rsidRPr="00312479">
        <w:rPr>
          <w:rFonts w:ascii="Sylfaen" w:hAnsi="Sylfaen"/>
          <w:sz w:val="24"/>
          <w:szCs w:val="24"/>
        </w:rPr>
        <w:t xml:space="preserve"> ընդգրկվում են 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ն</w:t>
      </w:r>
      <w:r w:rsidR="00F012CB" w:rsidRPr="00312479">
        <w:rPr>
          <w:rFonts w:ascii="Sylfaen" w:hAnsi="Sylfaen"/>
          <w:sz w:val="24"/>
          <w:szCs w:val="24"/>
        </w:rPr>
        <w:t>յութ</w:t>
      </w:r>
      <w:r w:rsidRPr="00312479">
        <w:rPr>
          <w:rFonts w:ascii="Sylfaen" w:hAnsi="Sylfaen"/>
          <w:sz w:val="24"/>
          <w:szCs w:val="24"/>
        </w:rPr>
        <w:t xml:space="preserve">երը, </w:t>
      </w:r>
      <w:r w:rsidR="00674921" w:rsidRPr="00312479">
        <w:rPr>
          <w:rFonts w:ascii="Sylfaen" w:hAnsi="Sylfaen"/>
          <w:sz w:val="24"/>
          <w:szCs w:val="24"/>
        </w:rPr>
        <w:t xml:space="preserve">որոնք ստացվել են արյան հիման վրա (ներառյալ անոթային էնդոթելային բջիջները)՝ «նորմալ» շիճուկներ, մարդու նորմալ իմունոգլոբուլին, արյան թորամասեր </w:t>
      </w:r>
      <w:r w:rsidR="00A61C81">
        <w:rPr>
          <w:rFonts w:ascii="Sylfaen" w:hAnsi="Sylfaen"/>
          <w:sz w:val="24"/>
          <w:szCs w:val="24"/>
        </w:rPr>
        <w:t>և</w:t>
      </w:r>
      <w:r w:rsidR="00674921" w:rsidRPr="00312479">
        <w:rPr>
          <w:rFonts w:ascii="Sylfaen" w:hAnsi="Sylfaen"/>
          <w:sz w:val="24"/>
          <w:szCs w:val="24"/>
        </w:rPr>
        <w:t xml:space="preserve"> դրանց հատված տարբերակներ (մասեր</w:t>
      </w:r>
      <w:r w:rsidRPr="00312479">
        <w:rPr>
          <w:rFonts w:ascii="Sylfaen" w:hAnsi="Sylfaen"/>
          <w:sz w:val="24"/>
          <w:szCs w:val="24"/>
        </w:rPr>
        <w:t xml:space="preserve">) ֆերմենտային </w:t>
      </w:r>
      <w:r w:rsidR="00AD7882" w:rsidRPr="00312479">
        <w:rPr>
          <w:rFonts w:ascii="Sylfaen" w:hAnsi="Sylfaen"/>
          <w:sz w:val="24"/>
          <w:szCs w:val="24"/>
        </w:rPr>
        <w:t>հատկություններով/ակտիվությամբ</w:t>
      </w:r>
      <w:r w:rsidR="00D41CD2" w:rsidRPr="00312479">
        <w:rPr>
          <w:rFonts w:ascii="Sylfaen" w:hAnsi="Sylfaen"/>
          <w:sz w:val="24"/>
          <w:szCs w:val="24"/>
        </w:rPr>
        <w:t>, պլազմա</w:t>
      </w:r>
      <w:r w:rsidRPr="00312479">
        <w:rPr>
          <w:rFonts w:ascii="Sylfaen" w:hAnsi="Sylfaen"/>
          <w:sz w:val="24"/>
          <w:szCs w:val="24"/>
        </w:rPr>
        <w:t xml:space="preserve">, տրոմբին, ֆիբրինոգեն, ֆիբրին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արյան մակարդելիության այլ գործոններ, տրոմբոմոդուլին, արյան գլոբուլիններ, շիճուկային գլոբուլիններ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հեմոգլոբին։ Տվյալ կատեգորիայում ընդգրկվում են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90491F" w:rsidRPr="00312479">
        <w:rPr>
          <w:rFonts w:ascii="Sylfaen" w:hAnsi="Sylfaen"/>
          <w:sz w:val="24"/>
          <w:szCs w:val="24"/>
        </w:rPr>
        <w:t>ձ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ափոխված տրոմբոմոդուլինները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90491F" w:rsidRPr="00312479">
        <w:rPr>
          <w:rFonts w:ascii="Sylfaen" w:hAnsi="Sylfaen"/>
          <w:sz w:val="24"/>
          <w:szCs w:val="24"/>
        </w:rPr>
        <w:t>ձ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ափոխված հեմոգլոբինները, որոնք ստացվել են կենսատեխն</w:t>
      </w:r>
      <w:r w:rsidR="00D51778" w:rsidRPr="00312479">
        <w:rPr>
          <w:rFonts w:ascii="Sylfaen" w:hAnsi="Sylfaen"/>
          <w:sz w:val="24"/>
          <w:szCs w:val="24"/>
        </w:rPr>
        <w:t>ոլոգի</w:t>
      </w:r>
      <w:r w:rsidRPr="00312479">
        <w:rPr>
          <w:rFonts w:ascii="Sylfaen" w:hAnsi="Sylfaen"/>
          <w:sz w:val="24"/>
          <w:szCs w:val="24"/>
        </w:rPr>
        <w:t xml:space="preserve">այի մեթոդներով, օրինակ՝ սոտրոմբոմոդուլին ալֆան (INN)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տրոմբոմոդուլին ալֆան (INN), ինչպես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լայնական կապերով հեմոգլոբինները, ինչպիսիք են կրոսֆումարիլ հեմոգլոբինը (INN), </w:t>
      </w:r>
      <w:r w:rsidR="009F3343" w:rsidRPr="00312479">
        <w:rPr>
          <w:rFonts w:ascii="Sylfaen" w:hAnsi="Sylfaen"/>
          <w:sz w:val="24"/>
          <w:szCs w:val="24"/>
        </w:rPr>
        <w:t>գլուտամեր</w:t>
      </w:r>
      <w:r w:rsidRPr="00312479">
        <w:rPr>
          <w:rFonts w:ascii="Sylfaen" w:hAnsi="Sylfaen"/>
          <w:sz w:val="24"/>
          <w:szCs w:val="24"/>
        </w:rPr>
        <w:t xml:space="preserve"> հեմոգլոբինը (INN)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9F3343" w:rsidRPr="00312479">
        <w:rPr>
          <w:rFonts w:ascii="Sylfaen" w:hAnsi="Sylfaen"/>
          <w:sz w:val="24"/>
          <w:szCs w:val="24"/>
        </w:rPr>
        <w:t>ռաֆիմեր</w:t>
      </w:r>
      <w:r w:rsidRPr="00312479">
        <w:rPr>
          <w:rFonts w:ascii="Sylfaen" w:hAnsi="Sylfaen"/>
          <w:sz w:val="24"/>
          <w:szCs w:val="24"/>
        </w:rPr>
        <w:t xml:space="preserve"> հեմոգլոբինը (INN)։».</w:t>
      </w:r>
    </w:p>
    <w:p w:rsidR="00881C58" w:rsidRPr="00312479" w:rsidRDefault="00161461" w:rsidP="00A73CB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Դ մասի 2-րդ կետը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5D5E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«2) </w:t>
      </w:r>
      <w:r w:rsidR="009F3343" w:rsidRPr="00312479">
        <w:rPr>
          <w:rFonts w:ascii="Sylfaen" w:hAnsi="Sylfaen"/>
          <w:b/>
          <w:sz w:val="24"/>
          <w:szCs w:val="24"/>
        </w:rPr>
        <w:t>Տոքսիններ</w:t>
      </w:r>
      <w:r w:rsidRPr="00312479">
        <w:rPr>
          <w:rFonts w:ascii="Sylfaen" w:hAnsi="Sylfaen"/>
          <w:sz w:val="24"/>
          <w:szCs w:val="24"/>
        </w:rPr>
        <w:t xml:space="preserve"> (թույներ), տոքսոիդներ, կրիպտոտոքսիններ, պրոտոքսիններ </w:t>
      </w:r>
      <w:r w:rsidRPr="00312479">
        <w:rPr>
          <w:rFonts w:ascii="Sylfaen" w:hAnsi="Sylfaen"/>
          <w:sz w:val="24"/>
          <w:szCs w:val="24"/>
        </w:rPr>
        <w:lastRenderedPageBreak/>
        <w:t xml:space="preserve">(օրինակ՝ </w:t>
      </w:r>
      <w:r w:rsidR="009F3343" w:rsidRPr="00312479">
        <w:rPr>
          <w:rFonts w:ascii="Sylfaen" w:hAnsi="Sylfaen"/>
          <w:sz w:val="24"/>
          <w:szCs w:val="24"/>
        </w:rPr>
        <w:t xml:space="preserve">տոպսալիցին </w:t>
      </w:r>
      <w:r w:rsidRPr="00312479">
        <w:rPr>
          <w:rFonts w:ascii="Sylfaen" w:hAnsi="Sylfaen"/>
          <w:sz w:val="24"/>
          <w:szCs w:val="24"/>
        </w:rPr>
        <w:t xml:space="preserve">(INN))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հակատոքսիններ։».</w:t>
      </w:r>
    </w:p>
    <w:p w:rsidR="00881C58" w:rsidRPr="00312479" w:rsidRDefault="005D5ECE" w:rsidP="005D5E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12)</w:t>
      </w:r>
      <w:r w:rsidRPr="005D5ECE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3307 ապրանքային դիրքի պարզաբանումների (V) մասը լրացնել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յալ </w:t>
      </w:r>
      <w:r w:rsidR="00D51778" w:rsidRPr="00312479">
        <w:rPr>
          <w:rFonts w:ascii="Sylfaen" w:hAnsi="Sylfaen"/>
          <w:sz w:val="24"/>
          <w:szCs w:val="24"/>
        </w:rPr>
        <w:t>բովանդակ</w:t>
      </w:r>
      <w:r w:rsidR="00E73B5D" w:rsidRPr="00312479">
        <w:rPr>
          <w:rFonts w:ascii="Sylfaen" w:hAnsi="Sylfaen"/>
          <w:sz w:val="24"/>
          <w:szCs w:val="24"/>
        </w:rPr>
        <w:t>ությամբ 7-րդ կետով՝</w:t>
      </w:r>
    </w:p>
    <w:p w:rsidR="00881C58" w:rsidRPr="00312479" w:rsidRDefault="00161461" w:rsidP="005D5E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«7) </w:t>
      </w:r>
      <w:r w:rsidR="009F3343" w:rsidRPr="00312479">
        <w:rPr>
          <w:rFonts w:ascii="Sylfaen" w:hAnsi="Sylfaen"/>
          <w:b/>
          <w:sz w:val="24"/>
          <w:szCs w:val="24"/>
        </w:rPr>
        <w:t>Նատրիումի քլորիդի լուծույթներ</w:t>
      </w:r>
      <w:r w:rsidRPr="00312479">
        <w:rPr>
          <w:rFonts w:ascii="Sylfaen" w:hAnsi="Sylfaen"/>
          <w:sz w:val="24"/>
          <w:szCs w:val="24"/>
        </w:rPr>
        <w:t>, որոնք հիգիենիկ նպատակներով բաժնեծրարված են մանրածախ վաճառքի համար փաթեթվածքներում՝ բացառությամբ բժշկական կամ դեղագործական միջոցների, մանրէազերծ կամ ոչ մանրէազերծ։».</w:t>
      </w:r>
    </w:p>
    <w:p w:rsidR="00881C58" w:rsidRPr="00312479" w:rsidRDefault="005D5ECE" w:rsidP="005D5E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13)</w:t>
      </w:r>
      <w:r w:rsidRPr="005D5ECE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ԵԱՏՄ ԱՏԳ ԱԱ 3506 ապրանքային դիրքի պարզաբանումների Բ մասի 4-րդ կետը 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 xml:space="preserve"> ԵԱՏՄ ԱՏԳ ԱԱ 39-րդ խմբի պարզաբանումների ընդհանուր դրույթների ենթաբաժինների պարզաբանումից առաջ (բ) բացառությունը «մոմեր» բառից հետո լրացնել «, բ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եկնախեժի բարդ եթերներ</w:t>
      </w:r>
      <w:r w:rsidR="00E73B5D" w:rsidRPr="002F0BEB">
        <w:rPr>
          <w:rFonts w:ascii="Sylfaen" w:hAnsi="Sylfaen"/>
          <w:color w:val="FF0000"/>
          <w:sz w:val="24"/>
          <w:szCs w:val="24"/>
        </w:rPr>
        <w:t xml:space="preserve">, </w:t>
      </w:r>
      <w:r w:rsidR="00EC6C0B" w:rsidRPr="002F0BEB">
        <w:rPr>
          <w:rFonts w:ascii="Sylfaen" w:hAnsi="Sylfaen"/>
          <w:color w:val="FF0000"/>
          <w:sz w:val="24"/>
          <w:szCs w:val="24"/>
        </w:rPr>
        <w:t>^վ</w:t>
      </w:r>
      <w:r w:rsidR="00E73B5D" w:rsidRPr="002F0BEB">
        <w:rPr>
          <w:rFonts w:ascii="Sylfaen" w:hAnsi="Sylfaen"/>
          <w:color w:val="FF0000"/>
          <w:sz w:val="24"/>
          <w:szCs w:val="24"/>
        </w:rPr>
        <w:t>երափոխված</w:t>
      </w:r>
      <w:r w:rsidR="00E73B5D" w:rsidRPr="00312479">
        <w:rPr>
          <w:rFonts w:ascii="Sylfaen" w:hAnsi="Sylfaen"/>
          <w:sz w:val="24"/>
          <w:szCs w:val="24"/>
        </w:rPr>
        <w:t xml:space="preserve"> բնական դոճխեժ» բառերով.</w:t>
      </w:r>
    </w:p>
    <w:p w:rsidR="00881C58" w:rsidRPr="00312479" w:rsidRDefault="005D5ECE" w:rsidP="005D5E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14)</w:t>
      </w:r>
      <w:r w:rsidRPr="005D5ECE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3909 ապրանքային դիրքի պարզաբանումների 1-ին կետի երրորդ պարբերությունը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5D5E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Style w:val="Bodytext2Bold"/>
          <w:rFonts w:ascii="Sylfaen" w:hAnsi="Sylfaen"/>
          <w:sz w:val="24"/>
          <w:szCs w:val="24"/>
        </w:rPr>
        <w:t>«</w:t>
      </w:r>
      <w:r w:rsidR="00D41CD2" w:rsidRPr="00312479">
        <w:rPr>
          <w:rStyle w:val="Bodytext2Bold"/>
          <w:rFonts w:ascii="Sylfaen" w:hAnsi="Sylfaen"/>
          <w:sz w:val="24"/>
          <w:szCs w:val="24"/>
        </w:rPr>
        <w:t xml:space="preserve">Պոլիմեթիլենֆենիլիզոցիանատը </w:t>
      </w:r>
      <w:r w:rsidR="00EC6C0B" w:rsidRPr="00312479">
        <w:rPr>
          <w:rFonts w:ascii="Sylfaen" w:hAnsi="Sylfaen"/>
          <w:sz w:val="24"/>
          <w:szCs w:val="24"/>
        </w:rPr>
        <w:t>(որը հաճախ անվանվում է «խոնավ ՄԴԻ», «պոլիմերային ՄԴԻ» կամ «պոլիդիֆենիլմեթանդիիզոցիանատ</w:t>
      </w:r>
      <w:r w:rsidRPr="00312479">
        <w:rPr>
          <w:rFonts w:ascii="Sylfaen" w:hAnsi="Sylfaen"/>
          <w:sz w:val="24"/>
          <w:szCs w:val="24"/>
        </w:rPr>
        <w:t>») հեղուկ</w:t>
      </w:r>
      <w:r w:rsidR="00595EA1" w:rsidRPr="00312479">
        <w:rPr>
          <w:rFonts w:ascii="Sylfaen" w:hAnsi="Sylfaen"/>
          <w:sz w:val="24"/>
          <w:szCs w:val="24"/>
        </w:rPr>
        <w:t xml:space="preserve"> է</w:t>
      </w:r>
      <w:r w:rsidRPr="00312479">
        <w:rPr>
          <w:rFonts w:ascii="Sylfaen" w:hAnsi="Sylfaen"/>
          <w:sz w:val="24"/>
          <w:szCs w:val="24"/>
        </w:rPr>
        <w:t>, որը տատանվում է անթափանց մուգ շագանակագույնից մինչ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թափանցիկ բաց շագանակագույն</w:t>
      </w:r>
      <w:r w:rsidR="0090491F" w:rsidRPr="00312479">
        <w:rPr>
          <w:rFonts w:ascii="Sylfaen" w:hAnsi="Sylfaen"/>
          <w:sz w:val="24"/>
          <w:szCs w:val="24"/>
        </w:rPr>
        <w:t>ի միջ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,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որ</w:t>
      </w:r>
      <w:r w:rsidR="007B2516" w:rsidRPr="00312479">
        <w:rPr>
          <w:rFonts w:ascii="Sylfaen" w:hAnsi="Sylfaen"/>
          <w:sz w:val="24"/>
          <w:szCs w:val="24"/>
        </w:rPr>
        <w:t>ն</w:t>
      </w:r>
      <w:r w:rsidRPr="00312479">
        <w:rPr>
          <w:rFonts w:ascii="Sylfaen" w:hAnsi="Sylfaen"/>
          <w:sz w:val="24"/>
          <w:szCs w:val="24"/>
        </w:rPr>
        <w:t xml:space="preserve"> ստացվում է անիլինի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ֆորմալդեհիդի փոխգործակցության միջոցով՝ գոյացնելով մեթիլենֆենիլամինի օլիգոմերների խառնուրդ, որն այնուհետ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փոխազդում է ֆոսգենի հետ </w:t>
      </w:r>
      <w:r w:rsidR="00595EA1" w:rsidRPr="00312479">
        <w:rPr>
          <w:rFonts w:ascii="Sylfaen" w:hAnsi="Sylfaen"/>
          <w:sz w:val="24"/>
          <w:szCs w:val="24"/>
        </w:rPr>
        <w:t>ու</w:t>
      </w:r>
      <w:r w:rsidRPr="00312479">
        <w:rPr>
          <w:rFonts w:ascii="Sylfaen" w:hAnsi="Sylfaen"/>
          <w:sz w:val="24"/>
          <w:szCs w:val="24"/>
        </w:rPr>
        <w:t xml:space="preserve"> տաքացման ժամանակ </w:t>
      </w:r>
      <w:r w:rsidR="00595EA1" w:rsidRPr="00312479">
        <w:rPr>
          <w:rFonts w:ascii="Sylfaen" w:hAnsi="Sylfaen"/>
          <w:sz w:val="24"/>
          <w:szCs w:val="24"/>
        </w:rPr>
        <w:t>առաջացն</w:t>
      </w:r>
      <w:r w:rsidRPr="00312479">
        <w:rPr>
          <w:rFonts w:ascii="Sylfaen" w:hAnsi="Sylfaen"/>
          <w:sz w:val="24"/>
          <w:szCs w:val="24"/>
        </w:rPr>
        <w:t xml:space="preserve">ում է իզոցիանատային </w:t>
      </w:r>
      <w:r w:rsidR="00595EA1" w:rsidRPr="00312479">
        <w:rPr>
          <w:rFonts w:ascii="Sylfaen" w:hAnsi="Sylfaen"/>
          <w:sz w:val="24"/>
          <w:szCs w:val="24"/>
        </w:rPr>
        <w:t>ֆունկցիո</w:t>
      </w:r>
      <w:r w:rsidRPr="00312479">
        <w:rPr>
          <w:rFonts w:ascii="Sylfaen" w:hAnsi="Sylfaen"/>
          <w:sz w:val="24"/>
          <w:szCs w:val="24"/>
        </w:rPr>
        <w:t>ն</w:t>
      </w:r>
      <w:r w:rsidR="00595EA1" w:rsidRPr="00312479">
        <w:rPr>
          <w:rFonts w:ascii="Sylfaen" w:hAnsi="Sylfaen"/>
          <w:sz w:val="24"/>
          <w:szCs w:val="24"/>
        </w:rPr>
        <w:t>ալ</w:t>
      </w:r>
      <w:r w:rsidRPr="00312479">
        <w:rPr>
          <w:rFonts w:ascii="Sylfaen" w:hAnsi="Sylfaen"/>
          <w:sz w:val="24"/>
          <w:szCs w:val="24"/>
        </w:rPr>
        <w:t xml:space="preserve"> խմբեր։ Արդյունքը անիլինի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ֆորմալդեհիդի քիմիապես վերափոխված պոլիմեր</w:t>
      </w:r>
      <w:r w:rsidR="0090491F" w:rsidRPr="00312479">
        <w:rPr>
          <w:rFonts w:ascii="Sylfaen" w:hAnsi="Sylfaen"/>
          <w:sz w:val="24"/>
          <w:szCs w:val="24"/>
        </w:rPr>
        <w:t>ն</w:t>
      </w:r>
      <w:r w:rsidRPr="00312479">
        <w:rPr>
          <w:rFonts w:ascii="Sylfaen" w:hAnsi="Sylfaen"/>
          <w:sz w:val="24"/>
          <w:szCs w:val="24"/>
        </w:rPr>
        <w:t xml:space="preserve"> է (քիմիապես վերափոխված ամինախեժ)։ Այն պարունակում է բուն ՄԴԻ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օլիգոմերների ՄԴԻ խառնուրդներ։ Քիմիական կառուցվածքը տե՛ս ստոր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՝</w:t>
      </w:r>
    </w:p>
    <w:p w:rsidR="00881C58" w:rsidRPr="00312479" w:rsidRDefault="00DA1C20" w:rsidP="00312479">
      <w:pPr>
        <w:spacing w:after="160" w:line="360" w:lineRule="auto"/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"C:\\Users\\Tatevik\\</w:instrText>
      </w:r>
      <w:r>
        <w:instrText>Desktop\\</w:instrText>
      </w:r>
      <w:r>
        <w:instrText>ԵՏՄ</w:instrText>
      </w:r>
      <w:r>
        <w:instrText>\\media\\image1.jpeg" \* MERGEFORMATINET</w:instrText>
      </w:r>
      <w:r>
        <w:instrText xml:space="preserve"> </w:instrText>
      </w:r>
      <w:r>
        <w:fldChar w:fldCharType="separate"/>
      </w:r>
      <w:r w:rsidR="00A61C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29pt">
            <v:imagedata r:id="rId10" r:href="rId11"/>
          </v:shape>
        </w:pict>
      </w:r>
      <w:r>
        <w:fldChar w:fldCharType="end"/>
      </w:r>
    </w:p>
    <w:p w:rsidR="00881C58" w:rsidRPr="00312479" w:rsidRDefault="00881C58" w:rsidP="00312479">
      <w:pPr>
        <w:spacing w:after="160" w:line="36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6"/>
        <w:gridCol w:w="5009"/>
      </w:tblGrid>
      <w:tr w:rsidR="00881C58" w:rsidRPr="00312479" w:rsidTr="000E183C">
        <w:trPr>
          <w:jc w:val="center"/>
        </w:trPr>
        <w:tc>
          <w:tcPr>
            <w:tcW w:w="3766" w:type="dxa"/>
            <w:shd w:val="clear" w:color="auto" w:fill="FFFFFF"/>
            <w:vAlign w:val="bottom"/>
          </w:tcPr>
          <w:p w:rsidR="00881C58" w:rsidRPr="00312479" w:rsidRDefault="00161461" w:rsidP="000E183C">
            <w:pPr>
              <w:pStyle w:val="Bodytext20"/>
              <w:shd w:val="clear" w:color="auto" w:fill="auto"/>
              <w:spacing w:before="0" w:after="160" w:line="36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312479">
              <w:rPr>
                <w:rFonts w:ascii="Sylfaen" w:hAnsi="Sylfaen"/>
                <w:sz w:val="24"/>
                <w:szCs w:val="24"/>
              </w:rPr>
              <w:t>ՄԴԻ մոնոմերներ</w:t>
            </w:r>
          </w:p>
        </w:tc>
        <w:tc>
          <w:tcPr>
            <w:tcW w:w="5009" w:type="dxa"/>
            <w:shd w:val="clear" w:color="auto" w:fill="FFFFFF"/>
            <w:vAlign w:val="bottom"/>
          </w:tcPr>
          <w:p w:rsidR="00881C58" w:rsidRPr="00312479" w:rsidRDefault="00161461" w:rsidP="000E183C">
            <w:pPr>
              <w:pStyle w:val="Bodytext20"/>
              <w:shd w:val="clear" w:color="auto" w:fill="auto"/>
              <w:spacing w:before="0" w:after="160" w:line="360" w:lineRule="auto"/>
              <w:ind w:right="90"/>
              <w:jc w:val="right"/>
              <w:rPr>
                <w:rFonts w:ascii="Sylfaen" w:hAnsi="Sylfaen"/>
                <w:sz w:val="24"/>
                <w:szCs w:val="24"/>
              </w:rPr>
            </w:pPr>
            <w:r w:rsidRPr="00312479">
              <w:rPr>
                <w:rFonts w:ascii="Sylfaen" w:hAnsi="Sylfaen"/>
                <w:sz w:val="24"/>
                <w:szCs w:val="24"/>
              </w:rPr>
              <w:t>ՄԴԻ օլիգոմերներ (n = 1-6)»։</w:t>
            </w:r>
          </w:p>
        </w:tc>
      </w:tr>
    </w:tbl>
    <w:p w:rsidR="00881C58" w:rsidRPr="00312479" w:rsidRDefault="00881C58" w:rsidP="00312479">
      <w:pPr>
        <w:spacing w:after="160" w:line="360" w:lineRule="auto"/>
      </w:pPr>
    </w:p>
    <w:p w:rsidR="00881C58" w:rsidRPr="00312479" w:rsidRDefault="000E183C" w:rsidP="000E183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0E183C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3-րդ հատորում՝</w:t>
      </w:r>
    </w:p>
    <w:p w:rsidR="00881C58" w:rsidRPr="00312479" w:rsidRDefault="000E183C" w:rsidP="000E183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 w:rsidRPr="000E183C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6110 ապրանքային դիրքի պարզաբանումների ենթադիրքերի պարզաբանումներից առաջ վերջին պարբերությունը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E73B5D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0E183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«Տվյալ ապրանքային դիրքում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չեն ընդգրկվում 6101 կամ 6102 ապրանքային դիրքի տաքացված ժիլետները, որոնք </w:t>
      </w:r>
      <w:r w:rsidR="007B2516" w:rsidRPr="00312479">
        <w:rPr>
          <w:rFonts w:ascii="Sylfaen" w:hAnsi="Sylfaen"/>
          <w:sz w:val="24"/>
          <w:szCs w:val="24"/>
        </w:rPr>
        <w:t xml:space="preserve">վատ եղանակից պաշտպանվելու համար </w:t>
      </w:r>
      <w:r w:rsidRPr="00312479">
        <w:rPr>
          <w:rFonts w:ascii="Sylfaen" w:hAnsi="Sylfaen"/>
          <w:sz w:val="24"/>
          <w:szCs w:val="24"/>
        </w:rPr>
        <w:t xml:space="preserve">սովորաբար կրում են այլ հագուստի </w:t>
      </w:r>
      <w:r w:rsidR="00EC6C0B" w:rsidRPr="00312479">
        <w:rPr>
          <w:rFonts w:ascii="Sylfaen" w:hAnsi="Sylfaen"/>
          <w:sz w:val="24"/>
          <w:szCs w:val="24"/>
        </w:rPr>
        <w:t>վրայից։</w:t>
      </w:r>
      <w:r w:rsidRPr="00312479">
        <w:rPr>
          <w:rFonts w:ascii="Sylfaen" w:hAnsi="Sylfaen"/>
          <w:sz w:val="24"/>
          <w:szCs w:val="24"/>
        </w:rPr>
        <w:t>».</w:t>
      </w:r>
    </w:p>
    <w:p w:rsidR="00881C58" w:rsidRPr="00312479" w:rsidRDefault="000E183C" w:rsidP="000E183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 w:rsidRPr="000E183C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>ԵԱՏՄ ԱՏԳ ԱԱ 6907 ապրանքային դիրքի պարզաբանումների մեջ՝</w:t>
      </w:r>
    </w:p>
    <w:p w:rsidR="00881C58" w:rsidRPr="00312479" w:rsidRDefault="00161461" w:rsidP="000E183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2-րդ կետից հետո </w:t>
      </w:r>
      <w:r w:rsidR="00445C0C" w:rsidRPr="00312479">
        <w:rPr>
          <w:rFonts w:ascii="Sylfaen" w:hAnsi="Sylfaen"/>
          <w:sz w:val="24"/>
          <w:szCs w:val="24"/>
        </w:rPr>
        <w:t>ավելաց</w:t>
      </w:r>
      <w:r w:rsidRPr="00312479">
        <w:rPr>
          <w:rFonts w:ascii="Sylfaen" w:hAnsi="Sylfaen"/>
          <w:sz w:val="24"/>
          <w:szCs w:val="24"/>
        </w:rPr>
        <w:t xml:space="preserve">նել </w:t>
      </w:r>
      <w:r w:rsidR="00445C0C" w:rsidRPr="00312479">
        <w:rPr>
          <w:rFonts w:ascii="Sylfaen" w:hAnsi="Sylfaen"/>
          <w:sz w:val="24"/>
          <w:szCs w:val="24"/>
        </w:rPr>
        <w:t xml:space="preserve">3-րդ կետ՝ </w:t>
      </w:r>
      <w:r w:rsidRPr="00312479">
        <w:rPr>
          <w:rFonts w:ascii="Sylfaen" w:hAnsi="Sylfaen"/>
          <w:sz w:val="24"/>
          <w:szCs w:val="24"/>
        </w:rPr>
        <w:t>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բովանդակությամբ՝</w:t>
      </w:r>
    </w:p>
    <w:p w:rsidR="00881C58" w:rsidRPr="00312479" w:rsidRDefault="00161461" w:rsidP="000E183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 xml:space="preserve">«3) Տերակոտային երեսապատման տարրերը, որոնք օգտագործվում են </w:t>
      </w:r>
      <w:r w:rsidR="00AD4B3B" w:rsidRPr="00312479">
        <w:rPr>
          <w:rFonts w:ascii="Sylfaen" w:hAnsi="Sylfaen"/>
          <w:sz w:val="24"/>
          <w:szCs w:val="24"/>
        </w:rPr>
        <w:t xml:space="preserve">շինարարական արդյունաբերության մեջ </w:t>
      </w:r>
      <w:r w:rsidRPr="00312479">
        <w:rPr>
          <w:rFonts w:ascii="Sylfaen" w:hAnsi="Sylfaen"/>
          <w:sz w:val="24"/>
          <w:szCs w:val="24"/>
        </w:rPr>
        <w:t>արտաքին կամ ներքին երեսապատման համար</w:t>
      </w:r>
      <w:r w:rsidR="00E43676" w:rsidRPr="00312479">
        <w:rPr>
          <w:rFonts w:ascii="Sylfaen" w:hAnsi="Sylfaen"/>
          <w:sz w:val="24"/>
          <w:szCs w:val="24"/>
        </w:rPr>
        <w:t>,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EC6C0B" w:rsidRPr="00312479">
        <w:rPr>
          <w:rFonts w:ascii="Sylfaen" w:hAnsi="Sylfaen"/>
          <w:sz w:val="24"/>
          <w:szCs w:val="24"/>
        </w:rPr>
        <w:t>տարբեր չափ</w:t>
      </w:r>
      <w:r w:rsidR="00954F2A" w:rsidRPr="00312479">
        <w:rPr>
          <w:rFonts w:ascii="Sylfaen" w:hAnsi="Sylfaen"/>
          <w:sz w:val="24"/>
          <w:szCs w:val="24"/>
        </w:rPr>
        <w:t>ս</w:t>
      </w:r>
      <w:r w:rsidR="00EC6C0B" w:rsidRPr="00312479">
        <w:rPr>
          <w:rFonts w:ascii="Sylfaen" w:hAnsi="Sylfaen"/>
          <w:sz w:val="24"/>
          <w:szCs w:val="24"/>
        </w:rPr>
        <w:t>երի,</w:t>
      </w:r>
      <w:r w:rsidRPr="00312479">
        <w:rPr>
          <w:rFonts w:ascii="Sylfaen" w:hAnsi="Sylfaen"/>
          <w:sz w:val="24"/>
          <w:szCs w:val="24"/>
        </w:rPr>
        <w:t xml:space="preserve"> մոդուլային կառուցվածքով, որոնք, օրինակ՝ մետաղական սեղմակների օգնությամբ ամրացվում են </w:t>
      </w:r>
      <w:r w:rsidR="00AD4B3B" w:rsidRPr="00312479">
        <w:rPr>
          <w:rFonts w:ascii="Sylfaen" w:hAnsi="Sylfaen"/>
          <w:sz w:val="24"/>
          <w:szCs w:val="24"/>
        </w:rPr>
        <w:t xml:space="preserve">հիմնական կոնստրուկցիայի պատերին ամրացված </w:t>
      </w:r>
      <w:r w:rsidRPr="00312479">
        <w:rPr>
          <w:rFonts w:ascii="Sylfaen" w:hAnsi="Sylfaen"/>
          <w:sz w:val="24"/>
          <w:szCs w:val="24"/>
        </w:rPr>
        <w:t>ուղղահայաց կամ հորիզոնական մետաղական պրոֆիլներին։».</w:t>
      </w:r>
    </w:p>
    <w:p w:rsidR="00881C58" w:rsidRPr="00312479" w:rsidRDefault="00161461" w:rsidP="000E183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3-րդ կետը համարել 4-րդ կետ։</w:t>
      </w:r>
    </w:p>
    <w:p w:rsidR="00881C58" w:rsidRPr="00312479" w:rsidRDefault="000E183C" w:rsidP="000E183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Pr="000E183C">
        <w:rPr>
          <w:rFonts w:ascii="Sylfaen" w:hAnsi="Sylfaen"/>
          <w:sz w:val="24"/>
          <w:szCs w:val="24"/>
        </w:rPr>
        <w:tab/>
      </w:r>
      <w:r w:rsidR="00E73B5D" w:rsidRPr="00312479">
        <w:rPr>
          <w:rFonts w:ascii="Sylfaen" w:hAnsi="Sylfaen"/>
          <w:sz w:val="24"/>
          <w:szCs w:val="24"/>
        </w:rPr>
        <w:t xml:space="preserve">4-րդ հատորում ԵԱՏՄ ԱՏԳ ԱԱ 7113 ապրանքային դիրքի </w:t>
      </w:r>
      <w:r w:rsidR="00E73B5D" w:rsidRPr="00312479">
        <w:rPr>
          <w:rFonts w:ascii="Sylfaen" w:hAnsi="Sylfaen"/>
          <w:sz w:val="24"/>
          <w:szCs w:val="24"/>
        </w:rPr>
        <w:lastRenderedPageBreak/>
        <w:t xml:space="preserve">պարզաբանումների </w:t>
      </w:r>
      <w:r w:rsidR="00FD2420" w:rsidRPr="00312479">
        <w:rPr>
          <w:rFonts w:ascii="Sylfaen" w:hAnsi="Sylfaen"/>
          <w:sz w:val="24"/>
          <w:szCs w:val="24"/>
        </w:rPr>
        <w:t xml:space="preserve">«ա» </w:t>
      </w:r>
      <w:r w:rsidR="00E73B5D" w:rsidRPr="00312479">
        <w:rPr>
          <w:rFonts w:ascii="Sylfaen" w:hAnsi="Sylfaen"/>
          <w:sz w:val="24"/>
          <w:szCs w:val="24"/>
        </w:rPr>
        <w:t xml:space="preserve">բացառության մեջ «2 </w:t>
      </w:r>
      <w:r w:rsidR="00FD2420" w:rsidRPr="00312479">
        <w:rPr>
          <w:rFonts w:ascii="Sylfaen" w:hAnsi="Sylfaen"/>
          <w:sz w:val="24"/>
          <w:szCs w:val="24"/>
        </w:rPr>
        <w:t xml:space="preserve">Բ </w:t>
      </w:r>
      <w:r w:rsidR="00E73B5D" w:rsidRPr="00312479">
        <w:rPr>
          <w:rFonts w:ascii="Sylfaen" w:hAnsi="Sylfaen"/>
          <w:sz w:val="24"/>
          <w:szCs w:val="24"/>
        </w:rPr>
        <w:t xml:space="preserve">ծանոթագրության մեջ» բառերը փոխարինել «3 </w:t>
      </w:r>
      <w:r w:rsidR="00390D0E" w:rsidRPr="00312479">
        <w:rPr>
          <w:rFonts w:ascii="Sylfaen" w:hAnsi="Sylfaen"/>
          <w:sz w:val="24"/>
          <w:szCs w:val="24"/>
        </w:rPr>
        <w:t xml:space="preserve">Բ </w:t>
      </w:r>
      <w:r w:rsidR="00E73B5D" w:rsidRPr="00312479">
        <w:rPr>
          <w:rFonts w:ascii="Sylfaen" w:hAnsi="Sylfaen"/>
          <w:sz w:val="24"/>
          <w:szCs w:val="24"/>
        </w:rPr>
        <w:t>ծանոթագրության մեջ» բառերով։</w:t>
      </w:r>
    </w:p>
    <w:p w:rsidR="00881C58" w:rsidRPr="00312479" w:rsidRDefault="000E183C" w:rsidP="00BB070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0E183C">
        <w:rPr>
          <w:rFonts w:ascii="Sylfaen" w:hAnsi="Sylfaen"/>
          <w:sz w:val="24"/>
          <w:szCs w:val="24"/>
        </w:rPr>
        <w:tab/>
      </w:r>
      <w:r w:rsidR="00470D28" w:rsidRPr="00312479">
        <w:rPr>
          <w:rFonts w:ascii="Sylfaen" w:hAnsi="Sylfaen"/>
          <w:sz w:val="24"/>
          <w:szCs w:val="24"/>
        </w:rPr>
        <w:t>5-րդ հատորում՝</w:t>
      </w:r>
    </w:p>
    <w:p w:rsidR="00881C58" w:rsidRPr="001655AF" w:rsidRDefault="000E183C" w:rsidP="00BB070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1655AF">
        <w:rPr>
          <w:rFonts w:ascii="Sylfaen" w:hAnsi="Sylfaen"/>
          <w:spacing w:val="6"/>
          <w:sz w:val="24"/>
          <w:szCs w:val="24"/>
        </w:rPr>
        <w:t>1)</w:t>
      </w:r>
      <w:r w:rsidRPr="001655AF">
        <w:rPr>
          <w:rFonts w:ascii="Sylfaen" w:hAnsi="Sylfaen"/>
          <w:spacing w:val="6"/>
          <w:sz w:val="24"/>
          <w:szCs w:val="24"/>
        </w:rPr>
        <w:tab/>
      </w:r>
      <w:r w:rsidR="00E73B5D" w:rsidRPr="001655AF">
        <w:rPr>
          <w:rFonts w:ascii="Sylfaen" w:hAnsi="Sylfaen"/>
          <w:spacing w:val="6"/>
          <w:sz w:val="24"/>
          <w:szCs w:val="24"/>
        </w:rPr>
        <w:t>ԵԱՏՄ ԱՏԳ ԱԱ 8541 ապրանքային դիրքի պարզաբանումների Ա մասի II կետում՝</w:t>
      </w:r>
    </w:p>
    <w:p w:rsidR="00881C58" w:rsidRPr="00312479" w:rsidRDefault="00162383" w:rsidP="00BB070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</w:t>
      </w:r>
      <w:r w:rsidR="00161461" w:rsidRPr="00312479">
        <w:rPr>
          <w:rFonts w:ascii="Sylfaen" w:hAnsi="Sylfaen"/>
          <w:sz w:val="24"/>
          <w:szCs w:val="24"/>
        </w:rPr>
        <w:t>2</w:t>
      </w:r>
      <w:r w:rsidRPr="00312479">
        <w:rPr>
          <w:rFonts w:ascii="Sylfaen" w:hAnsi="Sylfaen"/>
          <w:sz w:val="24"/>
          <w:szCs w:val="24"/>
        </w:rPr>
        <w:t>»</w:t>
      </w:r>
      <w:r w:rsidR="00161461" w:rsidRPr="00312479">
        <w:rPr>
          <w:rFonts w:ascii="Sylfaen" w:hAnsi="Sylfaen"/>
          <w:sz w:val="24"/>
          <w:szCs w:val="24"/>
        </w:rPr>
        <w:t>-րդ ենթակետը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="00161461"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BB070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«2) Դաշտային տրանզիստորները, որոնք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հայտնի են որպես մետաղ-օքսիդ-կիսահաղորդիչներ (ՄՕԿ) </w:t>
      </w:r>
      <w:r w:rsidR="00EC6C0B" w:rsidRPr="00312479">
        <w:rPr>
          <w:rFonts w:ascii="Sylfaen" w:hAnsi="Sylfaen"/>
          <w:sz w:val="24"/>
          <w:szCs w:val="24"/>
        </w:rPr>
        <w:t>կառուցվածքնե</w:t>
      </w:r>
      <w:r w:rsidRPr="00312479">
        <w:rPr>
          <w:rFonts w:ascii="Sylfaen" w:hAnsi="Sylfaen"/>
          <w:sz w:val="24"/>
          <w:szCs w:val="24"/>
        </w:rPr>
        <w:t xml:space="preserve">ր, կարող են ունենալ, կարող են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չունենալ անցումներ, բայց կախված են առկա երկու էլեկտրոդների միջ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լիցքի ազատ կրողների</w:t>
      </w:r>
      <w:r w:rsidR="004B38BA" w:rsidRPr="00312479">
        <w:rPr>
          <w:rFonts w:ascii="Sylfaen" w:hAnsi="Sylfaen"/>
          <w:sz w:val="24"/>
          <w:szCs w:val="24"/>
        </w:rPr>
        <w:t>՝</w:t>
      </w:r>
      <w:r w:rsidRPr="00312479">
        <w:rPr>
          <w:rFonts w:ascii="Sylfaen" w:hAnsi="Sylfaen"/>
          <w:sz w:val="24"/>
          <w:szCs w:val="24"/>
        </w:rPr>
        <w:t xml:space="preserve"> առաջաց</w:t>
      </w:r>
      <w:r w:rsidR="004B38BA" w:rsidRPr="00312479">
        <w:rPr>
          <w:rFonts w:ascii="Sylfaen" w:hAnsi="Sylfaen"/>
          <w:sz w:val="24"/>
          <w:szCs w:val="24"/>
        </w:rPr>
        <w:t>ր</w:t>
      </w:r>
      <w:r w:rsidRPr="00312479">
        <w:rPr>
          <w:rFonts w:ascii="Sylfaen" w:hAnsi="Sylfaen"/>
          <w:sz w:val="24"/>
          <w:szCs w:val="24"/>
        </w:rPr>
        <w:t xml:space="preserve">ած աղքատացումից (կամ հարստացումից)։ </w:t>
      </w:r>
      <w:r w:rsidR="008C743C" w:rsidRPr="00312479">
        <w:rPr>
          <w:rFonts w:ascii="Sylfaen" w:hAnsi="Sylfaen"/>
          <w:sz w:val="24"/>
          <w:szCs w:val="24"/>
        </w:rPr>
        <w:t>Դաշտային տրանզիստորում տ</w:t>
      </w:r>
      <w:r w:rsidRPr="00312479">
        <w:rPr>
          <w:rFonts w:ascii="Sylfaen" w:hAnsi="Sylfaen"/>
          <w:sz w:val="24"/>
          <w:szCs w:val="24"/>
        </w:rPr>
        <w:t>րանզիստորային ազդեցություն</w:t>
      </w:r>
      <w:r w:rsidR="008F74BA" w:rsidRPr="00312479">
        <w:rPr>
          <w:rFonts w:ascii="Sylfaen" w:hAnsi="Sylfaen"/>
          <w:sz w:val="24"/>
          <w:szCs w:val="24"/>
        </w:rPr>
        <w:t>ն</w:t>
      </w:r>
      <w:r w:rsidRPr="00312479">
        <w:rPr>
          <w:rFonts w:ascii="Sylfaen" w:hAnsi="Sylfaen"/>
          <w:sz w:val="24"/>
          <w:szCs w:val="24"/>
        </w:rPr>
        <w:t xml:space="preserve"> օգտագործում է լիցք կրողի միայն մեկ </w:t>
      </w:r>
      <w:r w:rsidR="008F74BA" w:rsidRPr="00312479">
        <w:rPr>
          <w:rFonts w:ascii="Sylfaen" w:hAnsi="Sylfaen"/>
          <w:sz w:val="24"/>
          <w:szCs w:val="24"/>
        </w:rPr>
        <w:t>տիպ</w:t>
      </w:r>
      <w:r w:rsidRPr="00312479">
        <w:rPr>
          <w:rFonts w:ascii="Sylfaen" w:hAnsi="Sylfaen"/>
          <w:sz w:val="24"/>
          <w:szCs w:val="24"/>
        </w:rPr>
        <w:t xml:space="preserve"> (այդ պատճառով էլ դրանք կոչվում են միաբ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եռ)։ Պարազիտային դիոդը, որը ձ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ավորվում է ՄՕԿ-տրանզիստորների բյուրեղում (որոնք նա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հայտնի են որպես ՄՕԿՊՏ), կարող է </w:t>
      </w:r>
      <w:r w:rsidR="008C743C" w:rsidRPr="00312479">
        <w:rPr>
          <w:rFonts w:ascii="Sylfaen" w:hAnsi="Sylfaen"/>
          <w:sz w:val="24"/>
          <w:szCs w:val="24"/>
        </w:rPr>
        <w:t>ինդուկտիվ բեռ</w:t>
      </w:r>
      <w:r w:rsidR="008F74BA" w:rsidRPr="00312479">
        <w:rPr>
          <w:rFonts w:ascii="Sylfaen" w:hAnsi="Sylfaen"/>
          <w:sz w:val="24"/>
          <w:szCs w:val="24"/>
        </w:rPr>
        <w:t>վածք</w:t>
      </w:r>
      <w:r w:rsidR="008C743C" w:rsidRPr="00312479">
        <w:rPr>
          <w:rFonts w:ascii="Sylfaen" w:hAnsi="Sylfaen"/>
          <w:sz w:val="24"/>
          <w:szCs w:val="24"/>
        </w:rPr>
        <w:t xml:space="preserve">ի անջատման ժամանակ </w:t>
      </w:r>
      <w:r w:rsidRPr="00312479">
        <w:rPr>
          <w:rFonts w:ascii="Sylfaen" w:hAnsi="Sylfaen"/>
          <w:sz w:val="24"/>
          <w:szCs w:val="24"/>
        </w:rPr>
        <w:t xml:space="preserve">գործել որպես հակադարձ դիոդ։ Չորս էլեկտրոդ ունեցող </w:t>
      </w:r>
      <w:r w:rsidR="00EC6C0B" w:rsidRPr="00312479">
        <w:rPr>
          <w:rFonts w:ascii="Sylfaen" w:hAnsi="Sylfaen"/>
          <w:sz w:val="24"/>
          <w:szCs w:val="24"/>
        </w:rPr>
        <w:t>ՄՕԿՊՏ-</w:t>
      </w:r>
      <w:r w:rsidR="00B471FB" w:rsidRPr="00312479">
        <w:rPr>
          <w:rFonts w:ascii="Sylfaen" w:hAnsi="Sylfaen"/>
          <w:sz w:val="24"/>
          <w:szCs w:val="24"/>
        </w:rPr>
        <w:t>ներ</w:t>
      </w:r>
      <w:r w:rsidR="00EC6C0B" w:rsidRPr="00312479">
        <w:rPr>
          <w:rFonts w:ascii="Sylfaen" w:hAnsi="Sylfaen"/>
          <w:sz w:val="24"/>
          <w:szCs w:val="24"/>
        </w:rPr>
        <w:t>ը կոչվում են տետրոդներ։».</w:t>
      </w:r>
    </w:p>
    <w:p w:rsidR="00881C58" w:rsidRPr="00312479" w:rsidRDefault="00161461" w:rsidP="00BB070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լրացնել 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բովանդակությամբ 3</w:t>
      </w:r>
      <w:r w:rsidR="008C743C" w:rsidRPr="00312479">
        <w:rPr>
          <w:rFonts w:ascii="Sylfaen" w:hAnsi="Sylfaen"/>
          <w:sz w:val="24"/>
          <w:szCs w:val="24"/>
        </w:rPr>
        <w:t>-րդ</w:t>
      </w:r>
      <w:r w:rsidRPr="00312479">
        <w:rPr>
          <w:rFonts w:ascii="Sylfaen" w:hAnsi="Sylfaen"/>
          <w:sz w:val="24"/>
          <w:szCs w:val="24"/>
        </w:rPr>
        <w:t xml:space="preserve"> կետով՝</w:t>
      </w:r>
    </w:p>
    <w:p w:rsidR="00881C58" w:rsidRPr="00312479" w:rsidRDefault="00161461" w:rsidP="00BB070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«3) Մեկուսացված փականով երկբ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եռ տրանզիստորները (ՄՓԵՏ), որոնք երեք էլեկտրոդներով</w:t>
      </w:r>
      <w:r w:rsidR="004F0DE1" w:rsidRPr="00312479">
        <w:rPr>
          <w:rFonts w:ascii="Sylfaen" w:hAnsi="Sylfaen"/>
          <w:sz w:val="24"/>
          <w:szCs w:val="24"/>
        </w:rPr>
        <w:t xml:space="preserve"> սարքեր են</w:t>
      </w:r>
      <w:r w:rsidRPr="00312479">
        <w:rPr>
          <w:rFonts w:ascii="Sylfaen" w:hAnsi="Sylfaen"/>
          <w:sz w:val="24"/>
          <w:szCs w:val="24"/>
        </w:rPr>
        <w:t xml:space="preserve">՝ փական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բեռնված</w:t>
      </w:r>
      <w:r w:rsidR="008F74BA" w:rsidRPr="00312479">
        <w:rPr>
          <w:rFonts w:ascii="Sylfaen" w:hAnsi="Sylfaen"/>
          <w:sz w:val="24"/>
          <w:szCs w:val="24"/>
        </w:rPr>
        <w:t>քային</w:t>
      </w:r>
      <w:r w:rsidRPr="00312479">
        <w:rPr>
          <w:rFonts w:ascii="Sylfaen" w:hAnsi="Sylfaen"/>
          <w:sz w:val="24"/>
          <w:szCs w:val="24"/>
        </w:rPr>
        <w:t xml:space="preserve"> երկու էլեկտրոդներ (</w:t>
      </w:r>
      <w:r w:rsidR="008F74BA" w:rsidRPr="00312479">
        <w:rPr>
          <w:rFonts w:ascii="Sylfaen" w:hAnsi="Sylfaen"/>
          <w:sz w:val="24"/>
          <w:szCs w:val="24"/>
        </w:rPr>
        <w:t>էմիտեր</w:t>
      </w:r>
      <w:r w:rsidR="008F74BA" w:rsidRPr="00312479" w:rsidDel="008F74BA">
        <w:rPr>
          <w:rFonts w:ascii="Sylfaen" w:hAnsi="Sylfaen"/>
          <w:sz w:val="24"/>
          <w:szCs w:val="24"/>
        </w:rPr>
        <w:t xml:space="preserve"> </w:t>
      </w:r>
      <w:r w:rsidRPr="00312479">
        <w:rPr>
          <w:rFonts w:ascii="Sylfaen" w:hAnsi="Sylfaen"/>
          <w:sz w:val="24"/>
          <w:szCs w:val="24"/>
        </w:rPr>
        <w:t>(</w:t>
      </w:r>
      <w:r w:rsidR="008F74BA" w:rsidRPr="00312479">
        <w:rPr>
          <w:rFonts w:ascii="Sylfaen" w:hAnsi="Sylfaen"/>
          <w:sz w:val="24"/>
          <w:szCs w:val="24"/>
        </w:rPr>
        <w:t>ղեկավարող</w:t>
      </w:r>
      <w:r w:rsidRPr="00312479">
        <w:rPr>
          <w:rFonts w:ascii="Sylfaen" w:hAnsi="Sylfaen"/>
          <w:sz w:val="24"/>
          <w:szCs w:val="24"/>
        </w:rPr>
        <w:t xml:space="preserve">)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8F74BA" w:rsidRPr="00312479">
        <w:rPr>
          <w:rFonts w:ascii="Sylfaen" w:hAnsi="Sylfaen"/>
          <w:sz w:val="24"/>
          <w:szCs w:val="24"/>
        </w:rPr>
        <w:t xml:space="preserve">կոլեկտոր </w:t>
      </w:r>
      <w:r w:rsidRPr="00312479">
        <w:rPr>
          <w:rFonts w:ascii="Sylfaen" w:hAnsi="Sylfaen"/>
          <w:sz w:val="24"/>
          <w:szCs w:val="24"/>
        </w:rPr>
        <w:t>(</w:t>
      </w:r>
      <w:r w:rsidR="008F74BA" w:rsidRPr="00312479">
        <w:rPr>
          <w:rFonts w:ascii="Sylfaen" w:hAnsi="Sylfaen"/>
          <w:sz w:val="24"/>
          <w:szCs w:val="24"/>
        </w:rPr>
        <w:t>ղեկավարվող</w:t>
      </w:r>
      <w:r w:rsidRPr="00312479">
        <w:rPr>
          <w:rFonts w:ascii="Sylfaen" w:hAnsi="Sylfaen"/>
          <w:sz w:val="24"/>
          <w:szCs w:val="24"/>
        </w:rPr>
        <w:t xml:space="preserve">))։ Փականի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էմիտերի միջ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համապատասխան լարում </w:t>
      </w:r>
      <w:r w:rsidR="008F74BA" w:rsidRPr="00312479">
        <w:rPr>
          <w:rFonts w:ascii="Sylfaen" w:hAnsi="Sylfaen"/>
          <w:sz w:val="24"/>
          <w:szCs w:val="24"/>
        </w:rPr>
        <w:t>հաղորդ</w:t>
      </w:r>
      <w:r w:rsidRPr="00312479">
        <w:rPr>
          <w:rFonts w:ascii="Sylfaen" w:hAnsi="Sylfaen"/>
          <w:sz w:val="24"/>
          <w:szCs w:val="24"/>
        </w:rPr>
        <w:t xml:space="preserve">ելու միջոցով իրականացվում է հոսանքի կառավարում մեկ ուղղությամբ, այսինքն՝ այն կարելի է միացնել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անջատել։ ՄՓԵՏ չիպերը կարող </w:t>
      </w:r>
      <w:r w:rsidR="00EC6C0B" w:rsidRPr="00312479">
        <w:rPr>
          <w:rFonts w:ascii="Sylfaen" w:hAnsi="Sylfaen"/>
          <w:sz w:val="24"/>
          <w:szCs w:val="24"/>
        </w:rPr>
        <w:t>են դիոդների հետ համատեղվել մեկ կորպուսում (ՄՓԵՏ բաղկացուցիչներ)՝ ՄՓԵՏ պաշտպանությունը</w:t>
      </w:r>
      <w:r w:rsidRPr="00312479">
        <w:rPr>
          <w:rFonts w:ascii="Sylfaen" w:hAnsi="Sylfaen"/>
          <w:sz w:val="24"/>
          <w:szCs w:val="24"/>
        </w:rPr>
        <w:t xml:space="preserve">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որպես տրանզիստոր դրա </w:t>
      </w:r>
      <w:r w:rsidR="00EC6C0B" w:rsidRPr="00312479">
        <w:rPr>
          <w:rFonts w:ascii="Sylfaen" w:hAnsi="Sylfaen"/>
          <w:sz w:val="24"/>
          <w:szCs w:val="24"/>
        </w:rPr>
        <w:t>աշխատանքն ապահովելու համար։».</w:t>
      </w:r>
    </w:p>
    <w:p w:rsidR="00881C58" w:rsidRPr="001655AF" w:rsidRDefault="00BB0700" w:rsidP="00BB070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1655AF">
        <w:rPr>
          <w:rFonts w:ascii="Sylfaen" w:hAnsi="Sylfaen"/>
          <w:spacing w:val="6"/>
          <w:sz w:val="24"/>
          <w:szCs w:val="24"/>
        </w:rPr>
        <w:t>2)</w:t>
      </w:r>
      <w:r w:rsidRPr="001655AF">
        <w:rPr>
          <w:rFonts w:ascii="Sylfaen" w:hAnsi="Sylfaen"/>
          <w:spacing w:val="6"/>
          <w:sz w:val="24"/>
          <w:szCs w:val="24"/>
        </w:rPr>
        <w:tab/>
      </w:r>
      <w:r w:rsidR="00E73B5D" w:rsidRPr="001655AF">
        <w:rPr>
          <w:rFonts w:ascii="Sylfaen" w:hAnsi="Sylfaen"/>
          <w:spacing w:val="6"/>
          <w:sz w:val="24"/>
          <w:szCs w:val="24"/>
        </w:rPr>
        <w:t xml:space="preserve">ԵԱՏՄ ԱՏԳ ԱԱ 8704 ապրանքային դիրքի պարզաբանումների </w:t>
      </w:r>
      <w:r w:rsidR="006E0962" w:rsidRPr="001655AF">
        <w:rPr>
          <w:rFonts w:ascii="Sylfaen" w:hAnsi="Sylfaen"/>
          <w:spacing w:val="6"/>
          <w:sz w:val="24"/>
          <w:szCs w:val="24"/>
        </w:rPr>
        <w:t>«</w:t>
      </w:r>
      <w:r w:rsidR="00E73B5D" w:rsidRPr="001655AF">
        <w:rPr>
          <w:rFonts w:ascii="Sylfaen" w:hAnsi="Sylfaen"/>
          <w:spacing w:val="6"/>
          <w:sz w:val="24"/>
          <w:szCs w:val="24"/>
        </w:rPr>
        <w:t>գ</w:t>
      </w:r>
      <w:r w:rsidR="006E0962" w:rsidRPr="001655AF">
        <w:rPr>
          <w:rFonts w:ascii="Sylfaen" w:hAnsi="Sylfaen"/>
          <w:spacing w:val="6"/>
          <w:sz w:val="24"/>
          <w:szCs w:val="24"/>
        </w:rPr>
        <w:t>»</w:t>
      </w:r>
      <w:r w:rsidR="00E73B5D" w:rsidRPr="001655AF">
        <w:rPr>
          <w:rFonts w:ascii="Sylfaen" w:hAnsi="Sylfaen"/>
          <w:spacing w:val="6"/>
          <w:sz w:val="24"/>
          <w:szCs w:val="24"/>
        </w:rPr>
        <w:t xml:space="preserve"> բացառությունը շարադրել հետ</w:t>
      </w:r>
      <w:r w:rsidR="00A61C81">
        <w:rPr>
          <w:rFonts w:ascii="Sylfaen" w:hAnsi="Sylfaen"/>
          <w:spacing w:val="6"/>
          <w:sz w:val="24"/>
          <w:szCs w:val="24"/>
        </w:rPr>
        <w:t>և</w:t>
      </w:r>
      <w:r w:rsidR="00E73B5D" w:rsidRPr="001655AF">
        <w:rPr>
          <w:rFonts w:ascii="Sylfaen" w:hAnsi="Sylfaen"/>
          <w:spacing w:val="6"/>
          <w:sz w:val="24"/>
          <w:szCs w:val="24"/>
        </w:rPr>
        <w:t>յալ խմբագրությամբ՝</w:t>
      </w:r>
    </w:p>
    <w:p w:rsidR="00881C58" w:rsidRPr="00BB0700" w:rsidRDefault="00161461" w:rsidP="0031247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312479">
        <w:rPr>
          <w:rFonts w:ascii="Sylfaen" w:hAnsi="Sylfaen"/>
          <w:sz w:val="24"/>
          <w:szCs w:val="24"/>
        </w:rPr>
        <w:lastRenderedPageBreak/>
        <w:t xml:space="preserve">«գ) մոտոցիկլներ, մոտոռոլլերներ կամ շարժիչով հեծանիվներ, որոնք սարքավորված են բեռներ փոխադրելու համար, ինչպիսիք են ապրանքների առաքման համար մոտոցիկլները, եռանիվ հեծանիվները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այլ տրանսպորտային միջոցներ, որոնք չունեն տվյալ ապրանքային դիրքի </w:t>
      </w:r>
      <w:r w:rsidRPr="00312479">
        <w:rPr>
          <w:rStyle w:val="Bodytext2Bold"/>
          <w:rFonts w:ascii="Sylfaen" w:hAnsi="Sylfaen"/>
          <w:sz w:val="24"/>
          <w:szCs w:val="24"/>
        </w:rPr>
        <w:t>(ապրանքային դիրք 8711)</w:t>
      </w:r>
      <w:r w:rsidRPr="00312479">
        <w:rPr>
          <w:rFonts w:ascii="Sylfaen" w:hAnsi="Sylfaen"/>
          <w:sz w:val="24"/>
          <w:szCs w:val="24"/>
        </w:rPr>
        <w:t xml:space="preserve"> եռանիվ տրանսպորտային միջոցների հատկանիշներ։».</w:t>
      </w:r>
    </w:p>
    <w:p w:rsidR="00881C58" w:rsidRPr="00312479" w:rsidRDefault="00E73B5D" w:rsidP="00312479">
      <w:pPr>
        <w:pStyle w:val="Bodytext2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312479">
        <w:rPr>
          <w:rFonts w:ascii="Sylfaen" w:hAnsi="Sylfaen"/>
          <w:sz w:val="24"/>
          <w:szCs w:val="24"/>
        </w:rPr>
        <w:t>3) ԵԱՏՄ ԱՏԳ ԱԱ 9403 ապրանքային դիրքի պարզաբանումների 1-ին կետը շարադրել հետ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>յալ խմբագրությամբ՝</w:t>
      </w:r>
    </w:p>
    <w:p w:rsidR="00881C58" w:rsidRPr="00312479" w:rsidRDefault="00161461" w:rsidP="00312479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312479">
        <w:rPr>
          <w:rStyle w:val="Bodytext2Bold"/>
          <w:rFonts w:ascii="Sylfaen" w:hAnsi="Sylfaen"/>
          <w:sz w:val="24"/>
          <w:szCs w:val="24"/>
        </w:rPr>
        <w:t xml:space="preserve">«1) Մասնավոր բնակտարածքների, հյուրանոցների </w:t>
      </w:r>
      <w:r w:rsidR="00A61C81">
        <w:rPr>
          <w:rStyle w:val="Bodytext2Bold"/>
          <w:rFonts w:ascii="Sylfaen" w:hAnsi="Sylfaen"/>
          <w:sz w:val="24"/>
          <w:szCs w:val="24"/>
        </w:rPr>
        <w:t>և</w:t>
      </w:r>
      <w:r w:rsidRPr="00312479">
        <w:rPr>
          <w:rStyle w:val="Bodytext2Bold"/>
          <w:rFonts w:ascii="Sylfaen" w:hAnsi="Sylfaen"/>
          <w:sz w:val="24"/>
          <w:szCs w:val="24"/>
        </w:rPr>
        <w:t xml:space="preserve"> այլ տարածքների համար,</w:t>
      </w:r>
      <w:r w:rsidRPr="00312479">
        <w:rPr>
          <w:rFonts w:ascii="Sylfaen" w:hAnsi="Sylfaen"/>
          <w:sz w:val="24"/>
          <w:szCs w:val="24"/>
        </w:rPr>
        <w:t xml:space="preserve"> ինչպիսիք են՝ ապակեպատված պահարանները, սպիտակեղենի սնդուկները, հացամանները, կոմոդները, բարձր կոմոդները. պատվանդանները (հատակի տակդիրները), բույսերի համար տակդիրները. զուգարանի սեղանները. գրասեղանների կարճապահարանները. </w:t>
      </w:r>
      <w:r w:rsidR="0015229D" w:rsidRPr="00312479">
        <w:rPr>
          <w:rFonts w:ascii="Sylfaen" w:hAnsi="Sylfaen"/>
          <w:sz w:val="24"/>
          <w:szCs w:val="24"/>
        </w:rPr>
        <w:t>զգեստ</w:t>
      </w:r>
      <w:r w:rsidRPr="00312479">
        <w:rPr>
          <w:rFonts w:ascii="Sylfaen" w:hAnsi="Sylfaen"/>
          <w:sz w:val="24"/>
          <w:szCs w:val="24"/>
        </w:rPr>
        <w:t xml:space="preserve">ապահարանները, </w:t>
      </w:r>
      <w:r w:rsidR="009F3343" w:rsidRPr="00312479">
        <w:rPr>
          <w:rFonts w:ascii="Sylfaen" w:hAnsi="Sylfaen"/>
          <w:sz w:val="24"/>
          <w:szCs w:val="24"/>
        </w:rPr>
        <w:t>սպիտակեղենի մամլիչներ</w:t>
      </w:r>
      <w:r w:rsidR="0015229D" w:rsidRPr="00312479">
        <w:rPr>
          <w:rFonts w:ascii="Sylfaen" w:hAnsi="Sylfaen"/>
          <w:sz w:val="24"/>
          <w:szCs w:val="24"/>
        </w:rPr>
        <w:t>ը</w:t>
      </w:r>
      <w:r w:rsidRPr="00312479">
        <w:rPr>
          <w:rFonts w:ascii="Sylfaen" w:hAnsi="Sylfaen"/>
          <w:sz w:val="24"/>
          <w:szCs w:val="24"/>
        </w:rPr>
        <w:t xml:space="preserve">. նախասենյակի համար տակդիրները, հովանոցների համար տակդիրները. </w:t>
      </w:r>
      <w:r w:rsidR="0015229D" w:rsidRPr="00312479">
        <w:rPr>
          <w:rFonts w:ascii="Sylfaen" w:hAnsi="Sylfaen"/>
          <w:sz w:val="24"/>
          <w:szCs w:val="24"/>
        </w:rPr>
        <w:t>սպասքապահարանները (</w:t>
      </w:r>
      <w:r w:rsidRPr="00312479">
        <w:rPr>
          <w:rFonts w:ascii="Sylfaen" w:hAnsi="Sylfaen"/>
          <w:sz w:val="24"/>
          <w:szCs w:val="24"/>
        </w:rPr>
        <w:t xml:space="preserve">սերվանտները), խոհանոցի սպասքի պահարանները, բուֆետները. ապրանքների համար արկղերը. մահճակալին կից սեղանները. մահճակալները (ներառյալ </w:t>
      </w:r>
      <w:r w:rsidR="0015229D" w:rsidRPr="00312479">
        <w:rPr>
          <w:rFonts w:ascii="Sylfaen" w:hAnsi="Sylfaen"/>
          <w:sz w:val="24"/>
          <w:szCs w:val="24"/>
        </w:rPr>
        <w:t>զգեստ</w:t>
      </w:r>
      <w:r w:rsidRPr="00312479">
        <w:rPr>
          <w:rFonts w:ascii="Sylfaen" w:hAnsi="Sylfaen"/>
          <w:sz w:val="24"/>
          <w:szCs w:val="24"/>
        </w:rPr>
        <w:t xml:space="preserve">ապահարանով մահճակալները, ծալովի մահճակալները, արշավային մահճակալները, մանկական մահճակալները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այլն). կարի համար նախատեսված սեղանները. նստարանները </w:t>
      </w:r>
      <w:r w:rsidR="00A61C81">
        <w:rPr>
          <w:rFonts w:ascii="Sylfaen" w:hAnsi="Sylfaen"/>
          <w:sz w:val="24"/>
          <w:szCs w:val="24"/>
        </w:rPr>
        <w:t>և</w:t>
      </w:r>
      <w:r w:rsidRPr="00312479">
        <w:rPr>
          <w:rFonts w:ascii="Sylfaen" w:hAnsi="Sylfaen"/>
          <w:sz w:val="24"/>
          <w:szCs w:val="24"/>
        </w:rPr>
        <w:t xml:space="preserve"> ոտքերի համար նստարանները (ճոճվող կամ չճոճվող), որոնք նախատեսված են ոտքերը </w:t>
      </w:r>
      <w:r w:rsidR="006C5860" w:rsidRPr="00312479">
        <w:rPr>
          <w:rFonts w:ascii="Sylfaen" w:hAnsi="Sylfaen"/>
          <w:sz w:val="24"/>
          <w:szCs w:val="24"/>
        </w:rPr>
        <w:t>դն</w:t>
      </w:r>
      <w:r w:rsidRPr="00312479">
        <w:rPr>
          <w:rFonts w:ascii="Sylfaen" w:hAnsi="Sylfaen"/>
          <w:sz w:val="24"/>
          <w:szCs w:val="24"/>
        </w:rPr>
        <w:t xml:space="preserve">ելու համար, բուխարիների շիրմաները. միջանցուկ քամուց պաշտպանվելու համար շիրմաները. տակդիրներով մոխրամանները. նոտաների պահպանման համար արկղերով պահարանները, նոտակալները. մանկական ճաղափակոցները. սնունդը բաժանելու համար սայլակները (տաքացման </w:t>
      </w:r>
      <w:r w:rsidR="006C5860" w:rsidRPr="00312479">
        <w:rPr>
          <w:rFonts w:ascii="Sylfaen" w:hAnsi="Sylfaen"/>
          <w:sz w:val="24"/>
          <w:szCs w:val="24"/>
        </w:rPr>
        <w:t xml:space="preserve">համար սալօջախով </w:t>
      </w:r>
      <w:r w:rsidRPr="00312479">
        <w:rPr>
          <w:rFonts w:ascii="Sylfaen" w:hAnsi="Sylfaen"/>
          <w:sz w:val="24"/>
          <w:szCs w:val="24"/>
        </w:rPr>
        <w:t>կամ առանց դրա)։»։</w:t>
      </w:r>
    </w:p>
    <w:sectPr w:rsidR="00881C58" w:rsidRPr="00312479" w:rsidSect="002E0DFA">
      <w:footerReference w:type="default" r:id="rId12"/>
      <w:pgSz w:w="11900" w:h="16840" w:code="9"/>
      <w:pgMar w:top="1418" w:right="1418" w:bottom="1418" w:left="1418" w:header="0" w:footer="3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20" w:rsidRDefault="00DA1C20" w:rsidP="00881C58">
      <w:r>
        <w:separator/>
      </w:r>
    </w:p>
  </w:endnote>
  <w:endnote w:type="continuationSeparator" w:id="0">
    <w:p w:rsidR="00DA1C20" w:rsidRDefault="00DA1C20" w:rsidP="0088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3299"/>
      <w:docPartObj>
        <w:docPartGallery w:val="Page Numbers (Bottom of Page)"/>
        <w:docPartUnique/>
      </w:docPartObj>
    </w:sdtPr>
    <w:sdtEndPr/>
    <w:sdtContent>
      <w:p w:rsidR="00A10A25" w:rsidRDefault="00DA1C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C8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20" w:rsidRDefault="00DA1C20"/>
  </w:footnote>
  <w:footnote w:type="continuationSeparator" w:id="0">
    <w:p w:rsidR="00DA1C20" w:rsidRDefault="00DA1C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A3C"/>
    <w:multiLevelType w:val="multilevel"/>
    <w:tmpl w:val="E0B88D2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85B31"/>
    <w:multiLevelType w:val="multilevel"/>
    <w:tmpl w:val="53E05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13352"/>
    <w:multiLevelType w:val="multilevel"/>
    <w:tmpl w:val="27BCB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332D7"/>
    <w:multiLevelType w:val="multilevel"/>
    <w:tmpl w:val="61B60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21A97"/>
    <w:multiLevelType w:val="multilevel"/>
    <w:tmpl w:val="93908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A6184"/>
    <w:multiLevelType w:val="multilevel"/>
    <w:tmpl w:val="90048A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21887"/>
    <w:multiLevelType w:val="multilevel"/>
    <w:tmpl w:val="55809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62F31"/>
    <w:multiLevelType w:val="multilevel"/>
    <w:tmpl w:val="728A7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C6F48"/>
    <w:multiLevelType w:val="multilevel"/>
    <w:tmpl w:val="C4A232E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1C58"/>
    <w:rsid w:val="00014C2F"/>
    <w:rsid w:val="00017D52"/>
    <w:rsid w:val="000242ED"/>
    <w:rsid w:val="00027A94"/>
    <w:rsid w:val="000305A1"/>
    <w:rsid w:val="00034299"/>
    <w:rsid w:val="00043A87"/>
    <w:rsid w:val="000769D5"/>
    <w:rsid w:val="000B211C"/>
    <w:rsid w:val="000B4BCA"/>
    <w:rsid w:val="000C1A18"/>
    <w:rsid w:val="000C5403"/>
    <w:rsid w:val="000E0653"/>
    <w:rsid w:val="000E183C"/>
    <w:rsid w:val="00104A8C"/>
    <w:rsid w:val="00132909"/>
    <w:rsid w:val="0015229D"/>
    <w:rsid w:val="00157D2B"/>
    <w:rsid w:val="00161461"/>
    <w:rsid w:val="00161EFF"/>
    <w:rsid w:val="00162383"/>
    <w:rsid w:val="001655AF"/>
    <w:rsid w:val="00192BD9"/>
    <w:rsid w:val="001A78EB"/>
    <w:rsid w:val="001B1396"/>
    <w:rsid w:val="001B1C93"/>
    <w:rsid w:val="001F00A7"/>
    <w:rsid w:val="00233672"/>
    <w:rsid w:val="00241AAF"/>
    <w:rsid w:val="002457BE"/>
    <w:rsid w:val="00251F12"/>
    <w:rsid w:val="00262F35"/>
    <w:rsid w:val="0027479B"/>
    <w:rsid w:val="002905E4"/>
    <w:rsid w:val="00296B10"/>
    <w:rsid w:val="002D71D5"/>
    <w:rsid w:val="002E0DFA"/>
    <w:rsid w:val="002F0BEB"/>
    <w:rsid w:val="002F2188"/>
    <w:rsid w:val="002F6214"/>
    <w:rsid w:val="00306440"/>
    <w:rsid w:val="003073EA"/>
    <w:rsid w:val="00312479"/>
    <w:rsid w:val="003131CC"/>
    <w:rsid w:val="003335E5"/>
    <w:rsid w:val="003413A9"/>
    <w:rsid w:val="0034197C"/>
    <w:rsid w:val="00364BBE"/>
    <w:rsid w:val="00371992"/>
    <w:rsid w:val="00385E5F"/>
    <w:rsid w:val="00390D0E"/>
    <w:rsid w:val="003C334E"/>
    <w:rsid w:val="003E1781"/>
    <w:rsid w:val="00445C0C"/>
    <w:rsid w:val="00470D28"/>
    <w:rsid w:val="00485335"/>
    <w:rsid w:val="0048699C"/>
    <w:rsid w:val="004A2EB7"/>
    <w:rsid w:val="004B38BA"/>
    <w:rsid w:val="004F0BB5"/>
    <w:rsid w:val="004F0DE1"/>
    <w:rsid w:val="00507F8E"/>
    <w:rsid w:val="005323D8"/>
    <w:rsid w:val="0055061E"/>
    <w:rsid w:val="00567084"/>
    <w:rsid w:val="00595EA1"/>
    <w:rsid w:val="005A2327"/>
    <w:rsid w:val="005D42E0"/>
    <w:rsid w:val="005D59B1"/>
    <w:rsid w:val="005D5ECE"/>
    <w:rsid w:val="005D637B"/>
    <w:rsid w:val="00674921"/>
    <w:rsid w:val="0068091F"/>
    <w:rsid w:val="00690FA4"/>
    <w:rsid w:val="00692182"/>
    <w:rsid w:val="006B0677"/>
    <w:rsid w:val="006C5860"/>
    <w:rsid w:val="006E0962"/>
    <w:rsid w:val="006E2DF3"/>
    <w:rsid w:val="0071023D"/>
    <w:rsid w:val="00737182"/>
    <w:rsid w:val="00762FC1"/>
    <w:rsid w:val="007B040B"/>
    <w:rsid w:val="007B2516"/>
    <w:rsid w:val="007C334D"/>
    <w:rsid w:val="007F4AB8"/>
    <w:rsid w:val="007F5094"/>
    <w:rsid w:val="00817947"/>
    <w:rsid w:val="008425C8"/>
    <w:rsid w:val="008729A2"/>
    <w:rsid w:val="008730EC"/>
    <w:rsid w:val="00877D71"/>
    <w:rsid w:val="00881C58"/>
    <w:rsid w:val="008C743C"/>
    <w:rsid w:val="008E0D12"/>
    <w:rsid w:val="008E2BE0"/>
    <w:rsid w:val="008E2EC7"/>
    <w:rsid w:val="008E71A2"/>
    <w:rsid w:val="008F63B6"/>
    <w:rsid w:val="008F74BA"/>
    <w:rsid w:val="0090491F"/>
    <w:rsid w:val="00917335"/>
    <w:rsid w:val="009421E1"/>
    <w:rsid w:val="009467DB"/>
    <w:rsid w:val="00951EC0"/>
    <w:rsid w:val="00954F2A"/>
    <w:rsid w:val="00961ABC"/>
    <w:rsid w:val="00996948"/>
    <w:rsid w:val="009F3343"/>
    <w:rsid w:val="00A10A25"/>
    <w:rsid w:val="00A11843"/>
    <w:rsid w:val="00A13EA8"/>
    <w:rsid w:val="00A41EA9"/>
    <w:rsid w:val="00A43330"/>
    <w:rsid w:val="00A61C81"/>
    <w:rsid w:val="00A73CBF"/>
    <w:rsid w:val="00A77CEB"/>
    <w:rsid w:val="00A8233F"/>
    <w:rsid w:val="00A83A50"/>
    <w:rsid w:val="00A85A03"/>
    <w:rsid w:val="00A8659D"/>
    <w:rsid w:val="00A96997"/>
    <w:rsid w:val="00AD4B3B"/>
    <w:rsid w:val="00AD7882"/>
    <w:rsid w:val="00B078BF"/>
    <w:rsid w:val="00B1037B"/>
    <w:rsid w:val="00B22681"/>
    <w:rsid w:val="00B471FB"/>
    <w:rsid w:val="00B86F60"/>
    <w:rsid w:val="00B913A5"/>
    <w:rsid w:val="00BA233B"/>
    <w:rsid w:val="00BB0700"/>
    <w:rsid w:val="00BB4B25"/>
    <w:rsid w:val="00BC7BF4"/>
    <w:rsid w:val="00BD5A37"/>
    <w:rsid w:val="00BF0237"/>
    <w:rsid w:val="00CD047F"/>
    <w:rsid w:val="00CE1A34"/>
    <w:rsid w:val="00CF5462"/>
    <w:rsid w:val="00D17E9A"/>
    <w:rsid w:val="00D2012F"/>
    <w:rsid w:val="00D226D7"/>
    <w:rsid w:val="00D4056B"/>
    <w:rsid w:val="00D41CD2"/>
    <w:rsid w:val="00D454AF"/>
    <w:rsid w:val="00D46D3A"/>
    <w:rsid w:val="00D47232"/>
    <w:rsid w:val="00D51778"/>
    <w:rsid w:val="00D74BC9"/>
    <w:rsid w:val="00DA1C20"/>
    <w:rsid w:val="00DC2C3E"/>
    <w:rsid w:val="00DC7BD7"/>
    <w:rsid w:val="00E34913"/>
    <w:rsid w:val="00E37A9D"/>
    <w:rsid w:val="00E43676"/>
    <w:rsid w:val="00E44829"/>
    <w:rsid w:val="00E73B5D"/>
    <w:rsid w:val="00E774CE"/>
    <w:rsid w:val="00E852E4"/>
    <w:rsid w:val="00E974DE"/>
    <w:rsid w:val="00EC69FB"/>
    <w:rsid w:val="00EC6C0B"/>
    <w:rsid w:val="00EE5B08"/>
    <w:rsid w:val="00EF1166"/>
    <w:rsid w:val="00EF2A20"/>
    <w:rsid w:val="00F00A23"/>
    <w:rsid w:val="00F012CB"/>
    <w:rsid w:val="00F120E4"/>
    <w:rsid w:val="00F12900"/>
    <w:rsid w:val="00F27E53"/>
    <w:rsid w:val="00F56263"/>
    <w:rsid w:val="00F6694E"/>
    <w:rsid w:val="00FB6660"/>
    <w:rsid w:val="00FB7569"/>
    <w:rsid w:val="00FD2420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C5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1C5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8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NotBold">
    <w:name w:val="Body text (3) + Not Bold"/>
    <w:basedOn w:val="Bodytext3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88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81C58"/>
    <w:pPr>
      <w:shd w:val="clear" w:color="auto" w:fill="FFFFFF"/>
      <w:spacing w:after="120" w:line="0" w:lineRule="atLeast"/>
      <w:ind w:hanging="8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81C5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81C5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81C58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2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0A2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A2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0A2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9F72-B1C7-45C0-BBF2-AB7355C4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12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65</cp:revision>
  <dcterms:created xsi:type="dcterms:W3CDTF">2017-05-22T12:46:00Z</dcterms:created>
  <dcterms:modified xsi:type="dcterms:W3CDTF">2017-12-21T06:49:00Z</dcterms:modified>
</cp:coreProperties>
</file>