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jc w:val="right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Նախագիծ</w:t>
      </w:r>
    </w:p>
    <w:p w:rsidR="00795DD5" w:rsidRPr="00526BDF" w:rsidRDefault="00795DD5" w:rsidP="001A1ABC">
      <w:pPr>
        <w:pStyle w:val="Bodytext30"/>
        <w:shd w:val="clear" w:color="auto" w:fill="auto"/>
        <w:spacing w:before="0"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FD19C7" w:rsidRPr="00526BDF" w:rsidRDefault="008D5B9F" w:rsidP="001A1ABC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526BDF">
        <w:rPr>
          <w:rStyle w:val="Bodytext3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FD19C7" w:rsidRPr="00526BDF" w:rsidRDefault="008D5B9F" w:rsidP="001A1ABC">
      <w:pPr>
        <w:pStyle w:val="Bodytext30"/>
        <w:shd w:val="clear" w:color="auto" w:fill="auto"/>
        <w:spacing w:before="0" w:after="160" w:line="360" w:lineRule="auto"/>
        <w:rPr>
          <w:rStyle w:val="Bodytext31"/>
          <w:rFonts w:ascii="Sylfaen" w:hAnsi="Sylfaen"/>
          <w:b/>
          <w:bCs/>
          <w:sz w:val="24"/>
          <w:szCs w:val="24"/>
        </w:rPr>
      </w:pPr>
      <w:r w:rsidRPr="00526BDF">
        <w:rPr>
          <w:rStyle w:val="Bodytext31"/>
          <w:rFonts w:ascii="Sylfaen" w:hAnsi="Sylfaen"/>
          <w:b/>
          <w:sz w:val="24"/>
          <w:szCs w:val="24"/>
        </w:rPr>
        <w:t>Ֆինանսական շուկայի ոլորտում Եվրասիական տնտեսական միության անդամ պետությունների օրենսդրության ներդաշնակեցման մասին</w:t>
      </w:r>
    </w:p>
    <w:p w:rsidR="00795DD5" w:rsidRPr="00526BDF" w:rsidRDefault="00795DD5" w:rsidP="001A1ABC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526BDF">
        <w:rPr>
          <w:rFonts w:ascii="Sylfaen" w:hAnsi="Sylfaen"/>
          <w:spacing w:val="-6"/>
          <w:sz w:val="24"/>
          <w:szCs w:val="24"/>
        </w:rPr>
        <w:t>Եվրասիական տնտեսական միության անդամ պետություններ</w:t>
      </w:r>
      <w:r w:rsidR="00D425B1" w:rsidRPr="00526BDF">
        <w:rPr>
          <w:rFonts w:ascii="Sylfaen" w:hAnsi="Sylfaen"/>
          <w:spacing w:val="-6"/>
          <w:sz w:val="24"/>
          <w:szCs w:val="24"/>
        </w:rPr>
        <w:t>ը</w:t>
      </w:r>
      <w:r w:rsidRPr="00526BDF">
        <w:rPr>
          <w:rFonts w:ascii="Sylfaen" w:hAnsi="Sylfaen"/>
          <w:spacing w:val="-6"/>
          <w:sz w:val="24"/>
          <w:szCs w:val="24"/>
        </w:rPr>
        <w:t xml:space="preserve">՝ ի դեմս Հայաստանի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առավարության </w:t>
      </w:r>
      <w:r w:rsidR="00486D7B">
        <w:rPr>
          <w:rFonts w:ascii="Sylfaen" w:hAnsi="Sylfaen"/>
          <w:spacing w:val="-6"/>
          <w:sz w:val="24"/>
          <w:szCs w:val="24"/>
        </w:rPr>
        <w:t>և</w:t>
      </w:r>
      <w:r w:rsidRPr="00526BDF">
        <w:rPr>
          <w:rFonts w:ascii="Sylfaen" w:hAnsi="Sylfaen"/>
          <w:spacing w:val="-6"/>
          <w:sz w:val="24"/>
          <w:szCs w:val="24"/>
        </w:rPr>
        <w:t xml:space="preserve"> Հայաստանի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ենտրոնական բանկի, Բելառուսի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առավարության </w:t>
      </w:r>
      <w:r w:rsidR="00486D7B">
        <w:rPr>
          <w:rFonts w:ascii="Sylfaen" w:hAnsi="Sylfaen"/>
          <w:spacing w:val="-6"/>
          <w:sz w:val="24"/>
          <w:szCs w:val="24"/>
        </w:rPr>
        <w:t>և</w:t>
      </w:r>
      <w:r w:rsidRPr="00526BDF">
        <w:rPr>
          <w:rFonts w:ascii="Sylfaen" w:hAnsi="Sylfaen"/>
          <w:spacing w:val="-6"/>
          <w:sz w:val="24"/>
          <w:szCs w:val="24"/>
        </w:rPr>
        <w:t xml:space="preserve"> Բելառուսի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ա</w:t>
      </w:r>
      <w:r w:rsidRPr="00526BDF">
        <w:rPr>
          <w:rFonts w:ascii="Sylfaen" w:hAnsi="Sylfaen"/>
          <w:spacing w:val="-6"/>
          <w:sz w:val="24"/>
          <w:szCs w:val="24"/>
        </w:rPr>
        <w:t xml:space="preserve">զգային </w:t>
      </w:r>
      <w:bookmarkStart w:id="0" w:name="_GoBack"/>
      <w:bookmarkEnd w:id="0"/>
      <w:r w:rsidRPr="00526BDF">
        <w:rPr>
          <w:rFonts w:ascii="Sylfaen" w:hAnsi="Sylfaen"/>
          <w:spacing w:val="-6"/>
          <w:sz w:val="24"/>
          <w:szCs w:val="24"/>
        </w:rPr>
        <w:t xml:space="preserve">բանկի, Ղազախստանի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առավարության </w:t>
      </w:r>
      <w:r w:rsidR="00486D7B">
        <w:rPr>
          <w:rFonts w:ascii="Sylfaen" w:hAnsi="Sylfaen"/>
          <w:spacing w:val="-6"/>
          <w:sz w:val="24"/>
          <w:szCs w:val="24"/>
        </w:rPr>
        <w:t>և</w:t>
      </w:r>
      <w:r w:rsidRPr="00526BDF">
        <w:rPr>
          <w:rFonts w:ascii="Sylfaen" w:hAnsi="Sylfaen"/>
          <w:spacing w:val="-6"/>
          <w:sz w:val="24"/>
          <w:szCs w:val="24"/>
        </w:rPr>
        <w:t xml:space="preserve"> Ղազախստանի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ա</w:t>
      </w:r>
      <w:r w:rsidRPr="00526BDF">
        <w:rPr>
          <w:rFonts w:ascii="Sylfaen" w:hAnsi="Sylfaen"/>
          <w:spacing w:val="-6"/>
          <w:sz w:val="24"/>
          <w:szCs w:val="24"/>
        </w:rPr>
        <w:t xml:space="preserve">զգային բանկի, Ղրղզստանի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առավարության </w:t>
      </w:r>
      <w:r w:rsidR="00486D7B">
        <w:rPr>
          <w:rFonts w:ascii="Sylfaen" w:hAnsi="Sylfaen"/>
          <w:spacing w:val="-6"/>
          <w:sz w:val="24"/>
          <w:szCs w:val="24"/>
        </w:rPr>
        <w:t>և</w:t>
      </w:r>
      <w:r w:rsidRPr="00526BDF">
        <w:rPr>
          <w:rFonts w:ascii="Sylfaen" w:hAnsi="Sylfaen"/>
          <w:spacing w:val="-6"/>
          <w:sz w:val="24"/>
          <w:szCs w:val="24"/>
        </w:rPr>
        <w:t xml:space="preserve"> Ղրղզստանի Հանրապետության </w:t>
      </w:r>
      <w:r w:rsidR="0020108B" w:rsidRPr="00526BDF">
        <w:rPr>
          <w:rFonts w:ascii="Sylfaen" w:hAnsi="Sylfaen"/>
          <w:spacing w:val="-6"/>
          <w:sz w:val="24"/>
          <w:szCs w:val="24"/>
        </w:rPr>
        <w:t>ա</w:t>
      </w:r>
      <w:r w:rsidRPr="00526BDF">
        <w:rPr>
          <w:rFonts w:ascii="Sylfaen" w:hAnsi="Sylfaen"/>
          <w:spacing w:val="-6"/>
          <w:sz w:val="24"/>
          <w:szCs w:val="24"/>
        </w:rPr>
        <w:t xml:space="preserve">զգային բանկի, Ռուսաստանի Դաշնության </w:t>
      </w:r>
      <w:r w:rsidR="00E33AA2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 xml:space="preserve">առավարության </w:t>
      </w:r>
      <w:r w:rsidR="00486D7B">
        <w:rPr>
          <w:rFonts w:ascii="Sylfaen" w:hAnsi="Sylfaen"/>
          <w:spacing w:val="-6"/>
          <w:sz w:val="24"/>
          <w:szCs w:val="24"/>
        </w:rPr>
        <w:t>և</w:t>
      </w:r>
      <w:r w:rsidRPr="00526BDF">
        <w:rPr>
          <w:rFonts w:ascii="Sylfaen" w:hAnsi="Sylfaen"/>
          <w:spacing w:val="-6"/>
          <w:sz w:val="24"/>
          <w:szCs w:val="24"/>
        </w:rPr>
        <w:t xml:space="preserve"> Ռուսաստանի Դաշնության </w:t>
      </w:r>
      <w:r w:rsidR="00E33AA2" w:rsidRPr="00526BDF">
        <w:rPr>
          <w:rFonts w:ascii="Sylfaen" w:hAnsi="Sylfaen"/>
          <w:spacing w:val="-6"/>
          <w:sz w:val="24"/>
          <w:szCs w:val="24"/>
        </w:rPr>
        <w:t>կ</w:t>
      </w:r>
      <w:r w:rsidRPr="00526BDF">
        <w:rPr>
          <w:rFonts w:ascii="Sylfaen" w:hAnsi="Sylfaen"/>
          <w:spacing w:val="-6"/>
          <w:sz w:val="24"/>
          <w:szCs w:val="24"/>
        </w:rPr>
        <w:t>ենտրոնական բանկի,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Եվրասիական տնտեսական միության շրջանակներում ընդհանուր ֆինանսական շուկա ստեղծելու, ծառայությունների ոլորտներում (բանկային ոլորտում, ապահովագրության ոլորտում, արժեթղթերի շուկայի ծառայությունների ոլորտում) գործունեության տեսակների իրականացման լիցենզիաների փոխադարձ ճանաչման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Եվրասիական տնտեսական միության անդամ</w:t>
      </w:r>
      <w:r w:rsidR="00E33AA2" w:rsidRPr="00526BDF">
        <w:rPr>
          <w:rFonts w:ascii="Sylfaen" w:hAnsi="Sylfaen"/>
          <w:sz w:val="24"/>
          <w:szCs w:val="24"/>
        </w:rPr>
        <w:t xml:space="preserve"> </w:t>
      </w:r>
      <w:r w:rsidRPr="00526BDF">
        <w:rPr>
          <w:rFonts w:ascii="Sylfaen" w:hAnsi="Sylfaen"/>
          <w:sz w:val="24"/>
          <w:szCs w:val="24"/>
        </w:rPr>
        <w:t>պետությունների (այսուհետ՝ անդամ պետություններ) ֆինանսական շուկաներ ոչ խտրական հասանելիությունն ապահովելու նպատակներով,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ելնելով պետական կարգավորման կատարելագործման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անդամ պետությունների ֆինանսական շուկաներում հսկողություն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վերահսկողություն իրականացնելու անհրաժեշտությունից,</w:t>
      </w:r>
    </w:p>
    <w:p w:rsidR="00795DD5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հաշվի առնելով 2014 թվականի մայիսի 29-ի «Եվրասիական տնտեսական միության մասին» պայմանագրի 70-րդ հոդվածի 3</w:t>
      </w:r>
      <w:r w:rsidR="00417E4E" w:rsidRPr="00526BDF">
        <w:rPr>
          <w:rFonts w:ascii="Sylfaen" w:hAnsi="Sylfaen"/>
          <w:sz w:val="24"/>
          <w:szCs w:val="24"/>
        </w:rPr>
        <w:t>-րդ</w:t>
      </w:r>
      <w:r w:rsidRPr="00526BDF">
        <w:rPr>
          <w:rFonts w:ascii="Sylfaen" w:hAnsi="Sylfaen"/>
          <w:sz w:val="24"/>
          <w:szCs w:val="24"/>
        </w:rPr>
        <w:t xml:space="preserve"> կետի դրույթները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ֆինանսական շուկայի ոլորտում անդամ պետությունների օրենսդրության </w:t>
      </w:r>
      <w:r w:rsidRPr="00526BDF">
        <w:rPr>
          <w:rFonts w:ascii="Sylfaen" w:hAnsi="Sylfaen"/>
          <w:sz w:val="24"/>
          <w:szCs w:val="24"/>
        </w:rPr>
        <w:lastRenderedPageBreak/>
        <w:t>ներդաշնակեցման նպատակներով,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jc w:val="left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համաձայնեցին հետ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>յալ մասին</w:t>
      </w:r>
      <w:r w:rsidR="00D425B1" w:rsidRPr="00526BDF">
        <w:rPr>
          <w:rFonts w:ascii="Sylfaen" w:hAnsi="Sylfaen"/>
          <w:sz w:val="24"/>
          <w:szCs w:val="24"/>
        </w:rPr>
        <w:t>.</w:t>
      </w:r>
    </w:p>
    <w:p w:rsidR="001060A1" w:rsidRPr="00526BDF" w:rsidRDefault="001060A1" w:rsidP="001A1ABC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1. Համաձայնագրի առարկան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Սույն </w:t>
      </w:r>
      <w:r w:rsidR="00D425B1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ամաձայնագիրը սահմանում է ֆինանսական շուկայի ոլորտում (բանկային ոլորտում, ապահովագրական ոլորտում, արժեթղթերի շուկայի ծառայությունների ոլորտում) անդամ պետությունների օրենսդրության ներդաշնակեցման ուղղությունները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կարգը, այդ թվում՝</w:t>
      </w:r>
    </w:p>
    <w:p w:rsidR="00FD19C7" w:rsidRPr="00526BDF" w:rsidRDefault="00D82EF6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ֆինանսական շուկաների մասնակիցներին ներկայացվող համաձայնեցված պահանջների ընդունման մասով՝ բանկային, ապահովագրական, արժեթղթերի շուկայի ծառայությունների ոլորտներում դրանց ստեղծման, հիմնադրման</w:t>
      </w:r>
      <w:r w:rsidR="008D5B9F" w:rsidRPr="00526BDF">
        <w:rPr>
          <w:rFonts w:ascii="Sylfaen" w:hAnsi="Sylfaen"/>
          <w:sz w:val="24"/>
          <w:szCs w:val="24"/>
        </w:rPr>
        <w:t xml:space="preserve"> </w:t>
      </w:r>
      <w:r w:rsidR="00486D7B">
        <w:rPr>
          <w:rFonts w:ascii="Sylfaen" w:hAnsi="Sylfaen"/>
          <w:sz w:val="24"/>
          <w:szCs w:val="24"/>
        </w:rPr>
        <w:t>և</w:t>
      </w:r>
      <w:r w:rsidR="008D5B9F" w:rsidRPr="00526BDF">
        <w:rPr>
          <w:rFonts w:ascii="Sylfaen" w:hAnsi="Sylfaen"/>
          <w:sz w:val="24"/>
          <w:szCs w:val="24"/>
        </w:rPr>
        <w:t xml:space="preserve"> գործունեության </w:t>
      </w:r>
      <w:r w:rsidR="007916A4" w:rsidRPr="00526BDF">
        <w:rPr>
          <w:rFonts w:ascii="Sylfaen" w:hAnsi="Sylfaen"/>
          <w:sz w:val="24"/>
          <w:szCs w:val="24"/>
        </w:rPr>
        <w:t>առնչությամբ</w:t>
      </w:r>
      <w:r w:rsidR="008D5B9F" w:rsidRPr="00526BDF">
        <w:rPr>
          <w:rFonts w:ascii="Sylfaen" w:hAnsi="Sylfaen"/>
          <w:sz w:val="24"/>
          <w:szCs w:val="24"/>
        </w:rPr>
        <w:t>,</w:t>
      </w:r>
    </w:p>
    <w:p w:rsidR="00FD19C7" w:rsidRPr="00526BDF" w:rsidRDefault="0034687E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միջազգային ստանդարտներին համապատասխան</w:t>
      </w:r>
      <w:r w:rsidR="00D82EF6" w:rsidRPr="00526BDF">
        <w:rPr>
          <w:rFonts w:ascii="Sylfaen" w:hAnsi="Sylfaen"/>
          <w:sz w:val="24"/>
          <w:szCs w:val="24"/>
        </w:rPr>
        <w:t>`</w:t>
      </w:r>
      <w:r w:rsidRPr="00526BDF">
        <w:rPr>
          <w:rFonts w:ascii="Sylfaen" w:hAnsi="Sylfaen"/>
          <w:sz w:val="24"/>
          <w:szCs w:val="24"/>
        </w:rPr>
        <w:t xml:space="preserve"> </w:t>
      </w:r>
      <w:r w:rsidR="008D5B9F" w:rsidRPr="00526BDF">
        <w:rPr>
          <w:rFonts w:ascii="Sylfaen" w:hAnsi="Sylfaen"/>
          <w:sz w:val="24"/>
          <w:szCs w:val="24"/>
        </w:rPr>
        <w:t>ֆինանսական շուկայի ոլորտում ռիսկերի կարգավորման մոտեցումների ներդաշնակեցման մասով,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վերահսկողական պահանջների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ֆինանսական շուկայի մասնակիցների վերահսկողության իրականացման կարգի ներդաշնակեցման մասով,</w:t>
      </w:r>
    </w:p>
    <w:p w:rsidR="00795DD5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լիցենզիաների փոխադարձ ճանաչման համար պայմանների ապահովման մասով,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ֆինանսական շուկայի ոլորտում տեղեկատվության բացահայտման պահանջների ներդաշնակեցման մասով,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անդամ պետությունների ներդրողների կողմից ֆինանսական շուկայի մասնակիցների կանոնակարգային կապիտալում մասնաբաժինների (բաժնետոմսերի) ձեռքբերման հարցով,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ֆինանսական ծառայությունների սպառողների իրավունքների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շահերի պաշտպանության պահանջների ներդաշնակեցման մասով։</w:t>
      </w:r>
    </w:p>
    <w:p w:rsidR="00FD19C7" w:rsidRPr="00526BDF" w:rsidRDefault="008D5B9F" w:rsidP="001A1ABC">
      <w:pPr>
        <w:pStyle w:val="Bodytext4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2. Սահմանումները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lastRenderedPageBreak/>
        <w:t xml:space="preserve">Սույն </w:t>
      </w:r>
      <w:r w:rsidR="007B5D63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ամաձայնագրում օգտագործվող հասկացությունները կիրառվում են «Եվրասիական տնտեսական միության մասին» 2014 թվականի մայիսի 29-ի պայմանագրով սահմանված իմաստներով:</w:t>
      </w:r>
    </w:p>
    <w:p w:rsidR="00795DD5" w:rsidRPr="00526BDF" w:rsidRDefault="00795DD5" w:rsidP="00FC7AE5">
      <w:pPr>
        <w:pStyle w:val="Bodytext4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FD19C7" w:rsidRPr="00526BDF" w:rsidRDefault="008D5B9F" w:rsidP="00124B78">
      <w:pPr>
        <w:pStyle w:val="Bodytext4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3. Անդամ պետությունների օրենսդրության ներդաշնակեցման միջոցները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1.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Ֆինանսական շուկայի ոլորտում անդամ պետությունների օրենսդրության ներդաշնակեցման նպատակներով սույն </w:t>
      </w:r>
      <w:r w:rsidR="007B5D63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ամաձայնագրի մասնակիցները միջոցներ կձեռնարկեն, որոնք ներառում են՝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փոխգործակցություն՝ ֆինանսական շուկայի ոլորտում անդամ պետությունների օրենսդրության ներդաշնակեցմանն ուղղված նորմատիվ իրավական ակտերի նախագծեր </w:t>
      </w:r>
      <w:r w:rsidR="00B13EDF" w:rsidRPr="00526BDF">
        <w:rPr>
          <w:rFonts w:ascii="Sylfaen" w:hAnsi="Sylfaen"/>
          <w:sz w:val="24"/>
          <w:szCs w:val="24"/>
        </w:rPr>
        <w:t>նախա</w:t>
      </w:r>
      <w:r w:rsidRPr="00526BDF">
        <w:rPr>
          <w:rFonts w:ascii="Sylfaen" w:hAnsi="Sylfaen"/>
          <w:sz w:val="24"/>
          <w:szCs w:val="24"/>
        </w:rPr>
        <w:t>պատրաստ</w:t>
      </w:r>
      <w:r w:rsidR="00B13EDF" w:rsidRPr="00526BDF">
        <w:rPr>
          <w:rFonts w:ascii="Sylfaen" w:hAnsi="Sylfaen"/>
          <w:sz w:val="24"/>
          <w:szCs w:val="24"/>
        </w:rPr>
        <w:t>ելու</w:t>
      </w:r>
      <w:r w:rsidRPr="00526BDF">
        <w:rPr>
          <w:rFonts w:ascii="Sylfaen" w:hAnsi="Sylfaen"/>
          <w:sz w:val="24"/>
          <w:szCs w:val="24"/>
        </w:rPr>
        <w:t xml:space="preserve"> ժամանակ,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այլ միջոցներ, որոնք սույն </w:t>
      </w:r>
      <w:r w:rsidR="007B5D63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ամաձայնագրի մասնակիցները նպատակահարմար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հնարավոր կհամարեն՝ ֆինանսական շուկայի ոլորտում անդամ պետությունների օրենսդրության ներդաշնակեցման միջոցներ</w:t>
      </w:r>
      <w:r w:rsidR="00D82EF6" w:rsidRPr="00526BDF">
        <w:rPr>
          <w:rFonts w:ascii="Sylfaen" w:hAnsi="Sylfaen"/>
          <w:sz w:val="24"/>
          <w:szCs w:val="24"/>
        </w:rPr>
        <w:t>ն</w:t>
      </w:r>
      <w:r w:rsidRPr="00526BDF">
        <w:rPr>
          <w:rFonts w:ascii="Sylfaen" w:hAnsi="Sylfaen"/>
          <w:sz w:val="24"/>
          <w:szCs w:val="24"/>
        </w:rPr>
        <w:t xml:space="preserve"> իրագործ</w:t>
      </w:r>
      <w:r w:rsidR="0034687E" w:rsidRPr="00526BDF">
        <w:rPr>
          <w:rFonts w:ascii="Sylfaen" w:hAnsi="Sylfaen"/>
          <w:sz w:val="24"/>
          <w:szCs w:val="24"/>
        </w:rPr>
        <w:t>ելու</w:t>
      </w:r>
      <w:r w:rsidRPr="00526BDF">
        <w:rPr>
          <w:rFonts w:ascii="Sylfaen" w:hAnsi="Sylfaen"/>
          <w:sz w:val="24"/>
          <w:szCs w:val="24"/>
        </w:rPr>
        <w:t xml:space="preserve"> համար։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2.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Անդամ պետություններից յուրաքանչյուրը որոշում է ընդունում այն մասին, թե այդ անդամ պետության որ նորմատիվ իրավական ակտերն են ենթակա մերձեցման՝ հաշվի առնելով սույն </w:t>
      </w:r>
      <w:r w:rsidR="007B5D63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ամաձայնագրի դրույթները, ինչպես նա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որոշում է ընդունում սույն </w:t>
      </w:r>
      <w:r w:rsidR="007B5D63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ամաձայնագրի 6-րդ հոդվածով սահմանված կարգով ֆինանսական շուկայի ոլորտում անդամ պետությունների օրենսդրության ներդաշնակեցման միջոցների իրագործման հերթականությ</w:t>
      </w:r>
      <w:r w:rsidR="00B13EDF" w:rsidRPr="00526BDF">
        <w:rPr>
          <w:rFonts w:ascii="Sylfaen" w:hAnsi="Sylfaen"/>
          <w:sz w:val="24"/>
          <w:szCs w:val="24"/>
        </w:rPr>
        <w:t>ու</w:t>
      </w:r>
      <w:r w:rsidRPr="00526BDF">
        <w:rPr>
          <w:rFonts w:ascii="Sylfaen" w:hAnsi="Sylfaen"/>
          <w:sz w:val="24"/>
          <w:szCs w:val="24"/>
        </w:rPr>
        <w:t>ն</w:t>
      </w:r>
      <w:r w:rsidR="00B13EDF" w:rsidRPr="00526BDF">
        <w:rPr>
          <w:rFonts w:ascii="Sylfaen" w:hAnsi="Sylfaen"/>
          <w:sz w:val="24"/>
          <w:szCs w:val="24"/>
        </w:rPr>
        <w:t>ը</w:t>
      </w:r>
      <w:r w:rsidRPr="00526BDF">
        <w:rPr>
          <w:rFonts w:ascii="Sylfaen" w:hAnsi="Sylfaen"/>
          <w:sz w:val="24"/>
          <w:szCs w:val="24"/>
        </w:rPr>
        <w:t xml:space="preserve"> սահման</w:t>
      </w:r>
      <w:r w:rsidR="00B13EDF" w:rsidRPr="00526BDF">
        <w:rPr>
          <w:rFonts w:ascii="Sylfaen" w:hAnsi="Sylfaen"/>
          <w:sz w:val="24"/>
          <w:szCs w:val="24"/>
        </w:rPr>
        <w:t>ելու</w:t>
      </w:r>
      <w:r w:rsidRPr="00526BDF">
        <w:rPr>
          <w:rFonts w:ascii="Sylfaen" w:hAnsi="Sylfaen"/>
          <w:sz w:val="24"/>
          <w:szCs w:val="24"/>
        </w:rPr>
        <w:t xml:space="preserve"> մասին։</w:t>
      </w:r>
    </w:p>
    <w:p w:rsidR="001060A1" w:rsidRPr="00526BDF" w:rsidRDefault="008D5B9F" w:rsidP="00124B78">
      <w:pPr>
        <w:pStyle w:val="Bodytext40"/>
        <w:shd w:val="clear" w:color="auto" w:fill="auto"/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Այդ որոշումները կարող են նախատեսել օրենսդրության ներդաշնակեցման միջոցների ընդունում ինչպես առանձին ուղղություններով, այնպես էլ՝ բանկային, ապահովագրական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արժեթղթերի շուկայի ծառայությունների ոլորտներում իրավական կարգավորման ընդհանուր մոտեցումների վերաբերյալ:</w:t>
      </w:r>
    </w:p>
    <w:p w:rsidR="001060A1" w:rsidRPr="00526BDF" w:rsidRDefault="001060A1" w:rsidP="00124B78">
      <w:pPr>
        <w:pStyle w:val="Bodytext40"/>
        <w:shd w:val="clear" w:color="auto" w:fill="auto"/>
        <w:spacing w:before="0" w:after="160" w:line="35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24B78">
      <w:pPr>
        <w:pStyle w:val="Bodytext40"/>
        <w:shd w:val="clear" w:color="auto" w:fill="auto"/>
        <w:spacing w:before="0" w:after="160" w:line="350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4. Անդամ պետությունների օրենսդրության ներդաշնակեցման ուղղությունները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1.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Ֆինանսական շուկայի ոլորտում անդամ պետությունների օրենսդրության ներդաշնակեցման միջոցների իրագործումը կատարվում է </w:t>
      </w:r>
      <w:r w:rsidR="00B13EDF" w:rsidRPr="00526BDF">
        <w:rPr>
          <w:rFonts w:ascii="Sylfaen" w:hAnsi="Sylfaen"/>
          <w:sz w:val="24"/>
          <w:szCs w:val="24"/>
        </w:rPr>
        <w:t>«Ֆ</w:t>
      </w:r>
      <w:r w:rsidRPr="00526BDF">
        <w:rPr>
          <w:rFonts w:ascii="Sylfaen" w:hAnsi="Sylfaen"/>
          <w:sz w:val="24"/>
          <w:szCs w:val="24"/>
        </w:rPr>
        <w:t xml:space="preserve">ինանսական ծառայությունների </w:t>
      </w:r>
      <w:r w:rsidR="00B13EDF" w:rsidRPr="00526BDF">
        <w:rPr>
          <w:rFonts w:ascii="Sylfaen" w:hAnsi="Sylfaen"/>
          <w:sz w:val="24"/>
          <w:szCs w:val="24"/>
        </w:rPr>
        <w:t>մասին» ա</w:t>
      </w:r>
      <w:r w:rsidRPr="00526BDF">
        <w:rPr>
          <w:rFonts w:ascii="Sylfaen" w:hAnsi="Sylfaen"/>
          <w:sz w:val="24"/>
          <w:szCs w:val="24"/>
        </w:rPr>
        <w:t xml:space="preserve">րձանագրության 22-26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30-րդ կետերով սահմանված ուղղություններով (2014 թվականի մայիսի 29-ի «Եվրասիական տնտեսական միության մասին» պայմանագրի թիվ 17 հավելված):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2.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Սույն </w:t>
      </w:r>
      <w:r w:rsidR="009F212E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ամաձայնագրի մասնակիցները իրականացնում են ֆինանսական ծառայությունների սպառողների իրավունքների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շահերի պաշտպանության մասով պահանջների ներդաշնակեցումը։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3.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>Անդամ պետությունների ֆինանսական շուկաներում գործունեության իրականացման կոնկրետ պահանջների ներդաշնակեցումը պետք է իրականացվի այն պայմանով, որ պահպանվող տարբերությունները չեն խոչընդոտի Եվրասիական տնտեսական միության շրջանակներում ընդհանուր ֆինանսական շուկայի արդյունավետ գործունեությանը։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4.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>Անդամ պետությունները մինչ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2025 թվականի հունվարի 1-ը կավարտեն ֆինանսական ոլորտում իրենց օրենսդրության ներդաշնակեցման գործընթացը՝ սույն հոդվածի 1-ին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2-րդ կետերով նախատեսված ուղղություններին համապատասխան:</w:t>
      </w:r>
    </w:p>
    <w:p w:rsidR="001060A1" w:rsidRPr="00526BDF" w:rsidRDefault="001060A1" w:rsidP="00124B78">
      <w:pPr>
        <w:pStyle w:val="Bodytext40"/>
        <w:shd w:val="clear" w:color="auto" w:fill="auto"/>
        <w:spacing w:before="0" w:after="160" w:line="35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24B78">
      <w:pPr>
        <w:pStyle w:val="Bodytext40"/>
        <w:shd w:val="clear" w:color="auto" w:fill="auto"/>
        <w:spacing w:before="0" w:after="160" w:line="350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5. Անդամ պետությունների օրենսդրության ներդաշնակեցման սկզբունքները</w:t>
      </w:r>
    </w:p>
    <w:p w:rsidR="00FD19C7" w:rsidRPr="00526BDF" w:rsidRDefault="008D5B9F" w:rsidP="00124B78">
      <w:pPr>
        <w:pStyle w:val="Bodytext40"/>
        <w:shd w:val="clear" w:color="auto" w:fill="auto"/>
        <w:spacing w:before="0" w:after="160" w:line="35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Սույն </w:t>
      </w:r>
      <w:r w:rsidR="009F212E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ամաձայնագրի մասնակիցները ֆինանսական շուկայի ոլորտում իրենց պետությունների օրենսդրության ներդաշնակեցման գործընթացի ընթացքում առաջնորդվում են </w:t>
      </w:r>
      <w:r w:rsidR="00880672" w:rsidRPr="00526BDF">
        <w:rPr>
          <w:rFonts w:ascii="Sylfaen" w:hAnsi="Sylfaen"/>
          <w:sz w:val="24"/>
          <w:szCs w:val="24"/>
        </w:rPr>
        <w:t>Բ</w:t>
      </w:r>
      <w:r w:rsidRPr="00526BDF">
        <w:rPr>
          <w:rFonts w:ascii="Sylfaen" w:hAnsi="Sylfaen"/>
          <w:sz w:val="24"/>
          <w:szCs w:val="24"/>
        </w:rPr>
        <w:t>անկային վերահսկողության Բազել</w:t>
      </w:r>
      <w:r w:rsidR="00880672" w:rsidRPr="00526BDF">
        <w:rPr>
          <w:rFonts w:ascii="Sylfaen" w:hAnsi="Sylfaen"/>
          <w:sz w:val="24"/>
          <w:szCs w:val="24"/>
        </w:rPr>
        <w:t>յան</w:t>
      </w:r>
      <w:r w:rsidRPr="00526BDF">
        <w:rPr>
          <w:rFonts w:ascii="Sylfaen" w:hAnsi="Sylfaen"/>
          <w:sz w:val="24"/>
          <w:szCs w:val="24"/>
        </w:rPr>
        <w:t xml:space="preserve"> </w:t>
      </w:r>
      <w:r w:rsidR="00880672" w:rsidRPr="00526BDF">
        <w:rPr>
          <w:rFonts w:ascii="Sylfaen" w:hAnsi="Sylfaen"/>
          <w:sz w:val="24"/>
          <w:szCs w:val="24"/>
        </w:rPr>
        <w:t>կոմիտեի</w:t>
      </w:r>
      <w:r w:rsidRPr="00526BDF">
        <w:rPr>
          <w:rFonts w:ascii="Sylfaen" w:hAnsi="Sylfaen"/>
          <w:sz w:val="24"/>
          <w:szCs w:val="24"/>
        </w:rPr>
        <w:t xml:space="preserve">՝ արդյունավետ բանկային վերահսկողության հիմնարար սկզբունքներով, </w:t>
      </w:r>
      <w:r w:rsidRPr="00526BDF">
        <w:rPr>
          <w:rFonts w:ascii="Sylfaen" w:hAnsi="Sylfaen"/>
          <w:sz w:val="24"/>
          <w:szCs w:val="24"/>
        </w:rPr>
        <w:lastRenderedPageBreak/>
        <w:t xml:space="preserve">Ապահովագրական վերահսկողների միջազգային ասոցիացիայի ապահովագրական վերահսկողության հիմնարար սկզբունքներով, Արժեթղթերի հանձնաժողովների միջազգային կազմակերպության, Տնտեսական համագործակցության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զարգացման կազմակերպության սկզբունքներով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լավագույն միջազգային փորձով, Փողերի լվացման դեմ պայքարի ֆինանսական գործողությունների հանձնախմբի (ՖԱՏՖ)</w:t>
      </w:r>
      <w:r w:rsidR="005B32CD" w:rsidRPr="00526BDF">
        <w:rPr>
          <w:rFonts w:ascii="Sylfaen" w:hAnsi="Sylfaen"/>
          <w:sz w:val="24"/>
          <w:szCs w:val="24"/>
        </w:rPr>
        <w:t>՝</w:t>
      </w:r>
      <w:r w:rsidRPr="00526BDF">
        <w:rPr>
          <w:rFonts w:ascii="Sylfaen" w:hAnsi="Sylfaen"/>
          <w:sz w:val="24"/>
          <w:szCs w:val="24"/>
        </w:rPr>
        <w:t xml:space="preserve"> փողերի լվացման, ահաբեկչության ֆինանսավորման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զանգվածային ոչնչացման զենքի տարածման </w:t>
      </w:r>
      <w:r w:rsidR="00C97CC8" w:rsidRPr="00526BDF">
        <w:rPr>
          <w:rFonts w:ascii="Sylfaen" w:hAnsi="Sylfaen"/>
          <w:sz w:val="24"/>
          <w:szCs w:val="24"/>
        </w:rPr>
        <w:t xml:space="preserve">ֆինանսավորման </w:t>
      </w:r>
      <w:r w:rsidRPr="00526BDF">
        <w:rPr>
          <w:rFonts w:ascii="Sylfaen" w:hAnsi="Sylfaen"/>
          <w:sz w:val="24"/>
          <w:szCs w:val="24"/>
        </w:rPr>
        <w:t xml:space="preserve">դեմ պայքարի միջազգային </w:t>
      </w:r>
      <w:r w:rsidR="005B32CD" w:rsidRPr="00526BDF">
        <w:rPr>
          <w:rFonts w:ascii="Sylfaen" w:hAnsi="Sylfaen"/>
          <w:sz w:val="24"/>
          <w:szCs w:val="24"/>
        </w:rPr>
        <w:t>ստանդարտներով</w:t>
      </w:r>
      <w:r w:rsidRPr="00526BDF">
        <w:rPr>
          <w:rFonts w:ascii="Sylfaen" w:hAnsi="Sylfaen"/>
          <w:sz w:val="24"/>
          <w:szCs w:val="24"/>
        </w:rPr>
        <w:t>, ինչպես նա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ֆինանսական շուկայի կարգավորման ոլորտի այլ միջազգային սկզբունքներով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</w:t>
      </w:r>
      <w:r w:rsidR="005B32CD" w:rsidRPr="00526BDF">
        <w:rPr>
          <w:rFonts w:ascii="Sylfaen" w:hAnsi="Sylfaen"/>
          <w:sz w:val="24"/>
          <w:szCs w:val="24"/>
        </w:rPr>
        <w:t>ստանդարտներով</w:t>
      </w:r>
      <w:r w:rsidRPr="00526BDF">
        <w:rPr>
          <w:rFonts w:ascii="Sylfaen" w:hAnsi="Sylfaen"/>
          <w:sz w:val="24"/>
          <w:szCs w:val="24"/>
        </w:rPr>
        <w:t>:</w:t>
      </w:r>
    </w:p>
    <w:p w:rsidR="009C25D9" w:rsidRPr="00526BDF" w:rsidRDefault="009C25D9" w:rsidP="00124B78">
      <w:pPr>
        <w:pStyle w:val="Bodytext4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24B78">
      <w:pPr>
        <w:pStyle w:val="Bodytext4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6. Համաձայնագրի իրականացման մեխանիզմը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1.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Սույն </w:t>
      </w:r>
      <w:r w:rsidR="00C7650F" w:rsidRPr="00526BDF">
        <w:rPr>
          <w:rFonts w:ascii="Sylfaen" w:hAnsi="Sylfaen"/>
          <w:sz w:val="24"/>
          <w:szCs w:val="24"/>
        </w:rPr>
        <w:t>h</w:t>
      </w:r>
      <w:r w:rsidRPr="00526BDF">
        <w:rPr>
          <w:rFonts w:ascii="Sylfaen" w:hAnsi="Sylfaen"/>
          <w:sz w:val="24"/>
          <w:szCs w:val="24"/>
        </w:rPr>
        <w:t xml:space="preserve">ամաձայնագրի մասնակիցները Եվրասիական տնտեսական հանձնաժողովի հետ համատեղ 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ամաձայնագիր</w:t>
      </w:r>
      <w:r w:rsidR="005B32CD" w:rsidRPr="00526BDF">
        <w:rPr>
          <w:rFonts w:ascii="Sylfaen" w:hAnsi="Sylfaen"/>
          <w:sz w:val="24"/>
          <w:szCs w:val="24"/>
        </w:rPr>
        <w:t>ն</w:t>
      </w:r>
      <w:r w:rsidRPr="00526BDF">
        <w:rPr>
          <w:rFonts w:ascii="Sylfaen" w:hAnsi="Sylfaen"/>
          <w:sz w:val="24"/>
          <w:szCs w:val="24"/>
        </w:rPr>
        <w:t xml:space="preserve"> ուժի մեջ մտնելու օրվանից 9 ամսվա ընթացքում մշակում են անդամ պետությունների օրենսդրության ներդաշնակեցման պլանը՝ նշելով անդամ պետությունների օրենսդրության ներդաշնակեցման անցկացման փուլերն ու ժամկետները (այսուհետ՝ ներդաշնակեցման պլան), որը հաստատվում է Եվրասիական տնտեսական հանձնաժողովի խորհրդի կողմից:</w:t>
      </w:r>
    </w:p>
    <w:p w:rsidR="00FD19C7" w:rsidRPr="00526BDF" w:rsidRDefault="00795DD5" w:rsidP="00124B7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2.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Ֆինանսական շուկայի ոլորտում անդամ պետությունների օրենսդրության ներդաշնակեցման (այդ թվում՝ միջազգային համաձայնագրերի ընդունման միջոցով) վերաբերյալ 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ամաձայնագրի մասնակիցների կողմից համաձայնեցված առաջարկությունները, որոնք մշակվել են ներդաշնակեցման պլանին համապատասխան,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անդամ պետությունների օրենսդրության մեջ առաջարկների կիրարկման ժամկետները հաստատվում են Եվրասիական տնտեսական հանձնաժողովի խորհրդի կողմից:</w:t>
      </w:r>
    </w:p>
    <w:p w:rsidR="00FD19C7" w:rsidRPr="00526BDF" w:rsidRDefault="00795DD5" w:rsidP="001430A9">
      <w:pPr>
        <w:pStyle w:val="Bodytext4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3.</w:t>
      </w:r>
      <w:r w:rsidR="00FC7AE5" w:rsidRPr="00526BDF">
        <w:rPr>
          <w:rFonts w:ascii="Sylfaen" w:hAnsi="Sylfaen"/>
          <w:sz w:val="24"/>
          <w:szCs w:val="24"/>
        </w:rPr>
        <w:tab/>
      </w:r>
      <w:r w:rsidRPr="00526BDF">
        <w:rPr>
          <w:rFonts w:ascii="Sylfaen" w:hAnsi="Sylfaen"/>
          <w:sz w:val="24"/>
          <w:szCs w:val="24"/>
        </w:rPr>
        <w:t xml:space="preserve">Եվրասիական տնտեսական հանձնաժողովը համակարգում է անդամ պետությունների օրենսդրության ներդաշնակեցման պլանի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ներդաշնակեցման </w:t>
      </w:r>
      <w:r w:rsidRPr="00526BDF">
        <w:rPr>
          <w:rFonts w:ascii="Sylfaen" w:hAnsi="Sylfaen"/>
          <w:sz w:val="24"/>
          <w:szCs w:val="24"/>
        </w:rPr>
        <w:lastRenderedPageBreak/>
        <w:t>առաջարկությունների մշակման մասով գործունեություն</w:t>
      </w:r>
      <w:r w:rsidR="00665EF2" w:rsidRPr="00526BDF">
        <w:rPr>
          <w:rFonts w:ascii="Sylfaen" w:hAnsi="Sylfaen"/>
          <w:sz w:val="24"/>
          <w:szCs w:val="24"/>
        </w:rPr>
        <w:t>ը</w:t>
      </w:r>
      <w:r w:rsidR="006C2C11" w:rsidRPr="00526BDF">
        <w:rPr>
          <w:rFonts w:ascii="Sylfaen" w:hAnsi="Sylfaen"/>
          <w:sz w:val="24"/>
          <w:szCs w:val="24"/>
        </w:rPr>
        <w:t>՝</w:t>
      </w:r>
      <w:r w:rsidRPr="00526BDF">
        <w:rPr>
          <w:rFonts w:ascii="Sylfaen" w:hAnsi="Sylfaen"/>
          <w:sz w:val="24"/>
          <w:szCs w:val="24"/>
        </w:rPr>
        <w:t xml:space="preserve"> այդ պլանի կետերին համապատասխան, յուրաքանչյուր տարի պատրաստում է դրա </w:t>
      </w:r>
      <w:r w:rsidR="00D82EF6" w:rsidRPr="00526BDF">
        <w:rPr>
          <w:rFonts w:ascii="Sylfaen" w:hAnsi="Sylfaen"/>
          <w:sz w:val="24"/>
          <w:szCs w:val="24"/>
        </w:rPr>
        <w:t>կատարողականը</w:t>
      </w:r>
      <w:r w:rsidRPr="00526BDF">
        <w:rPr>
          <w:rFonts w:ascii="Sylfaen" w:hAnsi="Sylfaen"/>
          <w:sz w:val="24"/>
          <w:szCs w:val="24"/>
        </w:rPr>
        <w:t xml:space="preserve">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ներկայացնում այդ կատարողականը Եվրասիական տնտեսական հանձնաժողովի խորհրդի հաստատմանը:</w:t>
      </w:r>
    </w:p>
    <w:p w:rsidR="009C25D9" w:rsidRPr="00526BDF" w:rsidRDefault="009C25D9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7. Փոփոխություններ կատարելը</w:t>
      </w: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Անդամ պետությունների փոխադարձ համաձայնությամբ սույն </w:t>
      </w:r>
      <w:r w:rsidR="00665EF2" w:rsidRPr="00526BDF">
        <w:rPr>
          <w:rFonts w:ascii="Sylfaen" w:hAnsi="Sylfaen"/>
          <w:spacing w:val="-4"/>
          <w:sz w:val="24"/>
          <w:szCs w:val="24"/>
        </w:rPr>
        <w:t>հ</w:t>
      </w:r>
      <w:r w:rsidRPr="00526BDF">
        <w:rPr>
          <w:rFonts w:ascii="Sylfaen" w:hAnsi="Sylfaen"/>
          <w:spacing w:val="-4"/>
          <w:sz w:val="24"/>
          <w:szCs w:val="24"/>
        </w:rPr>
        <w:t>ամաձայնագրում կարող են կատարվել փոփոխություններ, որոնք ձ</w:t>
      </w:r>
      <w:r w:rsidR="00486D7B">
        <w:rPr>
          <w:rFonts w:ascii="Sylfaen" w:hAnsi="Sylfaen"/>
          <w:spacing w:val="-4"/>
          <w:sz w:val="24"/>
          <w:szCs w:val="24"/>
        </w:rPr>
        <w:t>և</w:t>
      </w:r>
      <w:r w:rsidRPr="00526BDF">
        <w:rPr>
          <w:rFonts w:ascii="Sylfaen" w:hAnsi="Sylfaen"/>
          <w:spacing w:val="-4"/>
          <w:sz w:val="24"/>
          <w:szCs w:val="24"/>
        </w:rPr>
        <w:t>ակերպվում են</w:t>
      </w:r>
      <w:r w:rsidRPr="00526BDF">
        <w:rPr>
          <w:rFonts w:ascii="Sylfaen" w:hAnsi="Sylfaen"/>
          <w:sz w:val="24"/>
          <w:szCs w:val="24"/>
        </w:rPr>
        <w:t xml:space="preserve"> առանձին արձանագրություններով։</w:t>
      </w:r>
    </w:p>
    <w:p w:rsidR="009C25D9" w:rsidRPr="00526BDF" w:rsidRDefault="009C25D9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8. Վեճերի կարգավորումը</w:t>
      </w: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ամաձայնագրի մեկնաբանման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 թվականի մայիսի 29-ի պայմանագրով սահմանված կարգով:</w:t>
      </w:r>
    </w:p>
    <w:p w:rsidR="009C25D9" w:rsidRPr="00526BDF" w:rsidRDefault="009C25D9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0"/>
        <w:jc w:val="center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Հոդված 9. Եզրափակիչ դրույթներ</w:t>
      </w: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ամաձայնագիրը Եվրասիական տնտեսական միության շրջանակներում կնքված միջազգային պայմանագիր է </w:t>
      </w:r>
      <w:r w:rsidR="00486D7B">
        <w:rPr>
          <w:rFonts w:ascii="Sylfaen" w:hAnsi="Sylfaen"/>
          <w:sz w:val="24"/>
          <w:szCs w:val="24"/>
        </w:rPr>
        <w:t>և</w:t>
      </w:r>
      <w:r w:rsidRPr="00526BDF">
        <w:rPr>
          <w:rFonts w:ascii="Sylfaen" w:hAnsi="Sylfaen"/>
          <w:sz w:val="24"/>
          <w:szCs w:val="24"/>
        </w:rPr>
        <w:t xml:space="preserve"> Եվրասիական տնտեսական միության իրավունքի մասն է կազմում։</w:t>
      </w:r>
    </w:p>
    <w:p w:rsidR="00FD19C7" w:rsidRPr="00526BDF" w:rsidRDefault="008D5B9F" w:rsidP="001430A9">
      <w:pPr>
        <w:pStyle w:val="Bodytext4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 xml:space="preserve">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ամաձայնագիրն ուժի մեջ է մտնում 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 xml:space="preserve">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</w:t>
      </w:r>
      <w:r w:rsidR="00CD1C83" w:rsidRPr="00526BDF">
        <w:rPr>
          <w:rFonts w:ascii="Sylfaen" w:hAnsi="Sylfaen"/>
          <w:sz w:val="24"/>
          <w:szCs w:val="24"/>
        </w:rPr>
        <w:t xml:space="preserve">օրվանից </w:t>
      </w:r>
      <w:r w:rsidRPr="00526BDF">
        <w:rPr>
          <w:rFonts w:ascii="Sylfaen" w:hAnsi="Sylfaen"/>
          <w:sz w:val="24"/>
          <w:szCs w:val="24"/>
        </w:rPr>
        <w:t>30</w:t>
      </w:r>
      <w:r w:rsidR="001430A9" w:rsidRPr="00526BDF">
        <w:rPr>
          <w:rFonts w:ascii="Sylfaen" w:hAnsi="Sylfaen" w:cs="Courier New"/>
          <w:sz w:val="24"/>
          <w:szCs w:val="24"/>
        </w:rPr>
        <w:t> </w:t>
      </w:r>
      <w:r w:rsidRPr="00526BDF">
        <w:rPr>
          <w:rFonts w:ascii="Sylfaen" w:hAnsi="Sylfaen"/>
          <w:sz w:val="24"/>
          <w:szCs w:val="24"/>
        </w:rPr>
        <w:t>օրացուցային օրը լրանալուց հետո։</w:t>
      </w:r>
    </w:p>
    <w:p w:rsidR="00FD19C7" w:rsidRPr="00526BDF" w:rsidRDefault="00124B78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t>Կատարված է ______</w:t>
      </w:r>
      <w:r w:rsidR="008D5B9F" w:rsidRPr="00526BDF">
        <w:rPr>
          <w:rFonts w:ascii="Sylfaen" w:hAnsi="Sylfaen"/>
          <w:sz w:val="24"/>
          <w:szCs w:val="24"/>
        </w:rPr>
        <w:t>__ քաղաքում 2016 թվականի ______</w:t>
      </w:r>
      <w:r w:rsidRPr="00526BDF">
        <w:rPr>
          <w:rFonts w:ascii="Sylfaen" w:hAnsi="Sylfaen"/>
          <w:sz w:val="24"/>
          <w:szCs w:val="24"/>
        </w:rPr>
        <w:t>__</w:t>
      </w:r>
      <w:r w:rsidR="008D5B9F" w:rsidRPr="00526BDF">
        <w:rPr>
          <w:rFonts w:ascii="Sylfaen" w:hAnsi="Sylfaen"/>
          <w:sz w:val="24"/>
          <w:szCs w:val="24"/>
        </w:rPr>
        <w:t>___</w:t>
      </w:r>
      <w:r w:rsidRPr="00526BDF">
        <w:rPr>
          <w:rFonts w:ascii="Sylfaen" w:hAnsi="Sylfaen"/>
          <w:sz w:val="24"/>
          <w:szCs w:val="24"/>
        </w:rPr>
        <w:t>_</w:t>
      </w:r>
      <w:r w:rsidR="008D5B9F" w:rsidRPr="00526BDF">
        <w:rPr>
          <w:rFonts w:ascii="Sylfaen" w:hAnsi="Sylfaen"/>
          <w:sz w:val="24"/>
          <w:szCs w:val="24"/>
        </w:rPr>
        <w:t>_</w:t>
      </w:r>
      <w:r w:rsidR="00CD1C83" w:rsidRPr="00526BDF">
        <w:rPr>
          <w:rFonts w:ascii="Sylfaen" w:hAnsi="Sylfaen"/>
          <w:sz w:val="24"/>
          <w:szCs w:val="24"/>
        </w:rPr>
        <w:t xml:space="preserve"> «</w:t>
      </w:r>
      <w:r w:rsidRPr="00526BDF">
        <w:rPr>
          <w:rFonts w:ascii="Sylfaen" w:hAnsi="Sylfaen"/>
          <w:sz w:val="24"/>
          <w:szCs w:val="24"/>
        </w:rPr>
        <w:t>____</w:t>
      </w:r>
      <w:r w:rsidR="00CD1C83" w:rsidRPr="00526BDF">
        <w:rPr>
          <w:rFonts w:ascii="Sylfaen" w:hAnsi="Sylfaen"/>
          <w:sz w:val="24"/>
          <w:szCs w:val="24"/>
        </w:rPr>
        <w:t>»-ին</w:t>
      </w:r>
      <w:r w:rsidR="008D5B9F" w:rsidRPr="00526BDF">
        <w:rPr>
          <w:rFonts w:ascii="Sylfaen" w:hAnsi="Sylfaen"/>
          <w:sz w:val="24"/>
          <w:szCs w:val="24"/>
        </w:rPr>
        <w:t>, մեկ բնօրինակից՝ ռուսերենով։</w:t>
      </w:r>
    </w:p>
    <w:p w:rsidR="00FD19C7" w:rsidRPr="00526BDF" w:rsidRDefault="008D5B9F" w:rsidP="00FC7AE5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26BDF">
        <w:rPr>
          <w:rFonts w:ascii="Sylfaen" w:hAnsi="Sylfaen"/>
          <w:sz w:val="24"/>
          <w:szCs w:val="24"/>
        </w:rPr>
        <w:lastRenderedPageBreak/>
        <w:t xml:space="preserve">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ամաձայնագրի բնօրինակը պահվում է Եվրասիական տնտեսական հանձնաժողովում, որը</w:t>
      </w:r>
      <w:r w:rsidR="00665EF2" w:rsidRPr="00526BDF">
        <w:rPr>
          <w:rFonts w:ascii="Sylfaen" w:hAnsi="Sylfaen"/>
          <w:sz w:val="24"/>
          <w:szCs w:val="24"/>
        </w:rPr>
        <w:t>՝</w:t>
      </w:r>
      <w:r w:rsidRPr="00526BDF">
        <w:rPr>
          <w:rFonts w:ascii="Sylfaen" w:hAnsi="Sylfaen"/>
          <w:sz w:val="24"/>
          <w:szCs w:val="24"/>
        </w:rPr>
        <w:t xml:space="preserve"> որպես սույն </w:t>
      </w:r>
      <w:r w:rsidR="00665EF2" w:rsidRPr="00526BDF">
        <w:rPr>
          <w:rFonts w:ascii="Sylfaen" w:hAnsi="Sylfaen"/>
          <w:sz w:val="24"/>
          <w:szCs w:val="24"/>
        </w:rPr>
        <w:t>հ</w:t>
      </w:r>
      <w:r w:rsidRPr="00526BDF">
        <w:rPr>
          <w:rFonts w:ascii="Sylfaen" w:hAnsi="Sylfaen"/>
          <w:sz w:val="24"/>
          <w:szCs w:val="24"/>
        </w:rPr>
        <w:t>ամաձայնագրի ավանդապահ, յուրաքանչյուր անդամ պետություն կուղարկի դրա հաստատված պատճենը։</w:t>
      </w:r>
    </w:p>
    <w:p w:rsidR="009C25D9" w:rsidRPr="00526BDF" w:rsidRDefault="009C25D9" w:rsidP="00124B78">
      <w:pPr>
        <w:spacing w:after="160" w:line="360" w:lineRule="auto"/>
        <w:rPr>
          <w:rFonts w:eastAsia="Times New Roman" w:cs="Times New Roman"/>
        </w:rPr>
      </w:pPr>
    </w:p>
    <w:tbl>
      <w:tblPr>
        <w:tblOverlap w:val="never"/>
        <w:tblW w:w="9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9"/>
        <w:gridCol w:w="1417"/>
        <w:gridCol w:w="3889"/>
      </w:tblGrid>
      <w:tr w:rsidR="00FD19C7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Հայաստանի Հանրապետության Կառավարության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417" w:type="dxa"/>
            <w:shd w:val="clear" w:color="auto" w:fill="FFFFFF"/>
          </w:tcPr>
          <w:p w:rsidR="00FD19C7" w:rsidRPr="00526BDF" w:rsidRDefault="00FD19C7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Հայաստանի Հանրապետության կենտրոնական բանկի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24B78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24B78" w:rsidRPr="00526BDF" w:rsidRDefault="00124B78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</w:tr>
      <w:tr w:rsidR="00FD19C7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Բելառուսի Հանրապետության Կառավարության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417" w:type="dxa"/>
            <w:shd w:val="clear" w:color="auto" w:fill="FFFFFF"/>
          </w:tcPr>
          <w:p w:rsidR="00FD19C7" w:rsidRPr="00526BDF" w:rsidRDefault="00FD19C7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 xml:space="preserve">Բելառուսի Հանրապետության </w:t>
            </w:r>
            <w:r w:rsidR="00CD1C83" w:rsidRPr="00526BDF">
              <w:rPr>
                <w:rStyle w:val="Bodytext414pt"/>
                <w:rFonts w:ascii="Sylfaen" w:hAnsi="Sylfaen"/>
                <w:sz w:val="24"/>
                <w:szCs w:val="24"/>
              </w:rPr>
              <w:t>ա</w:t>
            </w: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զգային բանկի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24B78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24B78" w:rsidRPr="00526BDF" w:rsidRDefault="00124B78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</w:tr>
      <w:tr w:rsidR="00FD19C7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 xml:space="preserve">Ղազախստանի Հանրապետության </w:t>
            </w:r>
            <w:r w:rsidR="00CD1C83" w:rsidRPr="00526BDF">
              <w:rPr>
                <w:rStyle w:val="Bodytext414pt"/>
                <w:rFonts w:ascii="Sylfaen" w:hAnsi="Sylfaen"/>
                <w:sz w:val="24"/>
                <w:szCs w:val="24"/>
              </w:rPr>
              <w:t>Կ</w:t>
            </w: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առավարության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417" w:type="dxa"/>
            <w:shd w:val="clear" w:color="auto" w:fill="FFFFFF"/>
          </w:tcPr>
          <w:p w:rsidR="00FD19C7" w:rsidRPr="00526BDF" w:rsidRDefault="00FD19C7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 xml:space="preserve">Ղազախստանի Հանրապետության </w:t>
            </w:r>
            <w:r w:rsidR="00CD1C83" w:rsidRPr="00526BDF">
              <w:rPr>
                <w:rStyle w:val="Bodytext414pt"/>
                <w:rFonts w:ascii="Sylfaen" w:hAnsi="Sylfaen"/>
                <w:sz w:val="24"/>
                <w:szCs w:val="24"/>
              </w:rPr>
              <w:t>ա</w:t>
            </w: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զգային բանկի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24B78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24B78" w:rsidRPr="00526BDF" w:rsidRDefault="00124B78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</w:tr>
      <w:tr w:rsidR="00FD19C7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Ղրղզստանի Հանրապետության Կառավարության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417" w:type="dxa"/>
            <w:shd w:val="clear" w:color="auto" w:fill="FFFFFF"/>
          </w:tcPr>
          <w:p w:rsidR="00FD19C7" w:rsidRPr="00526BDF" w:rsidRDefault="00FD19C7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Ղրղզստանի Հանրապետության ազգային բանկի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24B78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24B78" w:rsidRPr="00526BDF" w:rsidRDefault="00124B78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124B78" w:rsidRPr="00526BDF" w:rsidRDefault="00124B78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414pt"/>
                <w:rFonts w:ascii="Sylfaen" w:hAnsi="Sylfaen"/>
                <w:sz w:val="24"/>
                <w:szCs w:val="24"/>
              </w:rPr>
            </w:pPr>
          </w:p>
        </w:tc>
      </w:tr>
      <w:tr w:rsidR="00FD19C7" w:rsidRPr="00526BDF" w:rsidTr="00124B78">
        <w:trPr>
          <w:jc w:val="center"/>
        </w:trPr>
        <w:tc>
          <w:tcPr>
            <w:tcW w:w="389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 xml:space="preserve">Ռուսաստանի Դաշնության </w:t>
            </w:r>
            <w:r w:rsidR="00CD1C83" w:rsidRPr="00526BDF">
              <w:rPr>
                <w:rStyle w:val="Bodytext414pt"/>
                <w:rFonts w:ascii="Sylfaen" w:hAnsi="Sylfaen"/>
                <w:sz w:val="24"/>
                <w:szCs w:val="24"/>
              </w:rPr>
              <w:t>Կ</w:t>
            </w: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առավարության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417" w:type="dxa"/>
            <w:shd w:val="clear" w:color="auto" w:fill="FFFFFF"/>
          </w:tcPr>
          <w:p w:rsidR="00FD19C7" w:rsidRPr="00526BDF" w:rsidRDefault="00FD19C7" w:rsidP="00124B78">
            <w:pPr>
              <w:spacing w:after="160" w:line="360" w:lineRule="auto"/>
              <w:jc w:val="center"/>
            </w:pPr>
          </w:p>
        </w:tc>
        <w:tc>
          <w:tcPr>
            <w:tcW w:w="3889" w:type="dxa"/>
            <w:shd w:val="clear" w:color="auto" w:fill="FFFFFF"/>
          </w:tcPr>
          <w:p w:rsidR="00FD19C7" w:rsidRPr="00526BDF" w:rsidRDefault="008D5B9F" w:rsidP="00124B78">
            <w:pPr>
              <w:pStyle w:val="Bodytext4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 xml:space="preserve">Ռուսաստանի Դաշնության </w:t>
            </w:r>
            <w:r w:rsidR="00CD1C83" w:rsidRPr="00526BDF">
              <w:rPr>
                <w:rStyle w:val="Bodytext414pt"/>
                <w:rFonts w:ascii="Sylfaen" w:hAnsi="Sylfaen"/>
                <w:sz w:val="24"/>
                <w:szCs w:val="24"/>
              </w:rPr>
              <w:t>կ</w:t>
            </w:r>
            <w:r w:rsidRPr="00526BDF">
              <w:rPr>
                <w:rStyle w:val="Bodytext414pt"/>
                <w:rFonts w:ascii="Sylfaen" w:hAnsi="Sylfaen"/>
                <w:sz w:val="24"/>
                <w:szCs w:val="24"/>
              </w:rPr>
              <w:t>ենտրոնական բանկի կողմից</w:t>
            </w:r>
            <w:r w:rsidR="00665EF2" w:rsidRPr="00526BDF">
              <w:rPr>
                <w:rStyle w:val="Bodytext414pt"/>
                <w:rFonts w:ascii="Sylfaen" w:hAnsi="Sylfaen"/>
                <w:sz w:val="24"/>
                <w:szCs w:val="24"/>
              </w:rPr>
              <w:t>՝</w:t>
            </w:r>
          </w:p>
        </w:tc>
      </w:tr>
    </w:tbl>
    <w:p w:rsidR="00FD19C7" w:rsidRPr="00526BDF" w:rsidRDefault="00FD19C7" w:rsidP="00124B78">
      <w:pPr>
        <w:spacing w:after="160" w:line="360" w:lineRule="auto"/>
      </w:pPr>
    </w:p>
    <w:sectPr w:rsidR="00FD19C7" w:rsidRPr="00526BDF" w:rsidSect="00795DD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6" w:rsidRDefault="001327D6" w:rsidP="00FD19C7">
      <w:r>
        <w:separator/>
      </w:r>
    </w:p>
  </w:endnote>
  <w:endnote w:type="continuationSeparator" w:id="0">
    <w:p w:rsidR="001327D6" w:rsidRDefault="001327D6" w:rsidP="00F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6" w:rsidRDefault="001327D6"/>
  </w:footnote>
  <w:footnote w:type="continuationSeparator" w:id="0">
    <w:p w:rsidR="001327D6" w:rsidRDefault="001327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2274"/>
    <w:multiLevelType w:val="multilevel"/>
    <w:tmpl w:val="5CE2C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96EF1"/>
    <w:multiLevelType w:val="multilevel"/>
    <w:tmpl w:val="B6149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C9426C"/>
    <w:multiLevelType w:val="multilevel"/>
    <w:tmpl w:val="DB5CF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45062"/>
    <w:multiLevelType w:val="multilevel"/>
    <w:tmpl w:val="274E5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19C7"/>
    <w:rsid w:val="0000428C"/>
    <w:rsid w:val="000C6B9A"/>
    <w:rsid w:val="000F2F83"/>
    <w:rsid w:val="001060A1"/>
    <w:rsid w:val="00124B78"/>
    <w:rsid w:val="001327D6"/>
    <w:rsid w:val="001430A9"/>
    <w:rsid w:val="001830ED"/>
    <w:rsid w:val="00185CC0"/>
    <w:rsid w:val="001A1ABC"/>
    <w:rsid w:val="001C056B"/>
    <w:rsid w:val="0020108B"/>
    <w:rsid w:val="0021119D"/>
    <w:rsid w:val="00243C1D"/>
    <w:rsid w:val="00251124"/>
    <w:rsid w:val="002E2D29"/>
    <w:rsid w:val="002F43CC"/>
    <w:rsid w:val="00305C9E"/>
    <w:rsid w:val="00306303"/>
    <w:rsid w:val="00337E2E"/>
    <w:rsid w:val="0034687E"/>
    <w:rsid w:val="00403F27"/>
    <w:rsid w:val="004107A9"/>
    <w:rsid w:val="00417E4E"/>
    <w:rsid w:val="00486D7B"/>
    <w:rsid w:val="004D4B5E"/>
    <w:rsid w:val="00511DB5"/>
    <w:rsid w:val="00512C2D"/>
    <w:rsid w:val="00526BDF"/>
    <w:rsid w:val="005B031C"/>
    <w:rsid w:val="005B32CD"/>
    <w:rsid w:val="00665EF2"/>
    <w:rsid w:val="00696D48"/>
    <w:rsid w:val="006C2C11"/>
    <w:rsid w:val="007916A4"/>
    <w:rsid w:val="00795DD5"/>
    <w:rsid w:val="007B5D63"/>
    <w:rsid w:val="00800126"/>
    <w:rsid w:val="00847753"/>
    <w:rsid w:val="008655F6"/>
    <w:rsid w:val="00880672"/>
    <w:rsid w:val="0089113E"/>
    <w:rsid w:val="008A3D47"/>
    <w:rsid w:val="008B3C3F"/>
    <w:rsid w:val="008D5B9F"/>
    <w:rsid w:val="009507EF"/>
    <w:rsid w:val="009B236E"/>
    <w:rsid w:val="009C25D9"/>
    <w:rsid w:val="009F212E"/>
    <w:rsid w:val="00A02B82"/>
    <w:rsid w:val="00A32AC3"/>
    <w:rsid w:val="00B13EDF"/>
    <w:rsid w:val="00C7650F"/>
    <w:rsid w:val="00C97CC8"/>
    <w:rsid w:val="00CD1C83"/>
    <w:rsid w:val="00D06DA8"/>
    <w:rsid w:val="00D425B1"/>
    <w:rsid w:val="00D82EF6"/>
    <w:rsid w:val="00DD0AD3"/>
    <w:rsid w:val="00E33AA2"/>
    <w:rsid w:val="00FC7AE5"/>
    <w:rsid w:val="00FD19C7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19C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9C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D1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D1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D1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Spacing4pt">
    <w:name w:val="Body text (3) + Spacing 4 pt"/>
    <w:basedOn w:val="Bodytext3"/>
    <w:rsid w:val="00FD1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D1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FD1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FD19C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ArialUnicodeMS">
    <w:name w:val="Body text (2) + Arial Unicode MS"/>
    <w:aliases w:val="9 pt,Spacing 1 pt"/>
    <w:basedOn w:val="Bodytext2"/>
    <w:rsid w:val="00FD19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D1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UnicodeMS0">
    <w:name w:val="Body text (2) + Arial Unicode MS"/>
    <w:aliases w:val="12 pt,Italic,Spacing -1 pt"/>
    <w:basedOn w:val="Bodytext2"/>
    <w:rsid w:val="00FD19C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UnicodeMS1">
    <w:name w:val="Body text (2) + Arial Unicode MS"/>
    <w:aliases w:val="9 pt"/>
    <w:basedOn w:val="Bodytext2"/>
    <w:rsid w:val="00FD19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D1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14pt">
    <w:name w:val="Body text (4) + 14 pt"/>
    <w:aliases w:val="Bold"/>
    <w:basedOn w:val="Bodytext4"/>
    <w:rsid w:val="00FD1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D19C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D19C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FD19C7"/>
    <w:pPr>
      <w:shd w:val="clear" w:color="auto" w:fill="FFFFFF"/>
      <w:spacing w:before="420" w:after="420" w:line="0" w:lineRule="atLeast"/>
      <w:ind w:hanging="12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D19C7"/>
    <w:pPr>
      <w:shd w:val="clear" w:color="auto" w:fill="FFFFFF"/>
      <w:spacing w:before="300" w:line="446" w:lineRule="exact"/>
      <w:ind w:hanging="12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D19C7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E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D6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D63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Tatevik</cp:lastModifiedBy>
  <cp:revision>23</cp:revision>
  <dcterms:created xsi:type="dcterms:W3CDTF">2017-05-23T13:46:00Z</dcterms:created>
  <dcterms:modified xsi:type="dcterms:W3CDTF">2017-12-21T07:57:00Z</dcterms:modified>
</cp:coreProperties>
</file>