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9F3C08">
        <w:rPr>
          <w:rFonts w:ascii="Sylfaen" w:hAnsi="Sylfaen"/>
          <w:sz w:val="24"/>
          <w:szCs w:val="24"/>
        </w:rPr>
        <w:t>Проект</w:t>
      </w:r>
    </w:p>
    <w:p w:rsidR="005644F7" w:rsidRPr="009F3C08" w:rsidRDefault="002D7FAD" w:rsidP="009F3C08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  <w:r w:rsidRPr="009F3C08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СОГЛАШЕНИЕ</w:t>
      </w:r>
    </w:p>
    <w:p w:rsidR="005644F7" w:rsidRPr="009F3C08" w:rsidRDefault="002D7FAD" w:rsidP="009F3C08">
      <w:pPr>
        <w:pStyle w:val="Bodytext30"/>
        <w:shd w:val="clear" w:color="auto" w:fill="auto"/>
        <w:spacing w:line="240" w:lineRule="auto"/>
        <w:ind w:left="1276" w:right="12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о согласованных подходах к регулированию валютных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правоотношений и принятии мер либерализации</w:t>
      </w:r>
    </w:p>
    <w:p w:rsidR="009F3C08" w:rsidRPr="009F3C08" w:rsidRDefault="009F3C08" w:rsidP="009F3C08">
      <w:pPr>
        <w:pStyle w:val="Bodytext30"/>
        <w:shd w:val="clear" w:color="auto" w:fill="auto"/>
        <w:spacing w:line="240" w:lineRule="auto"/>
        <w:ind w:left="40"/>
        <w:rPr>
          <w:rFonts w:ascii="Sylfaen" w:hAnsi="Sylfaen"/>
          <w:sz w:val="24"/>
          <w:szCs w:val="24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Правительство Республики Армения и Центральный банк Республики Армения, Правительство Республики Беларусь и Национальный банк Республики Беларусь, Правительство Республики Казахстан и Национальный Банк Республики Казахстан, Правительство Кыргызской Республики и Национальный банк Кыргызской Республики, Правительство Российской Федерации и Центральный банк Российской Федерации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в соответствии с пунктом 4 статьи 64 Договора о Евразийском экономическом союзе от 29 мая 2014 года (далее - Договор),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в целях выработки согласованных подходов к регулированию валютных правоотношений и принятия мер либерализации согласились о нижеследующем: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1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Общие положения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Настоящее Соглашение определяет подходы к регулированию валютных правоотношений и меры либерализации в государствах - членах Евразийского экономического союза (далее соответственно - государства-члены, Союз).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Понятия, используемые в настоящем Соглашении, понимаются в значениях, определенных Договором (в частности, приложениями № 8 и 15 к Договору).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2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Покупка и продажа (конверсия) иностранной валюты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на территориях государств-членов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Покупка и продажа (конверсия) иностранной валюты и чеков (в том числе дорожных чеков) на территориях государств-членов осуществляются в порядке, установленном валютным законодательством государства, на территории которого проводится соответствующая операция.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3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Валютные операции резидентов государств-членов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1.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Запрещается использование иностранной валюты при проведении расчетов на территории государства-члена, за исключением случаев, предусмотренных настоящим Соглашением и законодательством этого государства.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lastRenderedPageBreak/>
        <w:t>2.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Государства-члены не применяют валютные ограничения в отношении следующих валютных операций, осуществляемых резидентами государств-членов: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1)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расчеты между резидентами одного государства-члена и резидентами другого государства-члена, связанные с передачей товаров, выполнением работ, оказанием услуг и передачей информации в пределах таможенной территории Союза;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2)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расчеты по операциям, связанным с приобретением резидентами одного государства-члена акций, долей, с внесением вкладов (паев) в целях обеспечения участия в уставном капитале (уставном фонде) юридического лица - резидента другого государства- члена;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3)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расчеты между резидентами одного государства-члена и резидентами другого государства-члена, связанные с приобретением через организованные рынки (биржи) государств-членов государственных ценных бумаг и других ценных бумаг, эмитированных резидентами государств-членов;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4)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расчеты по операциям, связанным с приобретением резидентами одного государства-члена недвижимого имущества, зарегистрированного в соответствии с законодательством другого государства-члена;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5)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расчеты по операциям резидентов одного государства-члена, связанным с предоставлением, получением и возвратом кредитов и займов, уплатой сумм процентов и штрафных санкций по соответствующим договорам с уполномоченными организациями другого государства-члена;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6)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расчеты по операциям резидентов одного государства-члена, связанным с получением и исполнением банковских гарантий уполномоченных организаций другого государства-члена, а также с исполнением обязательств по договорам поручительства и залога, заключенным с такими уполномоченными организациями;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7)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переводы денежных средств, осуществляемые физическими лицами в пределах таможенной территории Союза.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3.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Законодательством государства-члена могут быть предусмотрены иные валютные операции, в отношении которых на территории этого государства не применяются валютные ограничения.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4.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Резиденты государств-членов вправе осуществлять расчеты по валютным операциям без использования банковских счетов в уполномоченных организациях в случае осуществления платежей и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переводов денежных средств между физическими лицами в национальных валютах государств-членов в пределах таможенной территории Союза.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Законодательством государства-члена могут быть предусмотрены иные случаи осуществления расчетов по валютным операциям без использования банковских счетов в уполномоченных организациях на территории этого государства.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5.</w:t>
      </w:r>
      <w:r w:rsidRPr="009F3C08">
        <w:rPr>
          <w:rFonts w:ascii="Sylfaen" w:hAnsi="Sylfaen"/>
          <w:sz w:val="24"/>
          <w:szCs w:val="24"/>
        </w:rPr>
        <w:tab/>
        <w:t xml:space="preserve">Порядок проведения валютных операций устанавливается валютным законодательством государства-члена, на территории которого проводится валютная </w:t>
      </w:r>
      <w:r w:rsidRPr="009F3C08">
        <w:rPr>
          <w:rFonts w:ascii="Sylfaen" w:hAnsi="Sylfaen"/>
          <w:sz w:val="24"/>
          <w:szCs w:val="24"/>
        </w:rPr>
        <w:lastRenderedPageBreak/>
        <w:t>операция, если иное не предусмотрено настоящим Соглашением.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4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Счета (вклады) резидентов государств-членов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и резидентов третьих стран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1.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Резиденты одного государства-члена могут без ограничений открывать счета (вклады) в иностранной валюте и в национальной валюте в уполномоченных организациях другого государства-члена и осуществлять по ним операции в порядке, установленном законодательством государства-члена, на территории которого открыты указанные счета (вклады).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2.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Резиденты государств-членов могут открывать счета (вклады) в иностранной валюте и в национальной валюте в банках, расположенных в третьих странах, и осуществлять по ним операции в соответствии с законодательством своего государства.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3.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Резиденты третьих стран имеют право открывать счета (вклады) в иностранной валюте и в национальной валюте в уполномоченных организациях и осуществлять по ним операции в порядке,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установленном законодательством государства-члена, на территории которого открыты указанные счета (вклады).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5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Меры либерализации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В государствах-членах не применяется требование о получении разрешений (индивидуальных разрешений) в отношении валютных операций между резидентами государств-членов, а также в отношении открытия и ведения банковских счетов резидентов одного государства-члена в уполномоченных организациях другого государства-члена.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В государствах-членах не применяется требование об обязательной продаже иностранной валюты в отношении резидентов своего государства.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Положения настоящей статьи не распространяются на случаи введения валютных ограничений, предусмотренных Договором.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6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2268" w:right="226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Репатриация денежных средств резидентами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государств-членов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1.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Резиденты государства-члена по договорам (контрактам), заключаемым с нерезидентами, в сроки, установленные такими договорами (контрактами), если иные сроки не предусмотрены законодательством своего государства, обязаны обеспечить: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lastRenderedPageBreak/>
        <w:t>1)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получение от нерезидентов на свои банковские счета в уполномоченных организациях своего государства денежных средств, причитающихся в соответствии с условиями указанных договоров (контрактов) за переданные нерезидентам товары, выполненные работы, оказанные услуги, переданную информацию;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2)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возврат на свои банковские счета в уполномоченных организациях своего государства денежных средств, уплаченных нерезидентам за не ввезенные на территорию этого государства (не полученные на территории этого государства) товары, невыполненные работы, неоказанные услуги, непереданную информацию.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2.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В случаях, не предусмотренных настоящей статьей, требование о репатриации денежных средств резидентами государства-члена применяется в соответствии с законодательством этого государства.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Законодательством государства-члена могут быть установлены случаи, при которых резидент этого государства вправе не зачислять денежные средства в иностранной валюте или национальной валюте на свои банковские счета в уполномоченных организациях этого государства.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7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Учет и контроль валютных операций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1.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Целью валютного контроля (надзора за соблюдением валютного законодательства) является обеспечение соблюдения резидентами и нерезидентами государств-членов настоящего Соглашения и валютного законодательства.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2.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Валютный контроль (надзор за соблюдением валютного законодательства) осуществляется по следующим основным направлениям: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1) определение соответствия осуществляемых резидентами государств-членов и нерезидентами валютных операций положениям настоящего Соглашения и валютного законодательства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государства-члена, на территории которого такие операции осуществляются;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2)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проверка полноты и достоверности учета и отчетности по валютным операциям;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3)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проверка обоснованности платежей по валютным операциям и наличия необходимых для их осуществления документов;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4)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проверка соблюдения требований к открытию и ведению счетов (вкладов) резидентами одного государства-члена в уполномоченных организациях других государств-членов или банках третьих стран.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3.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Валютный контроль (надзор за соблюдением валютного законодательства) в государстве-члене осуществляется в соответствии с законодательством этого государства.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4.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 xml:space="preserve">Порядок ведения и формы учета и отчетности по валютным операциям </w:t>
      </w:r>
      <w:r w:rsidRPr="009F3C08">
        <w:rPr>
          <w:rFonts w:ascii="Sylfaen" w:hAnsi="Sylfaen"/>
          <w:sz w:val="24"/>
          <w:szCs w:val="24"/>
        </w:rPr>
        <w:lastRenderedPageBreak/>
        <w:t>устанавливаются в соответствии с международными договорами и законодательством государств-членов.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8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1701" w:right="1693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Гармонизация норм об ответственности за нарушение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валютного законодательства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1. Государства-члены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обеспечивают гармонизацию своего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законодательства в части, касающейся ответственности за нарушение валютного законодательства, в частности принимают меры, направленные на установление: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1) административной ответственности за следующие нарушения: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осуществление незаконных (запрещенных) валютных операций или осуществление валютных операций с нарушением валютного законодательства;</w:t>
      </w:r>
    </w:p>
    <w:p w:rsidR="005644F7" w:rsidRPr="009F3C08" w:rsidRDefault="005644F7" w:rsidP="009F3C08">
      <w:pPr>
        <w:spacing w:after="120"/>
        <w:ind w:firstLine="567"/>
        <w:sectPr w:rsidR="005644F7" w:rsidRPr="009F3C08" w:rsidSect="009F3C08">
          <w:type w:val="continuous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lastRenderedPageBreak/>
        <w:t>невыполнение резидентом государства-члена в установленный срок обязанности по репатриации денежных средств, подлежащих обязательному перечислению на его банковские счета в уполномоченных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организациях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государства-члена,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резидентом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которого он является;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непредставление или несоблюдение установленных порядка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и (или) сроков представления информации, документов, форм учета и отчетности в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соответствии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с требованиями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валютного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законодательства;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2) уголовной ответственности за невыполнение резидентом государства-члена в установленный срок обязанности по репатриации денежных средств в крупном размере (особо крупном размере), подлежащих обязательному перечислению на его банковские счета в уполномоченных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организациях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государства-члена,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резидентом</w:t>
      </w:r>
      <w:r w:rsidRPr="009F3C0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которого он является.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2. Участники настоящего Соглашения принимают меры, направленные на гармонизацию до 1 января 2019 г. составов правонарушений и требований в отношении видов и размеров санкций за нарушения валютного законодательства.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9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4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Разрешение споров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firstLine="740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Споры, связанные с толкованием и (или) применением положений настоящего Соглашения, разрешаются в порядке, определенном Договором.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10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Применение мер валютного регулирования и валютного контроля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(надзора за соблюдением валютного законодательства)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в государствах-членах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lastRenderedPageBreak/>
        <w:t>Ничто в настоящем Соглашении не должно толковаться и применяться как требование к государству-члену применять меры валютного регулирования и валютного контроля (надзора за соблюдением валютного законодательства) менее либеральные, чем меры, предусмотренные законодательством этого государства на дату подписания настоящего Соглашения, в том числе меры, регулирующие репатриацию денежных средств и меры административной и уголовной ответственности за невыполнение обязанности по репатриации денежных средств.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11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2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Переходные положения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Для Республики Беларусь положения пункта 2 статьи 3, пункта 1 статьи 4 и статьи 5 настоящего Соглашения применяются с 1 января 2020 г. При этом Республика Беларусь до 1 января 2020 г. принимает на себя обязательства не превышать норматив обязательной продажи иностранной валюты на внутреннем валютном рынке, установленный на дату вступления настоящего Соглашения в силу. Для Республики Беларусь на период до 1 января 2020 г. сохраняется право применять свое законодательство в отношении сроков репатриации денежных средств резидентами Республики Беларусь.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В связи с установлением переходного периода Республика Беларусь принимает на себя обязательства не ухудшать условия осуществления резидентами государств-членов валютных операций,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указанных в пункте 2 статьи 3 настоящего Соглашения, открытия и ведения ими счетов (вкладов) в иностранной валюте и в национальной валюте в соответствии с пунктом 1 статьи 4 настоящего Соглашения, а также осуществления операций по этим счетам (вкладам) по сравнению с условиями, действовавшими в Республике Беларусь по состоянию на дату подписания настоящего Соглашения.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Положения настоящей статьи применяются в части, не противоречащей пункту 8 Протокола о торговле услугами, учреждении, деятельности и осуществлении инвестиций (приложение № 16 к Договору).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Ничто в настоящей статье не должно толковаться как препятствие для Республики Беларусь, при наличии соответствующих экономических условий, применять положения пункта 2 статьи 3, пункта 1 статьи 4 и статьи 5 настоящего Соглашения ранее 1 января 2020 г.</w:t>
      </w:r>
    </w:p>
    <w:p w:rsidR="009F3C08" w:rsidRDefault="009F3C08" w:rsidP="009F3C08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  <w:lang w:val="en-US"/>
        </w:rPr>
      </w:pP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Статья 12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left="60"/>
        <w:jc w:val="center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Заключительные положения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Настоящее Соглашение является международным договором, заключенным в рамках Союза, и входит в право Союза.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 xml:space="preserve">По взаимному согласию участников настоящего Соглашения в него могут быть </w:t>
      </w:r>
      <w:r w:rsidRPr="009F3C08">
        <w:rPr>
          <w:rFonts w:ascii="Sylfaen" w:hAnsi="Sylfaen"/>
          <w:sz w:val="24"/>
          <w:szCs w:val="24"/>
        </w:rPr>
        <w:lastRenderedPageBreak/>
        <w:t>внесены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абзацем третьим настоящей статьи.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Настоящее Соглашение вступает в силу на следующий день после даты получения депозитарием по дипломатическим каналам последнего письменного уведомления о выполнении государствами-членами</w:t>
      </w:r>
      <w:r w:rsidR="009F3C08" w:rsidRPr="009F3C08">
        <w:rPr>
          <w:rFonts w:ascii="Sylfaen" w:hAnsi="Sylfaen"/>
          <w:sz w:val="24"/>
          <w:szCs w:val="24"/>
        </w:rPr>
        <w:t xml:space="preserve"> </w:t>
      </w:r>
      <w:r w:rsidRPr="009F3C08">
        <w:rPr>
          <w:rFonts w:ascii="Sylfaen" w:hAnsi="Sylfaen"/>
          <w:sz w:val="24"/>
          <w:szCs w:val="24"/>
        </w:rPr>
        <w:t>внутригосударственных процедур, необходимых для вступления настоящего Соглашения в силу.</w:t>
      </w:r>
    </w:p>
    <w:p w:rsidR="005644F7" w:rsidRPr="009F3C08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9F3C08">
        <w:rPr>
          <w:rFonts w:ascii="Sylfaen" w:hAnsi="Sylfaen"/>
          <w:sz w:val="24"/>
          <w:szCs w:val="24"/>
        </w:rPr>
        <w:t>Совершено в городе ________________ «_____» _________ 20____ года</w:t>
      </w:r>
      <w:r w:rsidR="009F3C08">
        <w:rPr>
          <w:rFonts w:ascii="Sylfaen" w:hAnsi="Sylfaen"/>
          <w:sz w:val="24"/>
          <w:szCs w:val="24"/>
          <w:lang w:val="en-US"/>
        </w:rPr>
        <w:t xml:space="preserve"> </w:t>
      </w:r>
      <w:r w:rsidRPr="009F3C08">
        <w:rPr>
          <w:rFonts w:ascii="Sylfaen" w:hAnsi="Sylfaen"/>
          <w:sz w:val="24"/>
          <w:szCs w:val="24"/>
        </w:rPr>
        <w:t>в одном подлинном экземпляре на русском языке.</w:t>
      </w:r>
    </w:p>
    <w:p w:rsidR="005644F7" w:rsidRDefault="002D7FAD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9F3C08">
        <w:rPr>
          <w:rFonts w:ascii="Sylfaen" w:hAnsi="Sylfaen"/>
          <w:sz w:val="24"/>
          <w:szCs w:val="24"/>
        </w:rPr>
        <w:t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 w:rsidR="009F3C08" w:rsidRPr="009F3C08" w:rsidRDefault="009F3C08" w:rsidP="009F3C08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3"/>
        <w:gridCol w:w="5087"/>
      </w:tblGrid>
      <w:tr w:rsidR="005644F7" w:rsidRPr="009F3C08" w:rsidTr="009F3C08">
        <w:tc>
          <w:tcPr>
            <w:tcW w:w="4403" w:type="dxa"/>
            <w:shd w:val="clear" w:color="auto" w:fill="FFFFFF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Правительство Республики Армения</w:t>
            </w:r>
          </w:p>
        </w:tc>
        <w:tc>
          <w:tcPr>
            <w:tcW w:w="5087" w:type="dxa"/>
            <w:shd w:val="clear" w:color="auto" w:fill="FFFFFF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Центральный банк Республики Армения</w:t>
            </w:r>
          </w:p>
        </w:tc>
      </w:tr>
      <w:tr w:rsidR="005644F7" w:rsidRPr="009F3C08" w:rsidTr="009F3C08">
        <w:tc>
          <w:tcPr>
            <w:tcW w:w="4403" w:type="dxa"/>
            <w:shd w:val="clear" w:color="auto" w:fill="FFFFFF"/>
            <w:vAlign w:val="center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Правительство Республики Беларусь</w:t>
            </w:r>
          </w:p>
        </w:tc>
        <w:tc>
          <w:tcPr>
            <w:tcW w:w="5087" w:type="dxa"/>
            <w:shd w:val="clear" w:color="auto" w:fill="FFFFFF"/>
            <w:vAlign w:val="center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Национальный банк Республики Беларусь</w:t>
            </w:r>
          </w:p>
        </w:tc>
      </w:tr>
      <w:tr w:rsidR="005644F7" w:rsidRPr="009F3C08" w:rsidTr="009F3C08">
        <w:tc>
          <w:tcPr>
            <w:tcW w:w="4403" w:type="dxa"/>
            <w:shd w:val="clear" w:color="auto" w:fill="FFFFFF"/>
            <w:vAlign w:val="center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Правительство Республики Казахстан</w:t>
            </w:r>
          </w:p>
        </w:tc>
        <w:tc>
          <w:tcPr>
            <w:tcW w:w="5087" w:type="dxa"/>
            <w:shd w:val="clear" w:color="auto" w:fill="FFFFFF"/>
            <w:vAlign w:val="center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Национальный Банк Республики Казахстан</w:t>
            </w:r>
          </w:p>
        </w:tc>
      </w:tr>
      <w:tr w:rsidR="005644F7" w:rsidRPr="009F3C08" w:rsidTr="009F3C08">
        <w:tc>
          <w:tcPr>
            <w:tcW w:w="4403" w:type="dxa"/>
            <w:shd w:val="clear" w:color="auto" w:fill="FFFFFF"/>
            <w:vAlign w:val="center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Правительство Кыргызской Республики</w:t>
            </w:r>
          </w:p>
        </w:tc>
        <w:tc>
          <w:tcPr>
            <w:tcW w:w="5087" w:type="dxa"/>
            <w:shd w:val="clear" w:color="auto" w:fill="FFFFFF"/>
            <w:vAlign w:val="center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Национальный банк Кыргызской Республики</w:t>
            </w:r>
          </w:p>
        </w:tc>
      </w:tr>
      <w:tr w:rsidR="005644F7" w:rsidRPr="009F3C08" w:rsidTr="009F3C08">
        <w:tc>
          <w:tcPr>
            <w:tcW w:w="4403" w:type="dxa"/>
            <w:shd w:val="clear" w:color="auto" w:fill="FFFFFF"/>
            <w:vAlign w:val="bottom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Правительство Российской Федерации</w:t>
            </w:r>
          </w:p>
        </w:tc>
        <w:tc>
          <w:tcPr>
            <w:tcW w:w="5087" w:type="dxa"/>
            <w:shd w:val="clear" w:color="auto" w:fill="FFFFFF"/>
            <w:vAlign w:val="bottom"/>
          </w:tcPr>
          <w:p w:rsidR="005644F7" w:rsidRPr="009F3C08" w:rsidRDefault="002D7FAD" w:rsidP="009F3C08">
            <w:pPr>
              <w:pStyle w:val="Bodytext20"/>
              <w:shd w:val="clear" w:color="auto" w:fill="auto"/>
              <w:spacing w:before="0" w:after="120" w:line="240" w:lineRule="auto"/>
              <w:ind w:left="1134" w:right="981"/>
              <w:jc w:val="center"/>
              <w:rPr>
                <w:rFonts w:ascii="Sylfaen" w:hAnsi="Sylfaen"/>
                <w:sz w:val="24"/>
                <w:szCs w:val="24"/>
              </w:rPr>
            </w:pPr>
            <w:r w:rsidRPr="009F3C08">
              <w:rPr>
                <w:rStyle w:val="Bodytext2Bold"/>
                <w:rFonts w:ascii="Sylfaen" w:hAnsi="Sylfaen"/>
                <w:sz w:val="24"/>
                <w:szCs w:val="24"/>
              </w:rPr>
              <w:t>за центральный банк Российской Федерации</w:t>
            </w:r>
          </w:p>
        </w:tc>
      </w:tr>
    </w:tbl>
    <w:p w:rsidR="005644F7" w:rsidRPr="009F3C08" w:rsidRDefault="005644F7" w:rsidP="009F3C08">
      <w:pPr>
        <w:spacing w:after="120"/>
      </w:pPr>
    </w:p>
    <w:sectPr w:rsidR="005644F7" w:rsidRPr="009F3C08" w:rsidSect="009F3C0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C1" w:rsidRDefault="00B064C1" w:rsidP="005644F7">
      <w:r>
        <w:separator/>
      </w:r>
    </w:p>
  </w:endnote>
  <w:endnote w:type="continuationSeparator" w:id="0">
    <w:p w:rsidR="00B064C1" w:rsidRDefault="00B064C1" w:rsidP="0056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C1" w:rsidRDefault="00B064C1"/>
  </w:footnote>
  <w:footnote w:type="continuationSeparator" w:id="0">
    <w:p w:rsidR="00B064C1" w:rsidRDefault="00B064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4F7"/>
    <w:rsid w:val="002D7FAD"/>
    <w:rsid w:val="005644F7"/>
    <w:rsid w:val="009F3C08"/>
    <w:rsid w:val="00B064C1"/>
    <w:rsid w:val="00E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644F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44F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6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64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Bold">
    <w:name w:val="Heading #1 + Bold"/>
    <w:basedOn w:val="Heading1"/>
    <w:rsid w:val="0056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56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6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64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64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ahoma">
    <w:name w:val="Body text (2) + Tahoma"/>
    <w:aliases w:val="Bold"/>
    <w:basedOn w:val="Bodytext2"/>
    <w:rsid w:val="00564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ahoma0">
    <w:name w:val="Body text (2) + Tahoma"/>
    <w:aliases w:val="13 pt,Bold,Body text (2) + 15 pt,Body text (2) + 12 pt,Spacing 3 pt"/>
    <w:basedOn w:val="Bodytext2"/>
    <w:rsid w:val="00564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56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564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644F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644F7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5644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644F7"/>
    <w:pPr>
      <w:shd w:val="clear" w:color="auto" w:fill="FFFFFF"/>
      <w:spacing w:before="36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2072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</cp:revision>
  <dcterms:created xsi:type="dcterms:W3CDTF">2017-02-20T14:28:00Z</dcterms:created>
  <dcterms:modified xsi:type="dcterms:W3CDTF">2017-06-12T12:05:00Z</dcterms:modified>
</cp:coreProperties>
</file>