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3" w:rsidRDefault="002E45B3" w:rsidP="005E28C7">
      <w:pPr>
        <w:pStyle w:val="mechtex"/>
        <w:ind w:left="5040" w:firstLine="720"/>
        <w:rPr>
          <w:rFonts w:ascii="GHEA Mariam" w:hAnsi="GHEA Mariam" w:cs="Arial Armenian"/>
        </w:rPr>
      </w:pPr>
      <w:r>
        <w:rPr>
          <w:rFonts w:ascii="GHEA Mariam" w:hAnsi="GHEA Mariam" w:cs="Sylfaen"/>
          <w:lang w:val="en-US"/>
        </w:rPr>
        <w:t xml:space="preserve">  </w:t>
      </w:r>
      <w:r>
        <w:rPr>
          <w:rFonts w:ascii="GHEA Mariam" w:hAnsi="GHEA Mariam" w:cs="Sylfaen"/>
        </w:rPr>
        <w:t xml:space="preserve">   Հավելված</w:t>
      </w:r>
      <w:r>
        <w:rPr>
          <w:rFonts w:ascii="GHEA Mariam" w:hAnsi="GHEA Mariam" w:cs="Arial Armenian"/>
        </w:rPr>
        <w:t xml:space="preserve"> </w:t>
      </w:r>
    </w:p>
    <w:p w:rsidR="002E45B3" w:rsidRDefault="002E45B3" w:rsidP="005E28C7">
      <w:pPr>
        <w:pStyle w:val="mechtex"/>
        <w:ind w:left="5052" w:firstLine="708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ՀՀ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կառավարության</w:t>
      </w:r>
      <w:r>
        <w:rPr>
          <w:rFonts w:ascii="GHEA Mariam" w:hAnsi="GHEA Mariam" w:cs="Arial Armenian"/>
        </w:rPr>
        <w:t xml:space="preserve"> 2017 </w:t>
      </w:r>
      <w:r>
        <w:rPr>
          <w:rFonts w:ascii="GHEA Mariam" w:hAnsi="GHEA Mariam" w:cs="Sylfaen"/>
        </w:rPr>
        <w:t>թ</w:t>
      </w:r>
      <w:r>
        <w:rPr>
          <w:rFonts w:ascii="GHEA Mariam" w:hAnsi="GHEA Mariam" w:cs="Arial Armenian"/>
        </w:rPr>
        <w:t>.</w:t>
      </w:r>
    </w:p>
    <w:p w:rsidR="002E45B3" w:rsidRDefault="002E45B3" w:rsidP="005E28C7">
      <w:pPr>
        <w:pStyle w:val="mechtex"/>
        <w:ind w:left="576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</w:t>
      </w:r>
      <w:r>
        <w:rPr>
          <w:rFonts w:ascii="GHEA Mariam" w:hAnsi="GHEA Mariam"/>
          <w:lang w:val="en-US"/>
        </w:rPr>
        <w:t xml:space="preserve">          </w:t>
      </w:r>
      <w:r>
        <w:rPr>
          <w:rFonts w:ascii="GHEA Mariam" w:hAnsi="GHEA Mariam"/>
        </w:rPr>
        <w:t>մայիսի</w:t>
      </w:r>
      <w:r>
        <w:rPr>
          <w:rFonts w:ascii="GHEA Mariam" w:hAnsi="GHEA Mariam" w:cs="Sylfaen"/>
          <w:spacing w:val="-4"/>
          <w:lang w:val="fr-FR"/>
        </w:rPr>
        <w:t xml:space="preserve"> 11</w:t>
      </w:r>
      <w:r>
        <w:rPr>
          <w:rFonts w:ascii="GHEA Mariam" w:hAnsi="GHEA Mariam" w:cs="Arial Armenian"/>
        </w:rPr>
        <w:t>-</w:t>
      </w:r>
      <w:r>
        <w:rPr>
          <w:rFonts w:ascii="GHEA Mariam" w:hAnsi="GHEA Mariam" w:cs="Sylfaen"/>
        </w:rPr>
        <w:t>ի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նիստի</w:t>
      </w:r>
      <w:r>
        <w:rPr>
          <w:rFonts w:ascii="GHEA Mariam" w:hAnsi="GHEA Mariam" w:cs="Arial Armenian"/>
        </w:rPr>
        <w:t xml:space="preserve"> N 19  </w:t>
      </w:r>
    </w:p>
    <w:p w:rsidR="002E45B3" w:rsidRDefault="002E45B3" w:rsidP="005E28C7">
      <w:pPr>
        <w:autoSpaceDE w:val="0"/>
        <w:autoSpaceDN w:val="0"/>
        <w:adjustRightInd w:val="0"/>
        <w:ind w:left="5760"/>
        <w:rPr>
          <w:rFonts w:ascii="GHEA Grapalat" w:hAnsi="GHEA Grapalat" w:cs="Sylfaen"/>
          <w:lang w:val="pt-BR"/>
        </w:rPr>
      </w:pPr>
      <w:r>
        <w:rPr>
          <w:rFonts w:ascii="GHEA Mariam" w:hAnsi="GHEA Mariam"/>
        </w:rPr>
        <w:t xml:space="preserve">                 </w:t>
      </w:r>
      <w:r>
        <w:rPr>
          <w:rFonts w:ascii="GHEA Mariam" w:hAnsi="GHEA Mariam" w:cs="Sylfaen"/>
        </w:rPr>
        <w:t>արձանագրային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որոշման</w:t>
      </w:r>
    </w:p>
    <w:p w:rsidR="002E45B3" w:rsidRDefault="002E45B3" w:rsidP="005E28C7">
      <w:pPr>
        <w:rPr>
          <w:rFonts w:ascii="Arial" w:hAnsi="Arial" w:cs="Arial"/>
          <w:sz w:val="20"/>
        </w:rPr>
      </w:pPr>
    </w:p>
    <w:p w:rsidR="002E45B3" w:rsidRPr="005E28C7" w:rsidRDefault="002E45B3" w:rsidP="00301A66">
      <w:pPr>
        <w:spacing w:after="0" w:line="240" w:lineRule="auto"/>
        <w:jc w:val="center"/>
        <w:rPr>
          <w:rFonts w:ascii="GHEA Grapalat" w:hAnsi="GHEA Grapalat"/>
          <w:b/>
          <w:spacing w:val="100"/>
          <w:sz w:val="6"/>
          <w:szCs w:val="24"/>
          <w:lang w:val="hy-AM"/>
        </w:rPr>
      </w:pPr>
    </w:p>
    <w:p w:rsidR="002E45B3" w:rsidRPr="00D56914" w:rsidRDefault="002E45B3" w:rsidP="00301A66">
      <w:pPr>
        <w:spacing w:after="0" w:line="360" w:lineRule="auto"/>
        <w:jc w:val="center"/>
        <w:rPr>
          <w:rFonts w:ascii="GHEA Grapalat" w:hAnsi="GHEA Grapalat"/>
          <w:b/>
          <w:spacing w:val="100"/>
          <w:sz w:val="24"/>
          <w:szCs w:val="24"/>
          <w:lang w:val="hy-AM"/>
        </w:rPr>
      </w:pPr>
      <w:r w:rsidRPr="00D56914">
        <w:rPr>
          <w:rFonts w:ascii="GHEA Grapalat" w:hAnsi="GHEA Grapalat"/>
          <w:b/>
          <w:spacing w:val="100"/>
          <w:sz w:val="24"/>
          <w:szCs w:val="24"/>
          <w:lang w:val="hy-AM"/>
        </w:rPr>
        <w:t>ՀԱՇՎԵՏՎՈՒԹՅՈՒՆ</w:t>
      </w:r>
    </w:p>
    <w:p w:rsidR="002E45B3" w:rsidRPr="00D56914" w:rsidRDefault="002E45B3" w:rsidP="005E28C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56914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</w:rPr>
        <w:t xml:space="preserve">այաստանի </w:t>
      </w:r>
      <w:r w:rsidRPr="00D56914">
        <w:rPr>
          <w:rFonts w:ascii="GHEA Grapalat" w:hAnsi="GHEA Grapalat"/>
          <w:b/>
          <w:sz w:val="24"/>
          <w:szCs w:val="24"/>
          <w:lang w:val="hy-AM"/>
        </w:rPr>
        <w:t>Հ</w:t>
      </w:r>
      <w:r>
        <w:rPr>
          <w:rFonts w:ascii="GHEA Grapalat" w:hAnsi="GHEA Grapalat"/>
          <w:b/>
          <w:sz w:val="24"/>
          <w:szCs w:val="24"/>
        </w:rPr>
        <w:t>անրապետության</w:t>
      </w:r>
      <w:r w:rsidRPr="00D56914">
        <w:rPr>
          <w:rFonts w:ascii="GHEA Grapalat" w:hAnsi="GHEA Grapalat"/>
          <w:b/>
          <w:sz w:val="24"/>
          <w:szCs w:val="24"/>
          <w:lang w:val="hy-AM"/>
        </w:rPr>
        <w:t xml:space="preserve"> տնտեսական զարգացման և ներդրումների նախարարության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D56914">
        <w:rPr>
          <w:rFonts w:ascii="GHEA Grapalat" w:hAnsi="GHEA Grapalat"/>
          <w:b/>
          <w:sz w:val="24"/>
          <w:szCs w:val="24"/>
          <w:lang w:val="hy-AM"/>
        </w:rPr>
        <w:t>շուկայի վերահսկողության տեսչական մարմնի (</w:t>
      </w:r>
      <w:r w:rsidRPr="003D6176">
        <w:rPr>
          <w:rFonts w:ascii="GHEA Grapalat" w:hAnsi="GHEA Grapalat"/>
          <w:b/>
          <w:sz w:val="24"/>
          <w:szCs w:val="24"/>
          <w:lang w:val="hy-AM"/>
        </w:rPr>
        <w:t xml:space="preserve">այսուհետ՝ </w:t>
      </w:r>
      <w:r>
        <w:rPr>
          <w:rFonts w:ascii="GHEA Grapalat" w:hAnsi="GHEA Grapalat"/>
          <w:b/>
          <w:sz w:val="24"/>
          <w:szCs w:val="24"/>
        </w:rPr>
        <w:t>տ</w:t>
      </w:r>
      <w:r w:rsidRPr="00D56914">
        <w:rPr>
          <w:rFonts w:ascii="GHEA Grapalat" w:hAnsi="GHEA Grapalat"/>
          <w:b/>
          <w:sz w:val="24"/>
          <w:szCs w:val="24"/>
          <w:lang w:val="hy-AM"/>
        </w:rPr>
        <w:t>եսչական մարմին)</w:t>
      </w:r>
      <w:r>
        <w:rPr>
          <w:rFonts w:ascii="GHEA Grapalat" w:hAnsi="GHEA Grapalat"/>
          <w:b/>
          <w:sz w:val="24"/>
          <w:szCs w:val="24"/>
        </w:rPr>
        <w:t xml:space="preserve"> 2016 թվականի </w:t>
      </w:r>
      <w:r w:rsidRPr="00D56914">
        <w:rPr>
          <w:rFonts w:ascii="GHEA Grapalat" w:hAnsi="GHEA Grapalat"/>
          <w:b/>
          <w:sz w:val="24"/>
          <w:szCs w:val="24"/>
          <w:lang w:val="hy-AM"/>
        </w:rPr>
        <w:t>գործունեության վերաբերյալ</w:t>
      </w:r>
    </w:p>
    <w:p w:rsidR="002E45B3" w:rsidRPr="00D56914" w:rsidRDefault="002E45B3" w:rsidP="00301A66">
      <w:pPr>
        <w:widowControl w:val="0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2E45B3" w:rsidRPr="00F916F0" w:rsidRDefault="002E45B3" w:rsidP="00897CA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 xml:space="preserve">Տեսչական մարմնի որակի ապահովման բաժնի կողմից </w:t>
      </w:r>
      <w:r w:rsidRPr="00F916F0">
        <w:rPr>
          <w:rStyle w:val="apple-converted-space"/>
          <w:rFonts w:ascii="Calibri" w:hAnsi="Calibri" w:cs="Calibri"/>
          <w:shd w:val="clear" w:color="auto" w:fill="FFFFFF"/>
          <w:lang w:val="hy-AM"/>
        </w:rPr>
        <w:t> </w:t>
      </w:r>
      <w:r w:rsidRPr="00F916F0">
        <w:rPr>
          <w:rStyle w:val="apple-converted-space"/>
          <w:rFonts w:ascii="GHEA Grapalat" w:hAnsi="GHEA Grapalat" w:cs="Calibri"/>
          <w:shd w:val="clear" w:color="auto" w:fill="FFFFFF"/>
          <w:lang w:val="hy-AM"/>
        </w:rPr>
        <w:t xml:space="preserve">Տեսչական մարմնի </w:t>
      </w:r>
      <w:r w:rsidRPr="00F916F0">
        <w:rPr>
          <w:rFonts w:ascii="GHEA Grapalat" w:hAnsi="GHEA Grapalat"/>
          <w:shd w:val="clear" w:color="auto" w:fill="FFFFFF"/>
          <w:lang w:val="hy-AM"/>
        </w:rPr>
        <w:t>գործունեության կատարողականի գնահատում չի իրականացվել, քանի որ Տեսչական մարմնի կառավարման խորհրդի կողմից կատարողականի գնահատման ընթացակարգը հաստատվել է 2016 թվականի դեկտեմբեր ամսին, ինչի արդյունքում Տեսչական մարմնի գործունեության կատարողականի գնահատում հնարավոր կլինի իրականացնել 2017 թվականի առաջին եռամսյակից սկսած:</w:t>
      </w:r>
    </w:p>
    <w:p w:rsidR="002E45B3" w:rsidRPr="005E28C7" w:rsidRDefault="002E45B3" w:rsidP="005E28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sz w:val="14"/>
          <w:lang w:val="hy-AM"/>
        </w:rPr>
      </w:pPr>
    </w:p>
    <w:p w:rsidR="002E45B3" w:rsidRPr="00BB174B" w:rsidRDefault="002E45B3" w:rsidP="00897CA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 w:rsidRPr="00BB174B">
        <w:rPr>
          <w:rFonts w:ascii="GHEA Grapalat" w:hAnsi="GHEA Grapalat"/>
          <w:lang w:val="hy-AM"/>
        </w:rPr>
        <w:t>Տեսչական մարմնի վերահսկողության ոլորտում առկա ռիսկերի իրավիճակի բացահայտման նպատակով իրականացվել են վերլուծություններ, մասնավորապես.</w:t>
      </w:r>
    </w:p>
    <w:p w:rsidR="002E45B3" w:rsidRPr="0063626B" w:rsidRDefault="002E45B3" w:rsidP="00897CA4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BB174B">
        <w:rPr>
          <w:rFonts w:ascii="GHEA Grapalat" w:hAnsi="GHEA Grapalat"/>
          <w:sz w:val="24"/>
          <w:szCs w:val="24"/>
          <w:lang w:val="hy-AM"/>
        </w:rPr>
        <w:t>Առավել ռիսկային տնտեսավարող սուբյեկտներին բացահայտելու նպատակով ՀՀ կառավարությանն առընթեր պետական եկամուտների կոմիտեի կողմից ստացված ՀՀ տարածք ներմուծված ոչ պարենային ապրանքների վերաբերյալ տեղեկատվությունը համադրվել է Հավատարմագրման ազգային մարմնի պաշտոնական կայքում տեղադրված համապատասխանության սերտիֆիկատների և համապատասխանության հայտարարագրերի ռեեստրում զետեղված տվյալների հետ, ինչի արդյունքում պարզվել է, որ</w:t>
      </w:r>
      <w:r>
        <w:rPr>
          <w:rFonts w:ascii="GHEA Grapalat" w:hAnsi="GHEA Grapalat"/>
          <w:sz w:val="24"/>
          <w:szCs w:val="24"/>
          <w:lang w:val="hy-AM"/>
        </w:rPr>
        <w:t xml:space="preserve"> պարբերաբար և խոշոր ծավալի ներմուծում իրականացնող</w:t>
      </w:r>
      <w:r w:rsidRPr="00BB174B">
        <w:rPr>
          <w:rFonts w:ascii="GHEA Grapalat" w:hAnsi="GHEA Grapalat"/>
          <w:sz w:val="24"/>
          <w:szCs w:val="24"/>
          <w:lang w:val="hy-AM"/>
        </w:rPr>
        <w:t xml:space="preserve"> տնտեսվարող սուբյեկտնե</w:t>
      </w:r>
      <w:r>
        <w:rPr>
          <w:rFonts w:ascii="GHEA Grapalat" w:hAnsi="GHEA Grapalat"/>
          <w:sz w:val="24"/>
          <w:szCs w:val="24"/>
          <w:lang w:val="hy-AM"/>
        </w:rPr>
        <w:t>ր</w:t>
      </w:r>
      <w:r w:rsidRPr="00BB174B">
        <w:rPr>
          <w:rFonts w:ascii="GHEA Grapalat" w:hAnsi="GHEA Grapalat"/>
          <w:sz w:val="24"/>
          <w:szCs w:val="24"/>
          <w:lang w:val="hy-AM"/>
        </w:rPr>
        <w:t xml:space="preserve">ի կողմից ներմուծված ապրանքների մոտ 87.2%-ը չեն ենթարկվել համապատասխանության գնահատման </w:t>
      </w:r>
      <w:r w:rsidRPr="005B6843">
        <w:rPr>
          <w:rFonts w:ascii="GHEA Grapalat" w:hAnsi="GHEA Grapalat"/>
          <w:sz w:val="24"/>
          <w:szCs w:val="24"/>
          <w:lang w:val="hy-AM"/>
        </w:rPr>
        <w:t>(վ</w:t>
      </w:r>
      <w:r w:rsidRPr="00BB174B">
        <w:rPr>
          <w:rFonts w:ascii="GHEA Grapalat" w:hAnsi="GHEA Grapalat"/>
          <w:sz w:val="24"/>
          <w:szCs w:val="24"/>
          <w:lang w:val="hy-AM"/>
        </w:rPr>
        <w:t>երլուծությ</w:t>
      </w:r>
      <w:r w:rsidRPr="005B6843">
        <w:rPr>
          <w:rFonts w:ascii="GHEA Grapalat" w:hAnsi="GHEA Grapalat"/>
          <w:sz w:val="24"/>
          <w:szCs w:val="24"/>
          <w:lang w:val="hy-AM"/>
        </w:rPr>
        <w:t>ու</w:t>
      </w:r>
      <w:r w:rsidRPr="00BB174B">
        <w:rPr>
          <w:rFonts w:ascii="GHEA Grapalat" w:hAnsi="GHEA Grapalat"/>
          <w:sz w:val="24"/>
          <w:szCs w:val="24"/>
          <w:lang w:val="hy-AM"/>
        </w:rPr>
        <w:t>ն</w:t>
      </w:r>
      <w:r w:rsidRPr="005B6843">
        <w:rPr>
          <w:rFonts w:ascii="GHEA Grapalat" w:hAnsi="GHEA Grapalat"/>
          <w:sz w:val="24"/>
          <w:szCs w:val="24"/>
          <w:lang w:val="hy-AM"/>
        </w:rPr>
        <w:t>ների</w:t>
      </w:r>
      <w:r w:rsidRPr="00BB174B">
        <w:rPr>
          <w:rFonts w:ascii="GHEA Grapalat" w:hAnsi="GHEA Grapalat"/>
          <w:sz w:val="24"/>
          <w:szCs w:val="24"/>
          <w:lang w:val="hy-AM"/>
        </w:rPr>
        <w:t xml:space="preserve"> արդյունքները կցվում են</w:t>
      </w:r>
      <w:r w:rsidRPr="005B6843">
        <w:rPr>
          <w:rFonts w:ascii="GHEA Grapalat" w:hAnsi="GHEA Grapalat"/>
          <w:sz w:val="24"/>
          <w:szCs w:val="24"/>
          <w:lang w:val="hy-AM"/>
        </w:rPr>
        <w:t>)</w:t>
      </w:r>
      <w:r w:rsidRPr="00BB174B">
        <w:rPr>
          <w:rFonts w:ascii="GHEA Grapalat" w:hAnsi="GHEA Grapalat"/>
          <w:sz w:val="24"/>
          <w:szCs w:val="24"/>
          <w:lang w:val="hy-AM"/>
        </w:rPr>
        <w:t>:</w:t>
      </w:r>
    </w:p>
    <w:p w:rsidR="002E45B3" w:rsidRPr="00F916F0" w:rsidRDefault="002E45B3" w:rsidP="00897CA4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Տեսչական մարմնի կողմից իրականաց</w:t>
      </w:r>
      <w:r w:rsidRPr="003D6176">
        <w:rPr>
          <w:rFonts w:ascii="GHEA Grapalat" w:hAnsi="GHEA Grapalat"/>
          <w:sz w:val="24"/>
          <w:szCs w:val="24"/>
          <w:lang w:val="hy-AM"/>
        </w:rPr>
        <w:t>վ</w:t>
      </w:r>
      <w:r w:rsidRPr="00F916F0">
        <w:rPr>
          <w:rFonts w:ascii="GHEA Grapalat" w:hAnsi="GHEA Grapalat"/>
          <w:sz w:val="24"/>
          <w:szCs w:val="24"/>
          <w:lang w:val="hy-AM"/>
        </w:rPr>
        <w:t>ել են դիտարկումներ հետևյալ ոլորտներում՝</w:t>
      </w:r>
    </w:p>
    <w:p w:rsidR="002E45B3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  <w:lang w:val="hy-AM"/>
        </w:rPr>
      </w:pPr>
      <w:r w:rsidRPr="001A0525">
        <w:rPr>
          <w:rFonts w:ascii="GHEA Grapalat" w:hAnsi="GHEA Grapalat"/>
          <w:sz w:val="24"/>
          <w:szCs w:val="24"/>
          <w:lang w:val="hy-AM"/>
        </w:rPr>
        <w:t xml:space="preserve">ա. </w:t>
      </w:r>
      <w:hyperlink r:id="rId7" w:history="1">
        <w:r w:rsidRPr="001A0525">
          <w:rPr>
            <w:rFonts w:ascii="GHEA Grapalat" w:hAnsi="GHEA Grapalat"/>
            <w:sz w:val="24"/>
            <w:szCs w:val="24"/>
            <w:lang w:val="hy-AM"/>
          </w:rPr>
          <w:t>ավտոմոբիլային և դիզելային վառելիք,</w:t>
        </w:r>
      </w:hyperlink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 xml:space="preserve">բ. </w:t>
      </w:r>
      <w:hyperlink r:id="rId8" w:history="1">
        <w:r w:rsidRPr="0063626B">
          <w:rPr>
            <w:rFonts w:ascii="GHEA Grapalat" w:hAnsi="GHEA Grapalat"/>
            <w:sz w:val="24"/>
            <w:szCs w:val="24"/>
          </w:rPr>
          <w:t>խաղալիքներ</w:t>
        </w:r>
      </w:hyperlink>
      <w:r w:rsidRPr="0063626B">
        <w:rPr>
          <w:rFonts w:ascii="GHEA Grapalat" w:hAnsi="GHEA Grapalat"/>
          <w:sz w:val="24"/>
          <w:szCs w:val="24"/>
        </w:rPr>
        <w:t>,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գ. քսանյութեր, յուղեր և հատուկ հեղուկներ,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դ. օծանելիքակոսմետիկական արտադրանք,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ե. երեխաների և դեռահասների համար նախատեսված արտադրանք,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զ. սննդամթերքի հետ շփվող պոլիմերային և այդ հիմքով պլաստմասայե արտադրանք,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է</w:t>
      </w:r>
      <w:r w:rsidRPr="00897CA4">
        <w:rPr>
          <w:rFonts w:ascii="GHEA Grapalat" w:hAnsi="GHEA Grapalat"/>
          <w:sz w:val="24"/>
          <w:szCs w:val="24"/>
        </w:rPr>
        <w:t>.</w:t>
      </w:r>
      <w:r w:rsidRPr="0063626B">
        <w:rPr>
          <w:rFonts w:ascii="GHEA Grapalat" w:hAnsi="GHEA Grapalat"/>
          <w:sz w:val="24"/>
          <w:szCs w:val="24"/>
        </w:rPr>
        <w:t xml:space="preserve"> թեթև արդյունաբերություն,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ը</w:t>
      </w:r>
      <w:r w:rsidRPr="00897CA4">
        <w:rPr>
          <w:rFonts w:ascii="GHEA Grapalat" w:hAnsi="GHEA Grapalat"/>
          <w:sz w:val="24"/>
          <w:szCs w:val="24"/>
        </w:rPr>
        <w:t>.</w:t>
      </w:r>
      <w:r w:rsidRPr="0063626B">
        <w:rPr>
          <w:rFonts w:ascii="GHEA Grapalat" w:hAnsi="GHEA Grapalat"/>
          <w:sz w:val="24"/>
          <w:szCs w:val="24"/>
        </w:rPr>
        <w:t xml:space="preserve"> ռադիոսարքավորումներ և հեռահաղորդակցության վերջնակետային սարքավորումներ:</w:t>
      </w:r>
    </w:p>
    <w:p w:rsidR="002E45B3" w:rsidRPr="0063626B" w:rsidRDefault="002E45B3" w:rsidP="00ED06E7">
      <w:pPr>
        <w:widowControl w:val="0"/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r w:rsidRPr="0063626B">
        <w:rPr>
          <w:rFonts w:ascii="GHEA Grapalat" w:hAnsi="GHEA Grapalat"/>
          <w:sz w:val="24"/>
          <w:szCs w:val="24"/>
        </w:rPr>
        <w:t>թ</w:t>
      </w:r>
      <w:r w:rsidRPr="00897CA4">
        <w:rPr>
          <w:rFonts w:ascii="GHEA Grapalat" w:hAnsi="GHEA Grapalat"/>
          <w:sz w:val="24"/>
          <w:szCs w:val="24"/>
        </w:rPr>
        <w:t>.</w:t>
      </w:r>
      <w:r w:rsidRPr="0063626B">
        <w:rPr>
          <w:rFonts w:ascii="GHEA Grapalat" w:hAnsi="GHEA Grapalat"/>
          <w:sz w:val="24"/>
          <w:szCs w:val="24"/>
        </w:rPr>
        <w:t xml:space="preserve"> ավտոգազալիցքավորման  ճնշակայաններ (ԱԳԼՃԿ),</w:t>
      </w:r>
    </w:p>
    <w:p w:rsidR="002E45B3" w:rsidRPr="00F916F0" w:rsidRDefault="002E45B3" w:rsidP="0006169F">
      <w:pPr>
        <w:pStyle w:val="ListParagraph"/>
        <w:widowControl w:val="0"/>
        <w:spacing w:after="0" w:line="240" w:lineRule="auto"/>
        <w:ind w:left="708" w:firstLine="708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Դիտարկումները իրականացվել են բացառապես տեսազննման միջոցով: Դիտարկումների արդյունքում &lt;&lt;ա&gt;&gt;-ից &lt;&lt;ը</w:t>
      </w:r>
      <w:r>
        <w:rPr>
          <w:rFonts w:ascii="GHEA Grapalat" w:hAnsi="GHEA Grapalat"/>
          <w:sz w:val="24"/>
          <w:szCs w:val="24"/>
          <w:lang w:val="hy-AM"/>
        </w:rPr>
        <w:t>&gt;&gt;-</w:t>
      </w:r>
      <w:r w:rsidRPr="00F916F0">
        <w:rPr>
          <w:rFonts w:ascii="GHEA Grapalat" w:hAnsi="GHEA Grapalat"/>
          <w:sz w:val="24"/>
          <w:szCs w:val="24"/>
          <w:lang w:val="hy-AM"/>
        </w:rPr>
        <w:t xml:space="preserve">ում նշված ոլորտներում հայտնաբերվել են մակնշմանը ներկայացվող պահանջների </w:t>
      </w:r>
      <w:r w:rsidRPr="000E2DAC">
        <w:rPr>
          <w:rFonts w:ascii="GHEA Grapalat" w:hAnsi="GHEA Grapalat"/>
          <w:sz w:val="24"/>
          <w:szCs w:val="24"/>
          <w:lang w:val="hy-AM"/>
        </w:rPr>
        <w:t>անհամապատասխանություններ</w:t>
      </w:r>
      <w:r w:rsidRPr="00F916F0">
        <w:rPr>
          <w:rFonts w:ascii="GHEA Grapalat" w:hAnsi="GHEA Grapalat"/>
          <w:sz w:val="24"/>
          <w:szCs w:val="24"/>
          <w:lang w:val="hy-AM"/>
        </w:rPr>
        <w:t>, իսկ &lt;&lt;թ&gt;&gt;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5B6843">
        <w:rPr>
          <w:rFonts w:ascii="GHEA Grapalat" w:hAnsi="GHEA Grapalat"/>
          <w:sz w:val="24"/>
          <w:szCs w:val="24"/>
          <w:lang w:val="hy-AM"/>
        </w:rPr>
        <w:t>ում</w:t>
      </w:r>
      <w:r w:rsidRPr="00F916F0">
        <w:rPr>
          <w:rFonts w:ascii="GHEA Grapalat" w:hAnsi="GHEA Grapalat"/>
          <w:sz w:val="24"/>
          <w:szCs w:val="24"/>
          <w:lang w:val="hy-AM"/>
        </w:rPr>
        <w:t xml:space="preserve"> նշված ոլորտում լիցքավորման ընթացքում բնական գազի կոմպրեսացված վառելիքի ճնշումը գերազանց</w:t>
      </w:r>
      <w:r w:rsidRPr="000E2DAC">
        <w:rPr>
          <w:rFonts w:ascii="GHEA Grapalat" w:hAnsi="GHEA Grapalat"/>
          <w:sz w:val="24"/>
          <w:szCs w:val="24"/>
          <w:lang w:val="hy-AM"/>
        </w:rPr>
        <w:t>ում</w:t>
      </w:r>
      <w:r w:rsidRPr="005B6843"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F916F0">
        <w:rPr>
          <w:rFonts w:ascii="GHEA Grapalat" w:hAnsi="GHEA Grapalat"/>
          <w:sz w:val="24"/>
          <w:szCs w:val="24"/>
          <w:lang w:val="hy-AM"/>
        </w:rPr>
        <w:t xml:space="preserve"> 19.6 ՄՊա-ը, բացակայ</w:t>
      </w:r>
      <w:r w:rsidRPr="000E2DAC">
        <w:rPr>
          <w:rFonts w:ascii="GHEA Grapalat" w:hAnsi="GHEA Grapalat"/>
          <w:sz w:val="24"/>
          <w:szCs w:val="24"/>
          <w:lang w:val="hy-AM"/>
        </w:rPr>
        <w:t>ում</w:t>
      </w:r>
      <w:r w:rsidRPr="00F916F0">
        <w:rPr>
          <w:rFonts w:ascii="GHEA Grapalat" w:hAnsi="GHEA Grapalat"/>
          <w:sz w:val="24"/>
          <w:szCs w:val="24"/>
          <w:lang w:val="hy-AM"/>
        </w:rPr>
        <w:t xml:space="preserve"> են անվտանգության հրահանգները, ինչպես նաև գազի վաճառքը կիլոգրամի փոխարեն վաճառվ</w:t>
      </w:r>
      <w:r w:rsidRPr="000E2DAC">
        <w:rPr>
          <w:rFonts w:ascii="GHEA Grapalat" w:hAnsi="GHEA Grapalat"/>
          <w:sz w:val="24"/>
          <w:szCs w:val="24"/>
          <w:lang w:val="hy-AM"/>
        </w:rPr>
        <w:t>ում</w:t>
      </w:r>
      <w:r w:rsidRPr="00F916F0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F916F0">
        <w:rPr>
          <w:rFonts w:ascii="Arial Unicode" w:hAnsi="Arial Unicode"/>
          <w:color w:val="000000"/>
          <w:sz w:val="24"/>
          <w:szCs w:val="12"/>
          <w:shd w:val="clear" w:color="auto" w:fill="FFFFFF"/>
          <w:lang w:val="hy-AM"/>
        </w:rPr>
        <w:t>մ</w:t>
      </w:r>
      <w:r w:rsidRPr="00F916F0">
        <w:rPr>
          <w:rFonts w:ascii="Arial Unicode" w:hAnsi="Arial Unicode"/>
          <w:color w:val="000000"/>
          <w:sz w:val="27"/>
          <w:szCs w:val="15"/>
          <w:shd w:val="clear" w:color="auto" w:fill="FFFFFF"/>
          <w:vertAlign w:val="superscript"/>
          <w:lang w:val="hy-AM"/>
        </w:rPr>
        <w:t>3</w:t>
      </w:r>
      <w:r w:rsidRPr="00F916F0">
        <w:rPr>
          <w:rFonts w:ascii="GHEA Grapalat" w:hAnsi="GHEA Grapalat"/>
          <w:sz w:val="24"/>
          <w:szCs w:val="24"/>
          <w:lang w:val="hy-AM"/>
        </w:rPr>
        <w:t>-ով:</w:t>
      </w:r>
    </w:p>
    <w:p w:rsidR="002E45B3" w:rsidRPr="00F916F0" w:rsidRDefault="002E45B3" w:rsidP="0006169F">
      <w:pPr>
        <w:pStyle w:val="ListParagraph"/>
        <w:widowControl w:val="0"/>
        <w:spacing w:after="0" w:line="240" w:lineRule="auto"/>
        <w:ind w:left="708" w:firstLine="708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E45B3" w:rsidRPr="00F916F0" w:rsidRDefault="002E45B3" w:rsidP="00ED06E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>Տեսչական մարմնի &lt;&lt;Թեժ գիծ&gt;&gt; հեռախոսահամարին ստացվել են թվով 218 հեռախոսազանգ, որից 141 հեռախոսազանգերը վերաբերվել են գնված ոչ պարենային ապրանքների ետ վերադարձնելուն կամ փոխանակմանը: Նշված 141 հեռախոսազանգերին տրվել են պարզաբանումներ &lt;&lt;Սպառողների իրավունքների պաշտպանության մասին&gt;&gt;, &lt;&lt;Տեսչական մարմինների մասին&gt;&gt; ՀՀ oրենքների, ՀՀ կառավարության 2002 թվականի հունվարի 30-ի թիվ 77 որոշման և ՀՀ կառավարության 2015 թվականի սեպտեմբերի 10-ի թիվ 1063</w:t>
      </w:r>
      <w:r w:rsidRPr="00E4008D">
        <w:rPr>
          <w:rFonts w:ascii="GHEA Grapalat" w:hAnsi="GHEA Grapalat"/>
          <w:lang w:val="hy-AM"/>
        </w:rPr>
        <w:t>-Ն</w:t>
      </w:r>
      <w:r w:rsidRPr="00F916F0">
        <w:rPr>
          <w:rFonts w:ascii="GHEA Grapalat" w:hAnsi="GHEA Grapalat"/>
          <w:lang w:val="hy-AM"/>
        </w:rPr>
        <w:t xml:space="preserve"> որոշմամբ հաստատված Հայաստանի Հանրապետության տնտեսական զարգացման և ներդրումների նախարարության շուկայի վերահսկողության տեսչական մարմնի կանոնադրության, ինչպես նաև Տեսչական մարմնի գործունեության ոլորտում հանրությունից ստացվող բողոքների ընդունման կարգի շրջանակներում:</w:t>
      </w:r>
    </w:p>
    <w:p w:rsidR="002E45B3" w:rsidRPr="00ED06E7" w:rsidRDefault="002E45B3" w:rsidP="00ED06E7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D06E7">
        <w:rPr>
          <w:rFonts w:ascii="GHEA Grapalat" w:hAnsi="GHEA Grapalat"/>
          <w:sz w:val="24"/>
          <w:szCs w:val="24"/>
          <w:lang w:val="hy-AM"/>
        </w:rPr>
        <w:t>Թվով 24 հեռախոսազանգեր վերաբերվել են տեխնիկական կանոնակարգերի դրույթների պարզաբանմանը՝ մակնշմանը, համապատասխանության գնահատման ընթացակարգերին:</w:t>
      </w:r>
    </w:p>
    <w:p w:rsidR="002E45B3" w:rsidRPr="00ED06E7" w:rsidRDefault="002E45B3" w:rsidP="00ED06E7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D06E7">
        <w:rPr>
          <w:rFonts w:ascii="GHEA Grapalat" w:hAnsi="GHEA Grapalat"/>
          <w:sz w:val="24"/>
          <w:szCs w:val="24"/>
          <w:lang w:val="hy-AM"/>
        </w:rPr>
        <w:t>Թվով 53 հեռախոսազանգեր Տեսչական մարմնին վերապահված լիազորությունների շրջանակներից դուրս էին (պարենային ապրանքներ, համերգային տոմսեր, վաճառողների կոպիտ վերաբերմունք, գների վերաբերյալ և այլն):</w:t>
      </w:r>
    </w:p>
    <w:p w:rsidR="002E45B3" w:rsidRPr="00ED06E7" w:rsidRDefault="002E45B3" w:rsidP="00ED06E7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D06E7">
        <w:rPr>
          <w:rFonts w:ascii="GHEA Grapalat" w:hAnsi="GHEA Grapalat"/>
          <w:sz w:val="24"/>
          <w:szCs w:val="24"/>
          <w:lang w:val="hy-AM"/>
        </w:rPr>
        <w:t>Որոշ դեպքերում, քաղաքացիների խնդիրներին լուծում տալու նպատակով ուղորդվել են այլ կառույցներ:</w:t>
      </w:r>
    </w:p>
    <w:p w:rsidR="002E45B3" w:rsidRPr="00F916F0" w:rsidRDefault="002E45B3" w:rsidP="00AE51B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hy-AM"/>
        </w:rPr>
      </w:pPr>
    </w:p>
    <w:p w:rsidR="002E45B3" w:rsidRPr="00F916F0" w:rsidRDefault="002E45B3" w:rsidP="005B684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>Տեսչական մարմնի վերահսկման ոլորտում իրականացվել են հետևյալ կանխարգելիչ գործողությունները, մասնավորապես կազմակերպվել են՝</w:t>
      </w:r>
    </w:p>
    <w:p w:rsidR="002E45B3" w:rsidRPr="00ED06E7" w:rsidRDefault="002E45B3" w:rsidP="00ED06E7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D06E7">
        <w:rPr>
          <w:rFonts w:ascii="GHEA Grapalat" w:hAnsi="GHEA Grapalat"/>
          <w:sz w:val="24"/>
          <w:szCs w:val="24"/>
          <w:lang w:val="hy-AM"/>
        </w:rPr>
        <w:t xml:space="preserve">ոլորտային հանդիպումներ տնտեսվարող սուբյեկտների հետ (լվացող և մաքրող միջոցներ, </w:t>
      </w:r>
      <w:hyperlink r:id="rId9" w:history="1">
        <w:r w:rsidRPr="00ED06E7">
          <w:rPr>
            <w:rFonts w:ascii="GHEA Grapalat" w:hAnsi="GHEA Grapalat"/>
            <w:sz w:val="24"/>
            <w:szCs w:val="24"/>
            <w:lang w:val="hy-AM"/>
          </w:rPr>
          <w:t>ավտոմոբիլային և դիզելային վառելիք,</w:t>
        </w:r>
      </w:hyperlink>
      <w:r w:rsidRPr="00ED06E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ED06E7">
          <w:rPr>
            <w:rFonts w:ascii="GHEA Grapalat" w:hAnsi="GHEA Grapalat"/>
            <w:sz w:val="24"/>
            <w:szCs w:val="24"/>
            <w:lang w:val="hy-AM"/>
          </w:rPr>
          <w:t>խաղալիքներ</w:t>
        </w:r>
      </w:hyperlink>
      <w:r w:rsidRPr="00ED06E7">
        <w:rPr>
          <w:rFonts w:ascii="GHEA Grapalat" w:hAnsi="GHEA Grapalat"/>
          <w:sz w:val="24"/>
          <w:szCs w:val="24"/>
          <w:lang w:val="hy-AM"/>
        </w:rPr>
        <w:t>, քսանյութեր, յուղեր և հատուկ հեղուկներ, օծանելիքակոսմետիկական արտադրանք, երեխաների և դեռահասների համար նախատեսված արտադրանք, թեթև արդյունաբերություն,  ավտոգազալիցքավորման ճնշակայաններ (ԱԳԼՃԿ)):</w:t>
      </w:r>
    </w:p>
    <w:p w:rsidR="002E45B3" w:rsidRPr="00ED06E7" w:rsidRDefault="002E45B3" w:rsidP="00ED06E7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D06E7">
        <w:rPr>
          <w:rFonts w:ascii="GHEA Grapalat" w:hAnsi="GHEA Grapalat"/>
          <w:sz w:val="24"/>
          <w:szCs w:val="24"/>
          <w:lang w:val="hy-AM"/>
        </w:rPr>
        <w:t>հանդիպումներ տնտեսվարող սուբյեկտների հետ Սյունիքի մարզի Կապան և Գորիս քաղաքներում,</w:t>
      </w:r>
    </w:p>
    <w:p w:rsidR="002E45B3" w:rsidRPr="00ED06E7" w:rsidRDefault="002E45B3" w:rsidP="00ED06E7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ED06E7">
        <w:rPr>
          <w:rFonts w:ascii="GHEA Grapalat" w:hAnsi="GHEA Grapalat"/>
          <w:sz w:val="24"/>
          <w:szCs w:val="24"/>
          <w:lang w:val="hy-AM"/>
        </w:rPr>
        <w:t>հանդիպումներ առևտրի կազմակերպման իրականացման վայրի կազմակերպիչների հետ:</w:t>
      </w:r>
    </w:p>
    <w:p w:rsidR="002E45B3" w:rsidRPr="00F916F0" w:rsidRDefault="002E45B3" w:rsidP="005B6843">
      <w:pPr>
        <w:pStyle w:val="NormalWeb"/>
        <w:shd w:val="clear" w:color="auto" w:fill="FFFFFF"/>
        <w:spacing w:before="0" w:beforeAutospacing="0" w:after="0" w:afterAutospacing="0"/>
        <w:ind w:left="426" w:firstLine="708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>Հանդիպումների նպատակն է եղել համապատասխան ոլորտներում Հայաստանի Հանրապետության օրենքների և դրանց համապատասխան ընդունված իրավական ակտերի դրույթների կիրառման վերաբերյալ բացատրական աշխատանքների իրականացումը, տնտեսավարող սուբյեկտներին իրենց իրավունքների և պարտականությունների մասին տեղեկացումը:</w:t>
      </w:r>
    </w:p>
    <w:p w:rsidR="002E45B3" w:rsidRPr="00F916F0" w:rsidRDefault="002E45B3" w:rsidP="005B6843">
      <w:pPr>
        <w:pStyle w:val="NormalWeb"/>
        <w:shd w:val="clear" w:color="auto" w:fill="FFFFFF"/>
        <w:spacing w:before="0" w:beforeAutospacing="0" w:after="0" w:afterAutospacing="0"/>
        <w:ind w:left="426" w:firstLine="708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>Հանդիպումներից բացի իրազեկման աշխատանքներ են տարվել նաև ԶԼՄ-ների միջոցով:</w:t>
      </w:r>
    </w:p>
    <w:p w:rsidR="002E45B3" w:rsidRPr="00F916F0" w:rsidRDefault="002E45B3" w:rsidP="00354C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2E45B3" w:rsidRPr="004642A0" w:rsidRDefault="002E45B3" w:rsidP="004642A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HEA Grapalat" w:hAnsi="GHEA Grapalat"/>
          <w:lang w:val="hy-AM"/>
        </w:rPr>
      </w:pPr>
      <w:r w:rsidRPr="004642A0">
        <w:rPr>
          <w:rFonts w:ascii="GHEA Grapalat" w:hAnsi="GHEA Grapalat"/>
          <w:lang w:val="hy-AM"/>
        </w:rPr>
        <w:t>Տեսչական մարմինը ստեղծվել է ՀՀ կառավարության 2015 թվականի սեպտեմբերի 10-ի N</w:t>
      </w:r>
      <w:r w:rsidRPr="002D2BA6">
        <w:rPr>
          <w:rFonts w:ascii="GHEA Grapalat" w:hAnsi="GHEA Grapalat"/>
          <w:lang w:val="hy-AM"/>
        </w:rPr>
        <w:t xml:space="preserve"> </w:t>
      </w:r>
      <w:r w:rsidRPr="004642A0">
        <w:rPr>
          <w:rFonts w:ascii="GHEA Grapalat" w:hAnsi="GHEA Grapalat"/>
          <w:lang w:val="hy-AM"/>
        </w:rPr>
        <w:t>1063-Ն որոշմամբ</w:t>
      </w:r>
      <w:r w:rsidRPr="002D2BA6">
        <w:rPr>
          <w:rFonts w:ascii="GHEA Grapalat" w:hAnsi="GHEA Grapalat"/>
          <w:lang w:val="hy-AM"/>
        </w:rPr>
        <w:t>, մասամբ հաստիքներով համալրվել է 2016 թվականի մայիս ամսից:</w:t>
      </w:r>
      <w:r w:rsidRPr="004642A0">
        <w:rPr>
          <w:rFonts w:ascii="GHEA Grapalat" w:hAnsi="GHEA Grapalat"/>
          <w:lang w:val="hy-AM"/>
        </w:rPr>
        <w:t xml:space="preserve"> 2016 թվականին ուժի մեջ են մտել Մաքսային միության տեխնիկական կանոնակարգերը</w:t>
      </w:r>
      <w:r w:rsidRPr="002D2BA6">
        <w:rPr>
          <w:rFonts w:ascii="GHEA Grapalat" w:hAnsi="GHEA Grapalat"/>
          <w:lang w:val="hy-AM"/>
        </w:rPr>
        <w:t>: Վերը նշված հանգամանքներով</w:t>
      </w:r>
      <w:r w:rsidRPr="003207D2">
        <w:rPr>
          <w:rFonts w:ascii="GHEA Grapalat" w:hAnsi="GHEA Grapalat"/>
          <w:lang w:val="hy-AM"/>
        </w:rPr>
        <w:t xml:space="preserve"> </w:t>
      </w:r>
      <w:r w:rsidRPr="002D2BA6">
        <w:rPr>
          <w:rFonts w:ascii="GHEA Grapalat" w:hAnsi="GHEA Grapalat"/>
          <w:lang w:val="hy-AM"/>
        </w:rPr>
        <w:t>պայմանավորված</w:t>
      </w:r>
      <w:r w:rsidRPr="003207D2">
        <w:rPr>
          <w:rFonts w:ascii="GHEA Grapalat" w:hAnsi="GHEA Grapalat"/>
          <w:lang w:val="hy-AM"/>
        </w:rPr>
        <w:t xml:space="preserve"> </w:t>
      </w:r>
      <w:r w:rsidRPr="004642A0">
        <w:rPr>
          <w:rFonts w:ascii="GHEA Grapalat" w:hAnsi="GHEA Grapalat"/>
          <w:lang w:val="hy-AM"/>
        </w:rPr>
        <w:t>Տեսչական մարմնի կողմից</w:t>
      </w:r>
      <w:r w:rsidRPr="003207D2">
        <w:rPr>
          <w:rFonts w:ascii="GHEA Grapalat" w:hAnsi="GHEA Grapalat"/>
          <w:lang w:val="hy-AM"/>
        </w:rPr>
        <w:t xml:space="preserve"> ստուգումներ չեն իրականացվել:</w:t>
      </w:r>
      <w:r w:rsidRPr="002D2BA6">
        <w:rPr>
          <w:rFonts w:ascii="GHEA Grapalat" w:hAnsi="GHEA Grapalat"/>
          <w:lang w:val="hy-AM"/>
        </w:rPr>
        <w:t xml:space="preserve"> </w:t>
      </w:r>
      <w:r w:rsidRPr="003207D2">
        <w:rPr>
          <w:rFonts w:ascii="GHEA Grapalat" w:hAnsi="GHEA Grapalat"/>
          <w:lang w:val="hy-AM"/>
        </w:rPr>
        <w:t>Ա</w:t>
      </w:r>
      <w:r w:rsidRPr="002D2BA6">
        <w:rPr>
          <w:rFonts w:ascii="GHEA Grapalat" w:hAnsi="GHEA Grapalat"/>
          <w:lang w:val="hy-AM"/>
        </w:rPr>
        <w:t>նհրաժեշտություն է առաջացել մշակել Տեսչական մարմնի վերահսկողության ներքո գտնվող համապատասխան  ոլորտների ստուգաթերթերը:</w:t>
      </w:r>
      <w:r w:rsidRPr="004642A0">
        <w:rPr>
          <w:rFonts w:ascii="GHEA Grapalat" w:hAnsi="GHEA Grapalat"/>
          <w:lang w:val="hy-AM"/>
        </w:rPr>
        <w:t xml:space="preserve"> Տեսչական մարմնի կողմից մշակված թվով 32 ստուգաթերթերից 5-ը </w:t>
      </w:r>
      <w:r w:rsidRPr="003207D2">
        <w:rPr>
          <w:rFonts w:ascii="GHEA Grapalat" w:hAnsi="GHEA Grapalat"/>
          <w:lang w:val="hy-AM"/>
        </w:rPr>
        <w:t xml:space="preserve">հաստատվել </w:t>
      </w:r>
      <w:r w:rsidRPr="004642A0">
        <w:rPr>
          <w:rFonts w:ascii="GHEA Grapalat" w:hAnsi="GHEA Grapalat"/>
          <w:lang w:val="hy-AM"/>
        </w:rPr>
        <w:t>են ՀՀ կառավարության 2016 թվականի դեկտեմբերի 29-ի N 1387-Ն որոշմամբ, իսկ մնացած 27 ստուգաթերթերը ներկայացվ</w:t>
      </w:r>
      <w:r w:rsidRPr="00D25DA3">
        <w:rPr>
          <w:rFonts w:ascii="GHEA Grapalat" w:hAnsi="GHEA Grapalat"/>
          <w:lang w:val="hy-AM"/>
        </w:rPr>
        <w:t>ել</w:t>
      </w:r>
      <w:r w:rsidRPr="004642A0">
        <w:rPr>
          <w:rFonts w:ascii="GHEA Grapalat" w:hAnsi="GHEA Grapalat"/>
          <w:lang w:val="hy-AM"/>
        </w:rPr>
        <w:t xml:space="preserve"> </w:t>
      </w:r>
      <w:r w:rsidRPr="00D25DA3">
        <w:rPr>
          <w:rFonts w:ascii="GHEA Grapalat" w:hAnsi="GHEA Grapalat"/>
          <w:lang w:val="hy-AM"/>
        </w:rPr>
        <w:t>են</w:t>
      </w:r>
      <w:r w:rsidRPr="004642A0">
        <w:rPr>
          <w:rFonts w:ascii="GHEA Grapalat" w:hAnsi="GHEA Grapalat"/>
          <w:lang w:val="hy-AM"/>
        </w:rPr>
        <w:t xml:space="preserve"> ՀՀ կառավարություն:</w:t>
      </w:r>
    </w:p>
    <w:p w:rsidR="002E45B3" w:rsidRPr="00F916F0" w:rsidRDefault="002E45B3" w:rsidP="005B6843">
      <w:pPr>
        <w:pStyle w:val="NormalWeb"/>
        <w:shd w:val="clear" w:color="auto" w:fill="FFFFFF"/>
        <w:spacing w:before="0" w:beforeAutospacing="0" w:after="0" w:afterAutospacing="0"/>
        <w:ind w:left="66"/>
        <w:jc w:val="both"/>
        <w:rPr>
          <w:rFonts w:ascii="GHEA Grapalat" w:hAnsi="GHEA Grapalat"/>
          <w:lang w:val="hy-AM"/>
        </w:rPr>
      </w:pPr>
    </w:p>
    <w:p w:rsidR="002E45B3" w:rsidRPr="00F916F0" w:rsidRDefault="002E45B3" w:rsidP="005B684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>Տեսչական մարմնի կողմից իրականացված վերլուծությունների արդյունքում վերհանվել են տնտեսավարող սուբյեկտների կողմից առավել հաճախ կատարվող օրենսդրության խախտումները, դրանք են՝ առանց մակնշման և համապատասխանության գնահատման ենթարկման ոչ պարենային ապրանքների իրացումը ՀՀ տարածքում:</w:t>
      </w:r>
    </w:p>
    <w:p w:rsidR="002E45B3" w:rsidRPr="00305EED" w:rsidRDefault="002E45B3" w:rsidP="00CF1F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2E45B3" w:rsidRPr="00F916F0" w:rsidRDefault="002E45B3" w:rsidP="005B684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HEA Grapalat" w:hAnsi="GHEA Grapalat"/>
          <w:lang w:val="hy-AM"/>
        </w:rPr>
      </w:pPr>
      <w:r w:rsidRPr="00F916F0">
        <w:rPr>
          <w:rFonts w:ascii="GHEA Grapalat" w:hAnsi="GHEA Grapalat"/>
          <w:lang w:val="hy-AM"/>
        </w:rPr>
        <w:t xml:space="preserve">2016 թվականին Տեսչական մարմինը հնարավորություն չի ունեցել լիարժեք իրականացնել իրեն վերապահաված գործառույթները (ստուգումները), քանի որ Տեսչական մարմնի գործունեության ոլորտը կարգավորող օրենսդրական դաշտը հստակեցված չէ: Բացակայել են համապատասխան ոլորտների ստուգաթերթերը, ինչպես նաև անհրաժեշտություն է առաջացել </w:t>
      </w:r>
      <w:r w:rsidRPr="0029565B">
        <w:rPr>
          <w:rFonts w:ascii="GHEA Grapalat" w:hAnsi="GHEA Grapalat"/>
          <w:lang w:val="hy-AM"/>
        </w:rPr>
        <w:t xml:space="preserve">փոփոխություններ </w:t>
      </w:r>
      <w:r w:rsidRPr="00F916F0">
        <w:rPr>
          <w:rFonts w:ascii="GHEA Grapalat" w:hAnsi="GHEA Grapalat"/>
          <w:lang w:val="hy-AM"/>
        </w:rPr>
        <w:t>և</w:t>
      </w:r>
      <w:r w:rsidRPr="0029565B">
        <w:rPr>
          <w:rFonts w:ascii="GHEA Grapalat" w:hAnsi="GHEA Grapalat"/>
          <w:lang w:val="hy-AM"/>
        </w:rPr>
        <w:t xml:space="preserve"> լրացումներ կատարել</w:t>
      </w:r>
      <w:r w:rsidRPr="00F916F0">
        <w:rPr>
          <w:rFonts w:ascii="GHEA Grapalat" w:hAnsi="GHEA Grapalat"/>
          <w:lang w:val="hy-AM"/>
        </w:rPr>
        <w:t xml:space="preserve"> Տեսչական մարմնի գործունեությունը կարգավորող հետևյալ իրավական ակտերում՝</w:t>
      </w:r>
      <w:r w:rsidRPr="0029565B">
        <w:rPr>
          <w:rFonts w:ascii="GHEA Grapalat" w:hAnsi="GHEA Grapalat"/>
          <w:lang w:val="hy-AM"/>
        </w:rPr>
        <w:t xml:space="preserve"> «Տեխնիկական կանոնակարգման մասին»</w:t>
      </w:r>
      <w:r w:rsidRPr="00F916F0">
        <w:rPr>
          <w:rFonts w:ascii="GHEA Grapalat" w:hAnsi="GHEA Grapalat"/>
          <w:lang w:val="hy-AM"/>
        </w:rPr>
        <w:t>,</w:t>
      </w:r>
      <w:r w:rsidRPr="0029565B">
        <w:rPr>
          <w:rFonts w:ascii="GHEA Grapalat" w:hAnsi="GHEA Grapalat"/>
          <w:lang w:val="hy-AM"/>
        </w:rPr>
        <w:t xml:space="preserve"> «Չափումների միասնականության ապահովման մասին»</w:t>
      </w:r>
      <w:r w:rsidRPr="00F916F0">
        <w:rPr>
          <w:rFonts w:ascii="GHEA Grapalat" w:hAnsi="GHEA Grapalat"/>
          <w:lang w:val="hy-AM"/>
        </w:rPr>
        <w:t xml:space="preserve"> ՀՀ օրենքներում, </w:t>
      </w:r>
      <w:r w:rsidRPr="0029565B">
        <w:rPr>
          <w:rFonts w:ascii="GHEA Grapalat" w:hAnsi="GHEA Grapalat"/>
          <w:lang w:val="hy-AM"/>
        </w:rPr>
        <w:t>Վարչական իրավախախտումների վերաբերյալ ՀՀ օրենսգրքում</w:t>
      </w:r>
      <w:r w:rsidRPr="00F916F0">
        <w:rPr>
          <w:rFonts w:ascii="GHEA Grapalat" w:hAnsi="GHEA Grapalat"/>
          <w:lang w:val="hy-AM"/>
        </w:rPr>
        <w:t>: Տեսչական մարմնի կողմից վերահսկման ենթակա թվով 32 ոլորտներից 5-ի ստուգաթերթերը 2016 թվականի դեկտեմբերի 29-ի N 1387-Ն որոշմամբ ՀՀ կառավարության կողմից հաստատվել  են, իսկ 27-ը ներկայացված է ՀՀ կառավարություն: Իսկ վերը նշված օրենքների փաթեթը ՀՀ Ազգային ժողովի 2017 թվականի մարտի 2-ին ընդունվել են:</w:t>
      </w:r>
    </w:p>
    <w:p w:rsidR="002E45B3" w:rsidRPr="00F916F0" w:rsidRDefault="002E45B3" w:rsidP="00AE51B2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hy-AM"/>
        </w:rPr>
      </w:pPr>
    </w:p>
    <w:p w:rsidR="002E45B3" w:rsidRPr="005A5CA8" w:rsidRDefault="002E45B3" w:rsidP="00ED06E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HEA Grapalat" w:hAnsi="GHEA Grapalat"/>
          <w:lang w:val="hy-AM"/>
        </w:rPr>
      </w:pPr>
      <w:r w:rsidRPr="005A5CA8">
        <w:rPr>
          <w:rFonts w:ascii="GHEA Grapalat" w:hAnsi="GHEA Grapalat"/>
          <w:lang w:val="hy-AM"/>
        </w:rPr>
        <w:t>Տեսչական մարմինն իրականացրել է 2016 թվականի գործունեության ծրագրով նախատեսված գործառույթները, մասնավորապես</w:t>
      </w:r>
      <w:r>
        <w:rPr>
          <w:rFonts w:ascii="GHEA Grapalat" w:hAnsi="GHEA Grapalat"/>
          <w:lang w:val="hy-AM"/>
        </w:rPr>
        <w:t xml:space="preserve"> </w:t>
      </w:r>
      <w:r w:rsidRPr="005A5CA8">
        <w:rPr>
          <w:rFonts w:ascii="GHEA Grapalat" w:hAnsi="GHEA Grapalat"/>
          <w:lang w:val="hy-AM"/>
        </w:rPr>
        <w:t>մշակվել է`</w:t>
      </w:r>
    </w:p>
    <w:p w:rsidR="002E45B3" w:rsidRPr="00F916F0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կայք-էջը,</w:t>
      </w:r>
    </w:p>
    <w:p w:rsidR="002E45B3" w:rsidRPr="00F916F0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ստուգումների իրականացման ուղեցույցը,</w:t>
      </w:r>
    </w:p>
    <w:p w:rsidR="002E45B3" w:rsidRPr="00F916F0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քաղաքացիների և տնտեսավարող սուբյեկտների կողմից ստացվող բողոքների ընդունման ընդհանուր կարգը,</w:t>
      </w:r>
    </w:p>
    <w:p w:rsidR="002E45B3" w:rsidRPr="00F916F0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տնտեսական զարգացման և ներդրումների նա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խա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րարության շուկայի վերահսկողության տեսչական մարմնի կողմից իրակա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նաց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վող ոչ պարենային արտադրանքների և օրենսդրական չափագիտական վերա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հս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կո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ղության ոլորտի ռիսկի վրա հիմնված ստուգումների մեթո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դա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բանությունը և ռիս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կայնու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թյո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ւնը որոշող չափանիշների ընդհանուր նկարագիրը հաս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տատելու մասին» ՀՀ կառավարության որոշման նախագիծը, ինչը 2016 թվա</w:t>
      </w:r>
      <w:r w:rsidRPr="00F916F0">
        <w:rPr>
          <w:rFonts w:ascii="GHEA Grapalat" w:hAnsi="GHEA Grapalat"/>
          <w:sz w:val="24"/>
          <w:szCs w:val="24"/>
          <w:lang w:val="hy-AM"/>
        </w:rPr>
        <w:softHyphen/>
        <w:t>կանի դեկտեմբերի 8-ի թիվ 1263-Ն որոշմամբ հաստատվել  է ՀՀ կառավարության կողմից,</w:t>
      </w:r>
    </w:p>
    <w:p w:rsidR="002E45B3" w:rsidRPr="00F916F0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2017թ. ստուգումների տարեկան ծրագիրը, ինչը հաստատվել է Տեսչական մարմնի կառավարման խորհրդի կողմից,</w:t>
      </w:r>
    </w:p>
    <w:p w:rsidR="002E45B3" w:rsidRPr="00F916F0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կառուցվածքային ստորաբաժանումների կանոնադրությունները,</w:t>
      </w:r>
    </w:p>
    <w:p w:rsidR="002E45B3" w:rsidRPr="00AB6131" w:rsidRDefault="002E45B3" w:rsidP="005A5CA8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709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916F0">
        <w:rPr>
          <w:rFonts w:ascii="GHEA Grapalat" w:hAnsi="GHEA Grapalat"/>
          <w:sz w:val="24"/>
          <w:szCs w:val="24"/>
          <w:lang w:val="hy-AM"/>
        </w:rPr>
        <w:t>քաղաքացիական ծառայողների պաշտոնների անձնագրերը և հաստիքացուցակը:</w:t>
      </w:r>
    </w:p>
    <w:p w:rsidR="002E45B3" w:rsidRDefault="002E45B3">
      <w:pPr>
        <w:rPr>
          <w:rFonts w:ascii="GHEA Grapalat" w:hAnsi="GHEA Grapalat"/>
          <w:b/>
          <w:i/>
          <w:sz w:val="16"/>
          <w:szCs w:val="16"/>
          <w:lang w:val="hy-AM"/>
        </w:rPr>
      </w:pPr>
      <w:r>
        <w:rPr>
          <w:rFonts w:ascii="GHEA Grapalat" w:hAnsi="GHEA Grapalat"/>
          <w:b/>
          <w:i/>
          <w:sz w:val="16"/>
          <w:szCs w:val="16"/>
          <w:lang w:val="hy-AM"/>
        </w:rPr>
        <w:br w:type="page"/>
      </w:r>
    </w:p>
    <w:p w:rsidR="002E45B3" w:rsidRPr="005B6843" w:rsidRDefault="002E45B3" w:rsidP="005B6843">
      <w:pPr>
        <w:spacing w:after="0" w:line="360" w:lineRule="auto"/>
        <w:jc w:val="center"/>
        <w:rPr>
          <w:rFonts w:ascii="GHEA Grapalat" w:hAnsi="GHEA Grapalat"/>
          <w:b/>
          <w:szCs w:val="26"/>
          <w:lang w:val="hy-AM"/>
        </w:rPr>
      </w:pPr>
      <w:r w:rsidRPr="005B6843">
        <w:rPr>
          <w:rFonts w:ascii="GHEA Grapalat" w:hAnsi="GHEA Grapalat"/>
          <w:b/>
          <w:szCs w:val="26"/>
          <w:lang w:val="hy-AM"/>
        </w:rPr>
        <w:t>Վերլուծություն</w:t>
      </w:r>
    </w:p>
    <w:p w:rsidR="002E45B3" w:rsidRPr="005B6843" w:rsidRDefault="002E45B3" w:rsidP="005B6843">
      <w:pPr>
        <w:spacing w:after="0" w:line="360" w:lineRule="auto"/>
        <w:jc w:val="center"/>
        <w:rPr>
          <w:rFonts w:ascii="GHEA Grapalat" w:hAnsi="GHEA Grapalat"/>
          <w:b/>
          <w:szCs w:val="26"/>
          <w:lang w:val="hy-AM"/>
        </w:rPr>
      </w:pPr>
      <w:r w:rsidRPr="005B6843">
        <w:rPr>
          <w:rFonts w:ascii="GHEA Grapalat" w:hAnsi="GHEA Grapalat"/>
          <w:b/>
          <w:szCs w:val="26"/>
          <w:lang w:val="hy-AM"/>
        </w:rPr>
        <w:t>2016 թվականի ընթացքում ՀՀ տարածք ներմուծված ոչ պարենային ապրանքների վերաբերյալ</w:t>
      </w:r>
    </w:p>
    <w:tbl>
      <w:tblPr>
        <w:tblW w:w="10435" w:type="dxa"/>
        <w:jc w:val="center"/>
        <w:tblInd w:w="100" w:type="dxa"/>
        <w:tblLook w:val="00A0"/>
      </w:tblPr>
      <w:tblGrid>
        <w:gridCol w:w="561"/>
        <w:gridCol w:w="2848"/>
        <w:gridCol w:w="1657"/>
        <w:gridCol w:w="1460"/>
        <w:gridCol w:w="2494"/>
        <w:gridCol w:w="1415"/>
      </w:tblGrid>
      <w:tr w:rsidR="002E45B3" w:rsidRPr="008A4428" w:rsidTr="005B6843">
        <w:trPr>
          <w:trHeight w:val="26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Տեխնիկական կանոնակարգի անվանումը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Տնտեսավարող սուբյեկտների քանակը՝</w:t>
            </w:r>
          </w:p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ըստ ներմուծումների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Պարբերաբար և մեծ ծավալի ներմուծումներ իրականացնող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4-րդ և 5-րդ սյունյակների փոխհարաբե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-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ր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ակց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ությունը </w:t>
            </w:r>
          </w:p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(%)</w:t>
            </w:r>
          </w:p>
        </w:tc>
      </w:tr>
      <w:tr w:rsidR="002E45B3" w:rsidRPr="008A4428" w:rsidTr="005B6843">
        <w:trPr>
          <w:trHeight w:val="24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</w:tr>
      <w:tr w:rsidR="002E45B3" w:rsidRPr="008A4428" w:rsidTr="005B6843">
        <w:trPr>
          <w:trHeight w:val="25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Տ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նտեսվարող սուբյեկտներ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ի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անակը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Համապատասխանության սերտիֆիկատների կամ 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հայտարարագր</w:t>
            </w: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երի քանակը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2E45B3" w:rsidRPr="008A4428" w:rsidTr="005B6843">
        <w:trPr>
          <w:trHeight w:val="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94BE7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2E45B3" w:rsidRPr="008A4428" w:rsidTr="005B6843">
        <w:trPr>
          <w:trHeight w:val="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Քսայուղեր, յուղեր և հատուկ հեղուկներ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7.9%</w:t>
            </w:r>
          </w:p>
        </w:tc>
      </w:tr>
      <w:tr w:rsidR="002E45B3" w:rsidRPr="008A4428" w:rsidTr="005B6843">
        <w:trPr>
          <w:trHeight w:val="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Ավտոմոբիլային և,դիզելային վառելիք</w:t>
            </w:r>
          </w:p>
        </w:tc>
        <w:tc>
          <w:tcPr>
            <w:tcW w:w="16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75.0%</w:t>
            </w:r>
          </w:p>
        </w:tc>
      </w:tr>
      <w:tr w:rsidR="002E45B3" w:rsidRPr="008A4428" w:rsidTr="005B6843">
        <w:trPr>
          <w:trHeight w:val="3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Խաղալիքներ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6.8%</w:t>
            </w:r>
          </w:p>
        </w:tc>
      </w:tr>
      <w:tr w:rsidR="002E45B3" w:rsidRPr="008A4428" w:rsidTr="005B6843">
        <w:trPr>
          <w:trHeight w:val="63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Օծանելիքակոսմետիկական արտադրանք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27.4%</w:t>
            </w:r>
          </w:p>
        </w:tc>
      </w:tr>
      <w:tr w:rsidR="002E45B3" w:rsidRPr="008A4428" w:rsidTr="005B6843">
        <w:trPr>
          <w:trHeight w:val="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Ցածրավոլտ սարքավորումներ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7.8%</w:t>
            </w:r>
          </w:p>
        </w:tc>
      </w:tr>
      <w:tr w:rsidR="002E45B3" w:rsidRPr="008A4428" w:rsidTr="005B6843">
        <w:trPr>
          <w:trHeight w:val="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Գազանման վառելիքով աշխատող սարքավորումներ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E45B3" w:rsidRPr="008A4428" w:rsidTr="005B6843">
        <w:trPr>
          <w:trHeight w:val="82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Փաթեթավորման անվտանգություն, սննդամթերքի հետ շփվող պոլիմերային և այդ հիմքով պլաստմասսայե արտադրանք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2E45B3" w:rsidRPr="008A4428" w:rsidTr="005B6843">
        <w:trPr>
          <w:trHeight w:val="3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Խեցեգործական ամանեղեն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E45B3" w:rsidRPr="008A4428" w:rsidTr="005B6843">
        <w:trPr>
          <w:trHeight w:val="47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Վերգետնյա տրանսպորտային միջոցներում օգտագործվող անվտանգ ապակիներ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E45B3" w:rsidRPr="008A4428" w:rsidTr="005B6843">
        <w:trPr>
          <w:trHeight w:val="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Թեթև արդյունաբերության արտադրանք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E45B3" w:rsidRPr="008A4428" w:rsidTr="005B6843">
        <w:trPr>
          <w:trHeight w:val="36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Սինթետիկ հիմքով լաքեր և ներկեր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18.6%</w:t>
            </w:r>
          </w:p>
        </w:tc>
      </w:tr>
      <w:tr w:rsidR="002E45B3" w:rsidRPr="008A4428" w:rsidTr="005B6843">
        <w:trPr>
          <w:trHeight w:val="39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Ռադիոսարքավորումներ և հեռահաղորդակցության վերջնակետային սարքավորումներ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4.4%</w:t>
            </w:r>
          </w:p>
        </w:tc>
      </w:tr>
      <w:tr w:rsidR="002E45B3" w:rsidRPr="008A4428" w:rsidTr="005B6843">
        <w:trPr>
          <w:trHeight w:val="5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Հանքային պարարտանյութեր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4.2%</w:t>
            </w:r>
          </w:p>
        </w:tc>
      </w:tr>
      <w:tr w:rsidR="002E45B3" w:rsidRPr="008A4428" w:rsidTr="005B6843">
        <w:trPr>
          <w:trHeight w:val="29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Մակերևութաակտիվ միջոցներ և մակերևութաակտիվ նյութեր պարունակող</w:t>
            </w:r>
            <w:r w:rsidRPr="008A442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լվացող ու մաքրող միջոցներ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31.6%</w:t>
            </w:r>
          </w:p>
        </w:tc>
      </w:tr>
      <w:tr w:rsidR="002E45B3" w:rsidRPr="008A4428" w:rsidTr="005B6843">
        <w:trPr>
          <w:trHeight w:val="42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Կենցաղային և սանիտարահիգիենիկ նշանակության թղթե և քիմիական թելքերից ապրանքներ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25.0%</w:t>
            </w:r>
          </w:p>
        </w:tc>
      </w:tr>
      <w:tr w:rsidR="002E45B3" w:rsidRPr="008A4428" w:rsidTr="005B6843">
        <w:trPr>
          <w:trHeight w:val="311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Օդաճնշական դողեր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30.4%</w:t>
            </w:r>
          </w:p>
        </w:tc>
      </w:tr>
      <w:tr w:rsidR="002E45B3" w:rsidRPr="008A4428" w:rsidTr="005B6843">
        <w:trPr>
          <w:trHeight w:val="27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Ցեմենտ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2E45B3" w:rsidRPr="008A4428" w:rsidTr="005B6843">
        <w:trPr>
          <w:trHeight w:val="154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B17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Բետոնի ամրանավորման համար օգտագործվող պողպատե արտադրանք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8C17B4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10.7%</w:t>
            </w:r>
          </w:p>
        </w:tc>
      </w:tr>
      <w:tr w:rsidR="002E45B3" w:rsidRPr="008A4428" w:rsidTr="005B6843">
        <w:trPr>
          <w:trHeight w:val="52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5B3" w:rsidRPr="008A4428" w:rsidRDefault="002E45B3" w:rsidP="00B001EF">
            <w:pPr>
              <w:spacing w:after="0" w:line="240" w:lineRule="auto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Ընդամենը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2996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5B3" w:rsidRPr="008A4428" w:rsidRDefault="002E45B3" w:rsidP="00B001EF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8A4428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12.8%</w:t>
            </w:r>
          </w:p>
        </w:tc>
      </w:tr>
    </w:tbl>
    <w:p w:rsidR="002E45B3" w:rsidRPr="00BB174B" w:rsidRDefault="002E45B3" w:rsidP="00BB174B">
      <w:pPr>
        <w:widowControl w:val="0"/>
        <w:shd w:val="clear" w:color="auto" w:fill="FFFFFF"/>
        <w:spacing w:after="0" w:line="240" w:lineRule="auto"/>
        <w:jc w:val="both"/>
        <w:rPr>
          <w:rFonts w:ascii="GHEA Grapalat" w:hAnsi="GHEA Grapalat"/>
          <w:sz w:val="2"/>
          <w:szCs w:val="24"/>
        </w:rPr>
      </w:pPr>
    </w:p>
    <w:sectPr w:rsidR="002E45B3" w:rsidRPr="00BB174B" w:rsidSect="00301A66">
      <w:footerReference w:type="default" r:id="rId11"/>
      <w:pgSz w:w="11909" w:h="16834" w:code="9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B3" w:rsidRDefault="002E45B3">
      <w:r>
        <w:separator/>
      </w:r>
    </w:p>
  </w:endnote>
  <w:endnote w:type="continuationSeparator" w:id="0">
    <w:p w:rsidR="002E45B3" w:rsidRDefault="002E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B3" w:rsidRPr="00DD53B6" w:rsidRDefault="002E45B3" w:rsidP="00DD53B6">
    <w:pPr>
      <w:pStyle w:val="Footer"/>
    </w:pPr>
    <w:r w:rsidRPr="00DD53B6">
      <w:t>ardz.voroshum-MQ-037.1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B3" w:rsidRDefault="002E45B3">
      <w:r>
        <w:separator/>
      </w:r>
    </w:p>
  </w:footnote>
  <w:footnote w:type="continuationSeparator" w:id="0">
    <w:p w:rsidR="002E45B3" w:rsidRDefault="002E4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2E4"/>
    <w:multiLevelType w:val="hybridMultilevel"/>
    <w:tmpl w:val="CB1EC25C"/>
    <w:lvl w:ilvl="0" w:tplc="FE489BF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BF47A7"/>
    <w:multiLevelType w:val="hybridMultilevel"/>
    <w:tmpl w:val="1C74EB18"/>
    <w:lvl w:ilvl="0" w:tplc="3A589B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283358"/>
    <w:multiLevelType w:val="multilevel"/>
    <w:tmpl w:val="5B6E1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F4E6867"/>
    <w:multiLevelType w:val="hybridMultilevel"/>
    <w:tmpl w:val="7F42713A"/>
    <w:lvl w:ilvl="0" w:tplc="292CEE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DD5112"/>
    <w:multiLevelType w:val="hybridMultilevel"/>
    <w:tmpl w:val="ABBE1AE0"/>
    <w:lvl w:ilvl="0" w:tplc="FE489BF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46562"/>
    <w:multiLevelType w:val="multilevel"/>
    <w:tmpl w:val="371A495A"/>
    <w:lvl w:ilvl="0">
      <w:start w:val="1"/>
      <w:numFmt w:val="decimal"/>
      <w:lvlText w:val="%1."/>
      <w:lvlJc w:val="left"/>
      <w:pPr>
        <w:ind w:left="1134" w:hanging="360"/>
      </w:pPr>
      <w:rPr>
        <w:rFonts w:ascii="GHEA Grapalat" w:eastAsia="Times New Roman" w:hAnsi="GHEA Grapalat" w:cs="Times New Roman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2160"/>
      </w:pPr>
      <w:rPr>
        <w:rFonts w:cs="Times New Roman" w:hint="default"/>
      </w:rPr>
    </w:lvl>
  </w:abstractNum>
  <w:abstractNum w:abstractNumId="6">
    <w:nsid w:val="177A5551"/>
    <w:multiLevelType w:val="hybridMultilevel"/>
    <w:tmpl w:val="8B3C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4B39"/>
    <w:multiLevelType w:val="hybridMultilevel"/>
    <w:tmpl w:val="1C74EB18"/>
    <w:lvl w:ilvl="0" w:tplc="3A589B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B44529"/>
    <w:multiLevelType w:val="hybridMultilevel"/>
    <w:tmpl w:val="DECCB6F6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B8C4297"/>
    <w:multiLevelType w:val="hybridMultilevel"/>
    <w:tmpl w:val="D01C76C8"/>
    <w:lvl w:ilvl="0" w:tplc="B8FC5510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3F5D13F7"/>
    <w:multiLevelType w:val="hybridMultilevel"/>
    <w:tmpl w:val="3BCA0DF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4ECF218A"/>
    <w:multiLevelType w:val="hybridMultilevel"/>
    <w:tmpl w:val="2B0CCC3E"/>
    <w:lvl w:ilvl="0" w:tplc="FE489BF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547C51CB"/>
    <w:multiLevelType w:val="hybridMultilevel"/>
    <w:tmpl w:val="4E1A9B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861ABD"/>
    <w:multiLevelType w:val="hybridMultilevel"/>
    <w:tmpl w:val="1C74EB18"/>
    <w:lvl w:ilvl="0" w:tplc="3A589B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D076F98"/>
    <w:multiLevelType w:val="hybridMultilevel"/>
    <w:tmpl w:val="CB1EC25C"/>
    <w:lvl w:ilvl="0" w:tplc="FE489BF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63272B"/>
    <w:multiLevelType w:val="hybridMultilevel"/>
    <w:tmpl w:val="D2CC6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3F604D0"/>
    <w:multiLevelType w:val="multilevel"/>
    <w:tmpl w:val="5B6E1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7DAF7CCA"/>
    <w:multiLevelType w:val="hybridMultilevel"/>
    <w:tmpl w:val="3500D2D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E6A7FCF"/>
    <w:multiLevelType w:val="hybridMultilevel"/>
    <w:tmpl w:val="1C74EB18"/>
    <w:lvl w:ilvl="0" w:tplc="3A589B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2"/>
  </w:num>
  <w:num w:numId="11">
    <w:abstractNumId w:val="6"/>
  </w:num>
  <w:num w:numId="12">
    <w:abstractNumId w:val="8"/>
  </w:num>
  <w:num w:numId="13">
    <w:abstractNumId w:val="17"/>
  </w:num>
  <w:num w:numId="14">
    <w:abstractNumId w:val="5"/>
  </w:num>
  <w:num w:numId="15">
    <w:abstractNumId w:val="16"/>
  </w:num>
  <w:num w:numId="16">
    <w:abstractNumId w:val="7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24"/>
    <w:rsid w:val="00006BD7"/>
    <w:rsid w:val="00011ED3"/>
    <w:rsid w:val="00013616"/>
    <w:rsid w:val="0006169F"/>
    <w:rsid w:val="00070503"/>
    <w:rsid w:val="00091C19"/>
    <w:rsid w:val="000B5626"/>
    <w:rsid w:val="000E2DAC"/>
    <w:rsid w:val="000E2FCE"/>
    <w:rsid w:val="0016460A"/>
    <w:rsid w:val="001735F1"/>
    <w:rsid w:val="001A0525"/>
    <w:rsid w:val="001A1829"/>
    <w:rsid w:val="001B4CA7"/>
    <w:rsid w:val="001D4BAC"/>
    <w:rsid w:val="001D519B"/>
    <w:rsid w:val="00215433"/>
    <w:rsid w:val="002322CF"/>
    <w:rsid w:val="0024180F"/>
    <w:rsid w:val="0026613C"/>
    <w:rsid w:val="0029565B"/>
    <w:rsid w:val="002A540E"/>
    <w:rsid w:val="002D2BA6"/>
    <w:rsid w:val="002D6776"/>
    <w:rsid w:val="002E45B3"/>
    <w:rsid w:val="002F04E0"/>
    <w:rsid w:val="00301A66"/>
    <w:rsid w:val="00305EED"/>
    <w:rsid w:val="003207D2"/>
    <w:rsid w:val="003337EF"/>
    <w:rsid w:val="00354C29"/>
    <w:rsid w:val="00355AF7"/>
    <w:rsid w:val="00395E5C"/>
    <w:rsid w:val="003C5624"/>
    <w:rsid w:val="003D6176"/>
    <w:rsid w:val="00404D1A"/>
    <w:rsid w:val="00407C00"/>
    <w:rsid w:val="00446623"/>
    <w:rsid w:val="00453E13"/>
    <w:rsid w:val="0045756F"/>
    <w:rsid w:val="004642A0"/>
    <w:rsid w:val="004D483A"/>
    <w:rsid w:val="005410E7"/>
    <w:rsid w:val="0057301B"/>
    <w:rsid w:val="005A5CA8"/>
    <w:rsid w:val="005B6843"/>
    <w:rsid w:val="005C3E6F"/>
    <w:rsid w:val="005E28C7"/>
    <w:rsid w:val="005F083B"/>
    <w:rsid w:val="00625453"/>
    <w:rsid w:val="0063626B"/>
    <w:rsid w:val="006677DE"/>
    <w:rsid w:val="00683138"/>
    <w:rsid w:val="006A3CFC"/>
    <w:rsid w:val="006E78D1"/>
    <w:rsid w:val="00744811"/>
    <w:rsid w:val="00766D65"/>
    <w:rsid w:val="00793715"/>
    <w:rsid w:val="007B6895"/>
    <w:rsid w:val="007E2AB1"/>
    <w:rsid w:val="00800693"/>
    <w:rsid w:val="00830422"/>
    <w:rsid w:val="00830E3F"/>
    <w:rsid w:val="0083282A"/>
    <w:rsid w:val="0085474E"/>
    <w:rsid w:val="00897CA4"/>
    <w:rsid w:val="008A3E43"/>
    <w:rsid w:val="008A4428"/>
    <w:rsid w:val="008C17B4"/>
    <w:rsid w:val="00922467"/>
    <w:rsid w:val="00924DBE"/>
    <w:rsid w:val="009726E7"/>
    <w:rsid w:val="009E0BB9"/>
    <w:rsid w:val="00A328B8"/>
    <w:rsid w:val="00A4464C"/>
    <w:rsid w:val="00A44AE8"/>
    <w:rsid w:val="00A6585D"/>
    <w:rsid w:val="00AB4981"/>
    <w:rsid w:val="00AB6131"/>
    <w:rsid w:val="00AD3960"/>
    <w:rsid w:val="00AE51B2"/>
    <w:rsid w:val="00B001EF"/>
    <w:rsid w:val="00B03CAF"/>
    <w:rsid w:val="00B14D49"/>
    <w:rsid w:val="00B65B11"/>
    <w:rsid w:val="00B66BFA"/>
    <w:rsid w:val="00B721CA"/>
    <w:rsid w:val="00B94BE7"/>
    <w:rsid w:val="00BB174B"/>
    <w:rsid w:val="00BD34C6"/>
    <w:rsid w:val="00BD499F"/>
    <w:rsid w:val="00C21000"/>
    <w:rsid w:val="00C45680"/>
    <w:rsid w:val="00C5322E"/>
    <w:rsid w:val="00C665F3"/>
    <w:rsid w:val="00CA3CBF"/>
    <w:rsid w:val="00CC0C4E"/>
    <w:rsid w:val="00CE4877"/>
    <w:rsid w:val="00CF1FD9"/>
    <w:rsid w:val="00D25DA3"/>
    <w:rsid w:val="00D42438"/>
    <w:rsid w:val="00D56914"/>
    <w:rsid w:val="00D57E19"/>
    <w:rsid w:val="00D9621F"/>
    <w:rsid w:val="00DB6439"/>
    <w:rsid w:val="00DD53B6"/>
    <w:rsid w:val="00E026CC"/>
    <w:rsid w:val="00E218FC"/>
    <w:rsid w:val="00E2222A"/>
    <w:rsid w:val="00E246B7"/>
    <w:rsid w:val="00E4008D"/>
    <w:rsid w:val="00E87593"/>
    <w:rsid w:val="00EB7D06"/>
    <w:rsid w:val="00ED06E7"/>
    <w:rsid w:val="00EE5E6F"/>
    <w:rsid w:val="00EF39C7"/>
    <w:rsid w:val="00F07F89"/>
    <w:rsid w:val="00F916F0"/>
    <w:rsid w:val="00FB14E7"/>
    <w:rsid w:val="00FB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624"/>
    <w:pPr>
      <w:ind w:left="720"/>
      <w:contextualSpacing/>
    </w:pPr>
  </w:style>
  <w:style w:type="paragraph" w:styleId="NormalWeb">
    <w:name w:val="Normal (Web)"/>
    <w:basedOn w:val="Normal"/>
    <w:uiPriority w:val="99"/>
    <w:rsid w:val="003C5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D9621F"/>
    <w:rPr>
      <w:rFonts w:cs="Times New Roman"/>
    </w:rPr>
  </w:style>
  <w:style w:type="paragraph" w:customStyle="1" w:styleId="norm">
    <w:name w:val="norm"/>
    <w:basedOn w:val="Normal"/>
    <w:uiPriority w:val="99"/>
    <w:rsid w:val="002D67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2D6776"/>
    <w:rPr>
      <w:rFonts w:ascii="Arial Armenian" w:hAnsi="Arial Armenian" w:cs="Times New Roman"/>
      <w:sz w:val="20"/>
      <w:szCs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2D6776"/>
    <w:pPr>
      <w:spacing w:after="0" w:line="240" w:lineRule="auto"/>
      <w:jc w:val="center"/>
    </w:pPr>
    <w:rPr>
      <w:rFonts w:ascii="Arial Armenian" w:eastAsia="Times New Roman" w:hAnsi="Arial Armenian"/>
      <w:szCs w:val="20"/>
      <w:lang w:val="ru-RU" w:eastAsia="ru-RU"/>
    </w:rPr>
  </w:style>
  <w:style w:type="character" w:styleId="Strong">
    <w:name w:val="Strong"/>
    <w:basedOn w:val="DefaultParagraphFont"/>
    <w:uiPriority w:val="99"/>
    <w:qFormat/>
    <w:rsid w:val="00C5322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956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53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190"/>
  </w:style>
  <w:style w:type="paragraph" w:styleId="Footer">
    <w:name w:val="footer"/>
    <w:basedOn w:val="Normal"/>
    <w:link w:val="FooterChar"/>
    <w:uiPriority w:val="99"/>
    <w:rsid w:val="00DD53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onomy.am/arm/90/tex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economy.am/arm/120/tex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ineconomy.am/arm/90/tex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conomy.am/arm/120/tex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1323</Words>
  <Characters>7544</Characters>
  <Application>Microsoft Office Outlook</Application>
  <DocSecurity>0</DocSecurity>
  <Lines>0</Lines>
  <Paragraphs>0</Paragraphs>
  <ScaleCrop>false</ScaleCrop>
  <Company>Vorak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subject/>
  <dc:creator>User</dc:creator>
  <cp:keywords/>
  <dc:description/>
  <cp:lastModifiedBy>ElmiraM</cp:lastModifiedBy>
  <cp:revision>4</cp:revision>
  <cp:lastPrinted>2017-03-04T08:43:00Z</cp:lastPrinted>
  <dcterms:created xsi:type="dcterms:W3CDTF">2017-05-10T08:27:00Z</dcterms:created>
  <dcterms:modified xsi:type="dcterms:W3CDTF">2017-05-10T08:29:00Z</dcterms:modified>
</cp:coreProperties>
</file>