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93C4E">
        <w:rPr>
          <w:rFonts w:ascii="Sylfaen" w:hAnsi="Sylfaen"/>
          <w:sz w:val="24"/>
          <w:szCs w:val="24"/>
        </w:rPr>
        <w:t>УТВЕРЖДЕНО</w:t>
      </w: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Решением Коллегии Евразийской экономической комиссии от 28 сентября 2015 г. № 124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</w:p>
    <w:p w:rsidR="00030DCB" w:rsidRPr="00A93C4E" w:rsidRDefault="00A93C4E" w:rsidP="00A93C4E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A93C4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030DCB" w:rsidRPr="00A93C4E" w:rsidRDefault="00A93C4E" w:rsidP="00A93C4E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об организационной структуре механизма, обеспечивающего выполнение плана мероприятий по реализации Основных направлений развития механизма «единого окна» в системе регулирования внешнеэкономической деятельности</w:t>
      </w:r>
    </w:p>
    <w:p w:rsidR="00A93C4E" w:rsidRPr="00A93C4E" w:rsidRDefault="00A93C4E" w:rsidP="00A93C4E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3440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Общие положения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3440"/>
        <w:rPr>
          <w:rFonts w:ascii="Sylfaen" w:hAnsi="Sylfaen"/>
          <w:sz w:val="24"/>
          <w:szCs w:val="24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Настоящее Положение разработано во исполнение пункта 6.1 раздела XII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 19 (далее - план мероприятий), и пункта 6.1 детализированного плана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Совета Евразийской экономической комиссии от 4 февраля 2015 г. №4.</w:t>
      </w: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Основной целью создания механизма, обеспечивающего выполнение плана мероприятий (далее - механизм управления), является обеспечение согласованности действий государственных органов и организаций государств - членов Евразийского экономического союза (далее соответственно - государства-члены, Союз), регулирующих внешнеэкономическую деятельность, бизнес- сообщества и участников внешнеэкономической деятельности государств-членов в целях развития национальных механизмов «единого окна».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  <w:lang w:val="en-US"/>
        </w:rPr>
      </w:pP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left="2440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Описание механизма управления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2440"/>
        <w:rPr>
          <w:rFonts w:ascii="Sylfaen" w:hAnsi="Sylfaen"/>
          <w:sz w:val="24"/>
          <w:szCs w:val="24"/>
          <w:lang w:val="en-US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Механизм управления представляет собой единую систему, состоящую из наднационального и национальных сегментов, обеспечивающих выполнение плана мероприятий.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В соответствии с разделом XI плана мероприятий структура наднационального сегмента механизма управления включает в себя: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Совет Евразийской экономической комиссии (далее - Комиссия);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lastRenderedPageBreak/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Коллегию Комиссии;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рабочую группу по реализации плана мероприятий (далее - рабочая группа);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экспертные группы.</w:t>
      </w: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Структуры национальных сегментов механизма управления, а также полномочия и функции элементов таких структур устанавливаются законодательством государств-членов.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left="3500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Рабочая группа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3500"/>
        <w:rPr>
          <w:rFonts w:ascii="Sylfaen" w:hAnsi="Sylfaen"/>
          <w:sz w:val="24"/>
          <w:szCs w:val="24"/>
          <w:lang w:val="en-US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Рабочая группа в пределах своих полномочий выполняет следующие задачи: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подготовка проектов актов органов Союза, направленных на реализацию Основных направлений развития механизма «единого окна» в системе регулирования внешнеэкономической деятельности, одобренных Решением Высшего Евразийского экономического совета от 29 мая 2014 г. № 68 (далее - Основные направления), и плана мероприятий;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организация выполнения плана мероприятий;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мониторинга выполнения плана мероприятий;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организация разработки проектов детализированных планов на очередной год по выполнению плана мероприятий (далее - ежегодные детализированные планы).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Рабочая группа в своей деятельности руководствуется международными договорами и актами, составляющими право Союза, настоящим Положением (с учетом рекомендаций органов и специализированных учреждений Организации Объединенных Наций по созданию механизма «единого окна», а также государственных программ государств-членов по развитию внешнеэкономической деятельности).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Рабочая группа состоит из координационного совета рабочей группы и тематических блоков рабочей группы (далее - тематические блоки).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Состав рабочей группы утверждается Комиссией.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 состав рабочей группы включаются представители Комиссии, государственных органов и организаций государств-членов, регулирующих внешнеэкономическую деятельность, а также бизнес- сообщества государств-членов.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В состав координационного совета рабочей группы включаются: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руководитель рабочей группы;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по 1 представителю от каждого государства-члена на уровне руководителя либо заместителя руководителя государственного органа исполнительной власти государства-члена, ответственного за развитие механизма «единого окна» в этом </w:t>
      </w:r>
      <w:r w:rsidRPr="00A93C4E">
        <w:rPr>
          <w:rFonts w:ascii="Sylfaen" w:hAnsi="Sylfaen"/>
          <w:sz w:val="24"/>
          <w:szCs w:val="24"/>
        </w:rPr>
        <w:lastRenderedPageBreak/>
        <w:t>государстве;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руководители тематических блоков.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В состав тематических блоков включаются: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от государств-членов: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должностные лица государственных органов на уровне руководителей либо заместителей руководителей структурных подразделений этих органов или их уполномоченных организаций, деятельность которых непосредственно связана со сферой функционирования соответствующего тематического блока;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представители бизнес-сообщества;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от Комиссии - должностные лица и сотрудники департаментов Комиссии, сфера деятельности которых связана с функционированием соответствующего тематического блока.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Порядок деятельности рабочей группы определяется регламентом рабочей группы.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Регламент рабочей группы утверждается руководителем рабочей группы.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Заседания рабочей группы могут проводиться как в очном режиме, так и в режиме видеоконференции: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 полном составе;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 составе координационного совета;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 составе отдельных тематических блоков.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Заседания рабочей группы в полном составе проводятся 2 раза в год. Заседания рабочей группы в ином составе проводятся по мере необходимости.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Заседания рабочей группы проводятся, как правило, в помещениях Комиссии.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Заседания могут проводиться в любом из государств-членов по решению рабочей группы, принимаемому на основе предложений членов рабочей группы. В этом случае принимающий уполномоченный орган государства-члена обеспечивает все необходимые условия для организации и проведения заседаний рабочей группы.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Расходы, связанные с участием в деятельности рабочей группы должностных лиц и сотрудников Комиссии, а также представителей государственных органов и организаций государств-членов, несут направляющие их Комиссия и государственные органы (организации) соответственно.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Расходы, связанные с участием в деятельности рабочей группы представителей научных и образовательных учреждений, общественных организаций, бизнес-сообщества государств-членов и независимых экспертов, указанные лица несут самостоятельно.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Руководитель рабочей группы: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lastRenderedPageBreak/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 деятельностью рабочей группы и организует выполнение возложенных на рабочую группу задач;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возглавляет координационный совет рабочей группы;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утверждает повестку дня заседания рабочей группы, за исключением заседаний, проводимых в составе отдельных тематических блоков;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председательствует на заседаниях рабочей группы, за исключением заседаний, проводимых в составе отдельных тематических блоков;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подписывает протоколы заседаний рабочей группы, за исключением заседаний, проводимых в составе отдельных тематических блоков;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определяет дату, время, место и формат проведения заседания рабочей группы, за исключением заседаний, проводимых в составе отдельных тематических блоков.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Руководитель рабочей группы имеет право: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запрашивать у органов государственной власти государств- членов информацию по вопросам, связанным с выполнением плана мероприятий;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распределять работу между членами рабочей группы, а также между тематическими блоками.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Координационный совет рабочей группы: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разрабатывает предложения по определению стратегии осуществления деятельности по выполнению плана мероприятий;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координирует работу тематических блоков;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рассматривает итоги работы тематических блоков;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обеспечивает согласованность действий по выполнению плана мероприятий в государствах-членах;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д) осуществляет контроль за подготовкой ежегодного детализированного плана и при необходимости готовит предложения по внесению изменений в план мероприятий;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е) рассматривает вопросы, касающиеся целесообразности привлечения Комиссией сторонних организаций для выполнения работ и оказания услуг по развитию механизма «единого окна» в рамках реализации плана мероприятий.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Члены координационного совета рабочей группы, являющиеся представителями государств-членов, организуют и координируют деятельность по выполнению плана мероприятий в своих государствах с учетом договоренностей, достигнутых в рамках работы рабочей группы.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Член координационного совета рабочей группы, являющийся представителем государства-члена, представляет согласованную позицию, выработанную координирующим (совещательным) органом своего государства.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lastRenderedPageBreak/>
        <w:t>20.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Член координационного совета рабочей группы, являющийся представителем государства-члена, имеет право в случае необходимости привлекать для участия в заседаниях координационного совета рабочей группы одного или нескольких представителей своего государства.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Тематические блоки осуществляют деятельность в соответствии с перечнем работ согласно приложению по следующим направлениям: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таможенное (по вопросам электронной таможни);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финансовое и налоговое (по вопросам оплаты и платежей, электронной коммерции);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регулятивное (по вопросам оборота разрешительных документов);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транспортное (по вопросам транспорта и логистики);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информационное (по вопросам информационных технологий).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Предложения по внесению изменений в указанный перечень работ рассматриваются рабочей группой и принимаются Коллегией Комиссии.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Для выполнения плана мероприятий и работ, указанных в перечне, предусмотренном приложением к настоящему Положению, могут создаваться экспертные группы.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В состав экспертных групп по направлениям деятельности тематических блоков включаются представители департаментов Комиссии, уполномоченных государственных органов и организаций, а также бизнес-сообщества государств-членов.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При необходимости к работе экспертной группы могут привлекаться представители научных организаций и иные независимые эксперты.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Руководитель тематического блока является заместителем руководителя рабочей группы.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Руководитель тематического блока: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 деятельностью тематического блока и организует выполнение возложенных на тематический блок задач;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представляет предложения по формированию проекта ежегодного детализированного плана по соответствующему направлению;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представляет итоги работы тематического блока за отчетный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год;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создает экспертные группы по согласованию с руководителем рабочей группы;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осуществляет контроль работы экспертных групп по соответствующему направлению;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подписывает протоколы заседаний рабочей группы, проводимых в составе </w:t>
      </w:r>
      <w:r w:rsidRPr="00A93C4E">
        <w:rPr>
          <w:rFonts w:ascii="Sylfaen" w:hAnsi="Sylfaen"/>
          <w:sz w:val="24"/>
          <w:szCs w:val="24"/>
        </w:rPr>
        <w:lastRenderedPageBreak/>
        <w:t>соответствующего тематического блока;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утверждает повестку дня, дату, время и место заседания, а также председательствует на заседаниях рабочей группы, проводимых в составе соответствующего тематического блока;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организует взаимодействие с координирующими (совещательными) органами, государственными органами и организациями, а также с бизнес-сообществами государств-членов по вопросам выполнения плана мероприятий, отнесенным к компетенции тематического блока.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Руководитель тематического блока вправе: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инициировать рассмотрение отдельных вопросов по направлениям деятельности тематического блока на заседаниях соответствующих консультативных органов и рабочих групп, созданных при Коллегии Комиссии, а также на заседаниях вспомогательных органов, созданных в соответствии со статьей 5 Договора о Евразийском экономическом союзе от 29 мая 2014 года, в рамках компетенции этих органов и групп;</w:t>
      </w: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определять функции и задачи экспертных групп при их создании, а также критерии по формированию состава экспертных групп.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IV. Организационно-аналитическая экспертная группа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В состав организационно-аналитической экспертной группы включаются представители департаментов Комиссии.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Состав такой группы утверждается руководителем рабочей группы.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Организационно-техническое обеспечение деятельности организационно-аналитической экспертной группы осуществляется департаментом Комиссии, в компетенцию которого входят вопросы таможенного законодательства и правоприменительной практики.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Руководителем организационно-аналитической экспертной группы является должностное лицо департамента Комиссии, в компетенцию которого входят вопросы таможенного законодательства и правоприменительной практики.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30.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Организационно-аналитическая экспертная группа: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проводит аналитическую работу по выполнению плана мероприятий;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вносит предложения по распределению между тематическими блоками работ по реализации Основных направлений (развитие национальных механизмов «единого окна», сближение подходов к их развитию, взаимное признание электронных документов, организация информационного взаимодействия);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осуществляет мониторинг реализации Основных направлений и плана мероприятий;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lastRenderedPageBreak/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осуществляет подготовку проектов приказов, предусматривающих определение департаментов Комиссии, ответственных за исполнение мероприятий, предусмотренных ежегодными детализированными планами;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осуществляет обобщение, свод и подготовку материалов по результатам деятельности экспертных групп для рассмотрения членами рабочей группы;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организует заседания рабочей группы, за исключением заседаний, проводимых в составе отдельных тематических блоков;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обеспечивает решение общих организационных вопросов;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обеспечивает взаимодействие рабочей группы с координирующими (совещательными) органами государств-членов;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и)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осуществляет организацию подготовки проекта ежегодного детализированного плана и проекта акта о внесении изменений в план мероприятий;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к)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осуществляет подготовку материалов к заседаниям Коллегии и Совета Комиссии, Евразийского межправительственного совета,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Высшего Евразийского экономического совета в рамках компетенции рабочей группы.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31.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Члены организационно-аналитической экспертной группы могут участвовать в заседаниях тематических блоков и экспертных групп.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Руководитель организационно-аналитической экспертной группы вправе представлять предложения: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руководителю рабочей группы - по составу организационно</w:t>
      </w:r>
      <w:r w:rsidRPr="00A93C4E">
        <w:rPr>
          <w:rFonts w:ascii="Sylfaen" w:hAnsi="Sylfaen"/>
          <w:sz w:val="24"/>
          <w:szCs w:val="24"/>
        </w:rPr>
        <w:softHyphen/>
        <w:t>аналитической экспертной группы;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руководителям тематических блоков - по рассмотрению отдельных вопросов, связанных с выполнением плана мероприятий.</w:t>
      </w:r>
    </w:p>
    <w:p w:rsidR="00030DCB" w:rsidRPr="00A93C4E" w:rsidRDefault="00030DCB" w:rsidP="00A93C4E">
      <w:pPr>
        <w:spacing w:after="120"/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V. Взаимодействие наднационального и национальных сегментов механизма управления</w:t>
      </w:r>
    </w:p>
    <w:p w:rsidR="00030DCB" w:rsidRPr="00A93C4E" w:rsidRDefault="00030DCB" w:rsidP="00A93C4E">
      <w:pPr>
        <w:spacing w:after="120"/>
      </w:pPr>
    </w:p>
    <w:p w:rsid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Взаимодействие наднационального и национальных сегментов механизма управления осуществляется на основании Договора о Евразийском экономическом союзе от 29 мая 2014 года, международных договоров и актов, составляющих право Союза, регулирующих порядок взаимодействия Комиссии с государствами- членами, а также в соответствии с насто</w:t>
      </w:r>
      <w:r w:rsidR="00F743C4">
        <w:rPr>
          <w:rFonts w:ascii="Sylfaen" w:hAnsi="Sylfaen"/>
          <w:sz w:val="24"/>
          <w:szCs w:val="24"/>
        </w:rPr>
        <w:t>ящим Полойением</w:t>
      </w:r>
      <w:r w:rsidRPr="00A93C4E">
        <w:rPr>
          <w:rFonts w:ascii="Sylfaen" w:hAnsi="Sylfaen"/>
          <w:sz w:val="24"/>
          <w:szCs w:val="24"/>
        </w:rPr>
        <w:t>.</w:t>
      </w:r>
    </w:p>
    <w:p w:rsidR="00A93C4E" w:rsidRDefault="00A93C4E">
      <w:pPr>
        <w:rPr>
          <w:rFonts w:eastAsia="Times New Roman" w:cs="Times New Roman"/>
        </w:rPr>
      </w:pPr>
      <w:r>
        <w:br w:type="page"/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3969" w:right="40"/>
        <w:jc w:val="center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lastRenderedPageBreak/>
        <w:t>ПРИЛОЖЕНИЕ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3969" w:right="40"/>
        <w:jc w:val="center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к Положению об организационной структуре механизма, обеспечивающего выполнение плана мероприятий по реализации Основных направлений развития механизма «единого окна» в системе регулирования внешнеэкономической деятельности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4536" w:right="40"/>
        <w:jc w:val="center"/>
        <w:rPr>
          <w:rFonts w:ascii="Sylfaen" w:hAnsi="Sylfaen"/>
          <w:sz w:val="24"/>
          <w:szCs w:val="24"/>
        </w:rPr>
      </w:pPr>
    </w:p>
    <w:p w:rsidR="00030DCB" w:rsidRPr="00A93C4E" w:rsidRDefault="00A93C4E" w:rsidP="00A93C4E">
      <w:pPr>
        <w:pStyle w:val="Bodytext30"/>
        <w:shd w:val="clear" w:color="auto" w:fill="auto"/>
        <w:spacing w:line="240" w:lineRule="auto"/>
        <w:ind w:left="851" w:right="1409"/>
        <w:rPr>
          <w:rFonts w:ascii="Sylfaen" w:hAnsi="Sylfaen"/>
          <w:sz w:val="24"/>
          <w:szCs w:val="24"/>
        </w:rPr>
      </w:pPr>
      <w:r w:rsidRPr="00A93C4E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030DCB" w:rsidRPr="00A93C4E" w:rsidRDefault="00A93C4E" w:rsidP="00A93C4E">
      <w:pPr>
        <w:pStyle w:val="Bodytext30"/>
        <w:shd w:val="clear" w:color="auto" w:fill="auto"/>
        <w:spacing w:line="240" w:lineRule="auto"/>
        <w:ind w:left="851" w:right="1409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работ для тематических блоков рабочей группы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</w:t>
      </w:r>
    </w:p>
    <w:p w:rsidR="00A93C4E" w:rsidRPr="00A93C4E" w:rsidRDefault="00A93C4E" w:rsidP="00A93C4E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3200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Электронная таможня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3200"/>
        <w:rPr>
          <w:rFonts w:ascii="Sylfaen" w:hAnsi="Sylfaen"/>
          <w:sz w:val="24"/>
          <w:szCs w:val="24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Установление соответствия между государственными органами, организациями государств-членов, предоставляющими государственные услуги и сервисы в сфере таможенного регулирования.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Сбор данных: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бизнес-процессах, возникающих при взаимодействии участников внешнеэкономической деятельности и таможенных органов государств - членов Евразийского экономического союза (далее соответственно - таможенные органы, государства-члены, Союз);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документах и сведениях;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международных договорах и актах, составляющих право Союза, нормативных правовых актах государств-членов в сфере таможенного регулирования;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государственных программах государств-членов по совершенствованию таможенного регулирования.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анализа: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бизнес-процессов, возникающих при взаимодействии участников внешнеэкономической деятельности и таможенных органов;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документов и сведений (на предмет избыточности и дублирования документов и сведений при совершении таможенных операций и осуществлении таможенного контроля);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международных договоров и актов, составляющих право Союза, </w:t>
      </w:r>
      <w:r w:rsidRPr="00A93C4E">
        <w:rPr>
          <w:rFonts w:ascii="Sylfaen" w:hAnsi="Sylfaen"/>
          <w:sz w:val="24"/>
          <w:szCs w:val="24"/>
        </w:rPr>
        <w:lastRenderedPageBreak/>
        <w:t>нормативных правовых актов государств-членов, регламентирующих порядок совершения таможенных операций и осуществления таможенного контроля;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государственных программ государств-членов по совершенствованию таможенного регулирования;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уровня развития электронного декларирования в государствах- членах.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анализа проблем межведомственного информационного взаимодействия государственных контролирующих органов, организаций государств-членов, возникающих при совершении таможенных операций и осуществлении таможенного контроля (в том числе при проведении таможенной проверки после выпуска товаров) и совместного контроля в пунктах пропуска.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консультаций, круглых столов с целью определения направлений совершенствования электронного декларирования, согласование подходов к развитию электронного декларирования в государствах-членах.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Разработка рекомендаций по оптимизации (с учетом соответствующих международных стандартов):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комплексного управления таможенной границей Союза;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межведомственного информационного взаимодействия государственных контролирующих органов, организаций государств- членов;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электронного декларирования в государствах-членах, порядка совершения таможенных операций и осуществления таможенного контроля (в том числе проведения таможенной проверки после выпуска товаров).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Развитие технологий автоматической регистрации таможенной декларации и автоматического выпуска товаров.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Подготовка предложений по внесению изменений в международные договоры и акты, составляющие право Союза, и нормативные правовые акты государств-членов.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Мониторинг и контроль выполнения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№19 (далее - план мероприятий), в рамках компетенции соответствующего блока рабочей группы.</w:t>
      </w:r>
    </w:p>
    <w:p w:rsidR="00A93C4E" w:rsidRDefault="00A93C4E" w:rsidP="00A93C4E">
      <w:pPr>
        <w:pStyle w:val="Bodytext20"/>
        <w:shd w:val="clear" w:color="auto" w:fill="auto"/>
        <w:spacing w:before="0" w:after="120" w:line="240" w:lineRule="auto"/>
        <w:ind w:left="1780"/>
        <w:rPr>
          <w:rFonts w:ascii="Sylfaen" w:hAnsi="Sylfaen"/>
          <w:sz w:val="24"/>
          <w:szCs w:val="24"/>
          <w:lang w:val="en-US"/>
        </w:rPr>
      </w:pP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Оплата, платежи и электронная коммерция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1780"/>
        <w:rPr>
          <w:rFonts w:ascii="Sylfaen" w:hAnsi="Sylfaen"/>
          <w:sz w:val="24"/>
          <w:szCs w:val="24"/>
          <w:lang w:val="en-US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Определение перечня государственных органов и организаций государств-членов, которые задействованы в информационном взаимодействии в сферах государственного налогового, валютного, таможенно-тарифного регулирования, регулирования финансовых услуг (банковские, страховые), а также при </w:t>
      </w:r>
      <w:r w:rsidRPr="00A93C4E">
        <w:rPr>
          <w:rFonts w:ascii="Sylfaen" w:hAnsi="Sylfaen"/>
          <w:sz w:val="24"/>
          <w:szCs w:val="24"/>
        </w:rPr>
        <w:lastRenderedPageBreak/>
        <w:t>осуществлении банковской и страховой видов деятельности.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Установление соответствия между государственными органами, организациями государств-членов, предоставляющими схожие государственные услуги и сервисы в сферах государственного регулирования, указанных в пункте 1 настоящего раздела.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Сбор данных для проведения анализа в рамках сфер государственного регулирования, указанных в пункте 1 настоящего раздела: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бизнес-процессах;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документах и сведениях;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международных договорах и актах, составляющих право Союза, нормативных правовых актах государств-членов, регламентирующих бизнес-процессы и оборот документов и сведений при совершении финансовых операций (проведение оплаты по международным внешнеторговым договорам, уплаты таможенных пошлин, налогов, сборов и т.п);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государственных программах государств-членов по совершенствованию государственных услуг и процедур в сферах государственного регулирования, указанных в пункте 1 настоящего раздела.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анализа: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бизнес-процессов, возникающих при информационном взаимодействии на уровнях В2В,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B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/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B</w:t>
      </w:r>
      <w:r w:rsidRPr="00A93C4E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и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A93C4E">
        <w:rPr>
          <w:rFonts w:ascii="Sylfaen" w:hAnsi="Sylfaen"/>
          <w:sz w:val="24"/>
          <w:szCs w:val="24"/>
          <w:lang w:eastAsia="en-US" w:bidi="en-US"/>
        </w:rPr>
        <w:t>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документов и сведений (на предмет избыточности и дублирования документов и сведений при формировании и обороте инвойсов, контрактов, форм отчетности и др.);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международных договоров и актов, составляющих право Союза, нормативных правовых актов государств-членов, регламентирующих предоставление финансовых услуг (банковских, страховых), проведение валютного контроля, порядок совершения международных платежей, начисления и уплаты таможенных платежей, налогов и сборов;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государственных программ государств-членов по совершенствованию государственных услуг и процедур в сферах государственного регулирования, указанных в пункте 1 настоящего раздела.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консультаций, круглых столов в целях определения направлений по сближению требований нормативных правовых актов государств-членов (унификация, гармонизация или регламентация требований при выполнении бизнес-процессов, включая состав сведений электронных документов, необходимых для осуществления внешнеэкономической деятельности в государствах-членах).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Разработка рекомендаций по оптимизации (с учетом соответствующих международных стандартов):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lastRenderedPageBreak/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перечня сведений в коммерческих и отчетно-контрольных документах;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порядков осуществления валютного, налогового, финансового регулирования;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начисления и уплаты таможенных платежей, налогов и сборов.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Подготовка предложений по созданию и развитию электронных платежных систем в механизме «единого окна».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Подготовка предложений по внесению изменений в международные договоры и акты, составляющие право Союза, и нормативные правовые акты государств-членов.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Мониторинг и контроль выполнения плана мероприятий в рамках компетенции соответствующего блока рабочей группы.</w:t>
      </w:r>
    </w:p>
    <w:p w:rsidR="00A93C4E" w:rsidRDefault="00A93C4E" w:rsidP="00A93C4E">
      <w:pPr>
        <w:pStyle w:val="Bodytext20"/>
        <w:shd w:val="clear" w:color="auto" w:fill="auto"/>
        <w:spacing w:before="0" w:after="120" w:line="240" w:lineRule="auto"/>
        <w:ind w:left="2740"/>
        <w:rPr>
          <w:rFonts w:ascii="Sylfaen" w:hAnsi="Sylfaen"/>
          <w:sz w:val="24"/>
          <w:szCs w:val="24"/>
          <w:lang w:val="en-US"/>
        </w:rPr>
      </w:pP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left="2740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Разрешительные документы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2740"/>
        <w:rPr>
          <w:rFonts w:ascii="Sylfaen" w:hAnsi="Sylfaen"/>
          <w:sz w:val="24"/>
          <w:szCs w:val="24"/>
          <w:lang w:val="en-US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Определение перечня государственных органов и организаций государств-членов, которые задействованы в информационном взаимодействии в сферах государственного нетарифного, технического регулирования, регулирования обращения лекарственных средств и медицинских изделий, применения санитарных, ветеринарно</w:t>
      </w:r>
      <w:r w:rsidRPr="00A93C4E">
        <w:rPr>
          <w:rFonts w:ascii="Sylfaen" w:hAnsi="Sylfaen"/>
          <w:sz w:val="24"/>
          <w:szCs w:val="24"/>
        </w:rPr>
        <w:softHyphen/>
        <w:t>санитарных, карантинных фитосанитарных мер, регулирования охраны и защиты прав на объекты интеллектуальной собственности.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Установление соответствия между государственными органами государств-членов, предоставляющими схожие государственные услуги и сервисы.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Сбор данных для проведения анализа в рамках сфер государственного регулирования, указанных в пункте 1 настоящего раздела: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бизнес-процессах;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документах и сведениях;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международных договорах и актах, составляющих право Союза, нормативных правовых актах государств-членов, касающихся вопросов, связанных с разрешительными документами при осуществлении государственного регулирования внешнеторговой деятельности государств-членов;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государственных программах государств-членов по вопросам, связанным с разрешительными документами при осуществлении государственного регулирования внешнеторговой деятельности государств-членов.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анализа: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 xml:space="preserve">а) бизнес-процессов, возникающих при информационном взаимодействии на уровнях В2В,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B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/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B</w:t>
      </w:r>
      <w:r w:rsidRPr="00A93C4E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и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A93C4E">
        <w:rPr>
          <w:rFonts w:ascii="Sylfaen" w:hAnsi="Sylfaen"/>
          <w:sz w:val="24"/>
          <w:szCs w:val="24"/>
          <w:lang w:eastAsia="en-US" w:bidi="en-US"/>
        </w:rPr>
        <w:t>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документов и сведений (на предмет избыточности и дублирования </w:t>
      </w:r>
      <w:r w:rsidRPr="00A93C4E">
        <w:rPr>
          <w:rFonts w:ascii="Sylfaen" w:hAnsi="Sylfaen"/>
          <w:sz w:val="24"/>
          <w:szCs w:val="24"/>
        </w:rPr>
        <w:lastRenderedPageBreak/>
        <w:t>документов и сведений при формировании и обороте разрешительных документов и др.);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международных договоров и актов, составляющих право Союза, нормативных правовых актов государств-членов, регламентирующих выдачу разрешительных документов, необходимых для осуществления экспортных, импортных и транзитных операций в отношении определенных категорий товаров, а также для проведения соответствующего вида контроля (надзора) в зависимости от категории товаров (санитарно-эпидемиологического и т.п.);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государственных программ государств-членов по совершенствованию государственных услуг и процедур по вопросам, связанным с разрешительными документами при осуществлении государственного регулирования внешнеторговой деятельности государств-членов.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консультаций, круглых столов в целях определения направлений по сближению требований нормативных правовых актов государств-членов (унификация, гармонизация или регламентация требований при выполнении бизнес-процессов, включая состав сведений электронных документов, необходимых для осуществления внешнеэкономической деятельности в государствах-членах).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Разработка рекомендаций по оптимизации (с учетом соответствующих международных стандартов):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перечня сведений в разрешительных документах;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порядков проведения санитарно-эпидемиологического надзора (контроля), ветеринарного, карантинного фитосанитарного контроля (надзора), а также контроля правомерности перемещения товаров, содержащих объекты интеллектуальной собственности.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Подготовка предложений по внесению изменений в международные договоры и акты, составляющие право Союза, и нормативные правовые акты государств-членов.</w:t>
      </w: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Мониторинг и контроль выполнения плана мероприятий в рамках компетенции соответствующего блока рабочей группы.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left="3060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Транспорт и логистика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3060"/>
        <w:rPr>
          <w:rFonts w:ascii="Sylfaen" w:hAnsi="Sylfaen"/>
          <w:sz w:val="24"/>
          <w:szCs w:val="24"/>
          <w:lang w:val="en-US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  <w:lang w:eastAsia="en-US" w:bidi="en-US"/>
        </w:rPr>
        <w:t>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>Определение перечня государственных органов и организаций государств-членов, которые задействованы в информационном взаимодействии в сфере государственного регулирования транспорта и перевозок, а также при осуществлении видов деятельности по предоставлению транспортных и логистических услуг.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  <w:lang w:eastAsia="en-US" w:bidi="en-US"/>
        </w:rPr>
        <w:t>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>Сопоставление перечней государственных услуг и сервисов, предоставляемых государственными органами и организациями государств-членов.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  <w:lang w:eastAsia="en-US" w:bidi="en-US"/>
        </w:rPr>
        <w:lastRenderedPageBreak/>
        <w:t>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>Сбор данных для проведения анализа в рамках сферы государственного регулирования и видов деятельности, которые указаны в пункте 1 настоящего раздела: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бизнес-процессах;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документах и сведениях;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международных договорах и актах, составляющих право Союза, нормативных правовых актах государств-членов, международных договорах государств-членов с третьими сторонами в области транспорта, развития инфраструктуры, пересечения границ и проведения транспортного контроля.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  <w:lang w:val="en-US" w:eastAsia="en-US" w:bidi="en-US"/>
        </w:rPr>
        <w:t>4.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анализа: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 xml:space="preserve">а) бизнес-процессов, возникающих при информационном взаимодействии на уровнях В2В,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B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/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B</w:t>
      </w:r>
      <w:r w:rsidRPr="00A93C4E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и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A93C4E">
        <w:rPr>
          <w:rFonts w:ascii="Sylfaen" w:hAnsi="Sylfaen"/>
          <w:sz w:val="24"/>
          <w:szCs w:val="24"/>
          <w:lang w:eastAsia="en-US" w:bidi="en-US"/>
        </w:rPr>
        <w:t>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документов и сведений (на предмет избыточности и дублирования документов и сведений при совершении транспортно</w:t>
      </w:r>
      <w:r w:rsidRPr="00A93C4E">
        <w:rPr>
          <w:rFonts w:ascii="Sylfaen" w:hAnsi="Sylfaen"/>
          <w:sz w:val="24"/>
          <w:szCs w:val="24"/>
        </w:rPr>
        <w:softHyphen/>
        <w:t>логистических операций и осуществлении транспортного контроля);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международных договоров и актов, составляющих право Союза, нормативных правовых актов государств-членов, международных договоров государств-членов с третьими сторонами в области транспорта, развития инфраструктуры, пересечения границ и проведения транспортного контроля;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государственных программ государств-членов по совершенствованию государственных услуг и процедур в сфере государственного регулирования транспорта и перевозок.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  <w:lang w:eastAsia="en-US" w:bidi="en-US"/>
        </w:rPr>
        <w:t>5.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консультаций, круглых столов в целях определения направлений по сближению требований международных договоров и актов, составляющих право Союза, нормативных правовых актов государств-членов.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  <w:lang w:eastAsia="en-US" w:bidi="en-US"/>
        </w:rPr>
        <w:t>6.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>Разработка рекомендаций по оптимизации: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бизнес-процессов;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перечней документов, используемых при перемещении товаров и транспортных средств;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перечня сведений в документах, необходимых для целей транспортного контроля (разрешения и т.д.);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порядка осуществления транспортного контроля.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  <w:lang w:eastAsia="en-US" w:bidi="en-US"/>
        </w:rPr>
        <w:t>7.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>Подготовка предложений по внесению изменений в международные договоры и акты, составляющие право Союза, и нормативные правовые акты государств-членов.</w:t>
      </w: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  <w:lang w:eastAsia="en-US" w:bidi="en-US"/>
        </w:rPr>
        <w:t>8.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>Мониторинг и контроль выполнения плана мероприятий в рамках компетенции соответствующего блока рабочей группы.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left="2640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Информационные технологии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2640"/>
        <w:rPr>
          <w:rFonts w:ascii="Sylfaen" w:hAnsi="Sylfaen"/>
          <w:sz w:val="24"/>
          <w:szCs w:val="24"/>
          <w:lang w:val="en-US"/>
        </w:r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Определение перечня государственных органов и организаций государств-членов, ответственных за информатизацию в государствах- членах.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Сбор данных для формирования единой системы нормативно</w:t>
      </w:r>
      <w:r w:rsidRPr="00A93C4E">
        <w:rPr>
          <w:rFonts w:ascii="Sylfaen" w:hAnsi="Sylfaen"/>
          <w:sz w:val="24"/>
          <w:szCs w:val="24"/>
        </w:rPr>
        <w:softHyphen/>
        <w:t>справочной информации, содержащей необходимые сведения для осуществления в государствах-членах внешнеэкономической деятельности в рамках механизма «единого окна»: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нормативных правовых актах государств-членов;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 справочниках и классификаторах, разрабатываемых и применяемых государствами-членами.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Проведение анализа существующих технологических подходов и информационных систем государств-членов на уровнях информационного взаимодействия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B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/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B</w:t>
      </w:r>
      <w:r w:rsidRPr="00A93C4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и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3C4E">
        <w:rPr>
          <w:rFonts w:ascii="Sylfaen" w:hAnsi="Sylfaen"/>
          <w:sz w:val="24"/>
          <w:szCs w:val="24"/>
        </w:rPr>
        <w:t xml:space="preserve">в целях актуализации перечня процедур межведомственного информационного взаимодействия </w:t>
      </w:r>
      <w:r w:rsidRPr="00A93C4E">
        <w:rPr>
          <w:rFonts w:ascii="Sylfaen" w:hAnsi="Sylfaen"/>
          <w:sz w:val="24"/>
          <w:szCs w:val="24"/>
          <w:lang w:eastAsia="en-US" w:bidi="en-US"/>
        </w:rPr>
        <w:t>(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A93C4E">
        <w:rPr>
          <w:rFonts w:ascii="Sylfaen" w:hAnsi="Sylfaen"/>
          <w:sz w:val="24"/>
          <w:szCs w:val="24"/>
        </w:rPr>
        <w:t xml:space="preserve">в рамках национальных механизмов «единого окна», а также подготовки рекомендаций по реализации типовых процедур 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2</w:t>
      </w:r>
      <w:r w:rsidRPr="00A93C4E">
        <w:rPr>
          <w:rFonts w:ascii="Sylfaen" w:hAnsi="Sylfaen"/>
          <w:sz w:val="24"/>
          <w:szCs w:val="24"/>
          <w:lang w:val="en-US" w:eastAsia="en-US" w:bidi="en-US"/>
        </w:rPr>
        <w:t>G</w:t>
      </w:r>
      <w:r w:rsidRPr="00A93C4E">
        <w:rPr>
          <w:rFonts w:ascii="Sylfaen" w:hAnsi="Sylfaen"/>
          <w:sz w:val="24"/>
          <w:szCs w:val="24"/>
          <w:lang w:eastAsia="en-US" w:bidi="en-US"/>
        </w:rPr>
        <w:t>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Унификация и гармонизация сведений из документов, необходимых для осуществления внешнеэкономической деятельности в государствах-членах, на основе общей модели данных.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анализа подходов к построению архитектуры информационных систем, обеспечивающих оборот юридически значимых электронных документов и сведений в национальных механизмах «единого окна», в целях дальнейшей организации взаимодействия этих механизмов.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Применение технологии доверенной третьей стороны в целях придания юридической значимости электронным документам и сведениям, используемым в национальных механизмах «единого окна».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Применение возможностей передовых информационных систем и сервисов (бронирование отелей, авиабилетов, оценка обслуживания, навигация, мобильный банк).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Проведение анализа международных договоров и актов, составляющих право Союза, и нормативных правовых актов государств- членов в целях определения необходимости внесения в них изменений для обеспечения реализации межгосударственного информационного взаимодействия между национальными механизмами «единого окна».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Определение технической архитектуры и выработка технологических решений по реализации информационного взаимодействия между национальными механизмами «единого окна».</w:t>
      </w: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lastRenderedPageBreak/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Разработка проектов актов, входящих в право Союза, обеспечивающих актуализацию перечня общих процессов в рамках Союза в части, касающейся функционирования национальных механизмов «единого окна», регламентации соответствующих общих процессов, а также развитие общей модели данных.</w:t>
      </w: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A93C4E">
        <w:rPr>
          <w:rFonts w:ascii="Sylfaen" w:hAnsi="Sylfaen"/>
          <w:sz w:val="24"/>
          <w:szCs w:val="24"/>
        </w:rPr>
        <w:t>Мониторинг процессов межгосударственного информационного взаимодействия в целях обеспечения функционирования национальных механизмов «единого окна».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7945"/>
      </w:tblGrid>
      <w:tr w:rsidR="00030DCB" w:rsidRPr="00A93C4E" w:rsidTr="00A93C4E">
        <w:trPr>
          <w:jc w:val="center"/>
        </w:trPr>
        <w:tc>
          <w:tcPr>
            <w:tcW w:w="1537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Примечание.</w:t>
            </w:r>
          </w:p>
        </w:tc>
        <w:tc>
          <w:tcPr>
            <w:tcW w:w="7945" w:type="dxa"/>
            <w:shd w:val="clear" w:color="auto" w:fill="FFFFFF"/>
            <w:vAlign w:val="bottom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ind w:left="118" w:right="49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В настоящем перечне используются следующие обозначения:</w:t>
            </w:r>
          </w:p>
          <w:p w:rsidR="00030DCB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ind w:left="118" w:right="49"/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«В2В» - информационное взаимодействие заинтересованных лиц между собой;</w:t>
            </w:r>
          </w:p>
          <w:p w:rsidR="00A93C4E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ind w:left="118" w:right="49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 xml:space="preserve">» -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информационное взаимодействие между заинтересованными лицами, государственными органами и (или) уполномоченными организациями государств-членов;</w:t>
            </w:r>
          </w:p>
          <w:p w:rsidR="00A93C4E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ind w:left="118" w:right="49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- межведомственное информационное взаимодействие;</w:t>
            </w:r>
          </w:p>
          <w:p w:rsidR="00A93C4E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ind w:left="118" w:right="49"/>
              <w:rPr>
                <w:rFonts w:ascii="Sylfaen" w:hAnsi="Sylfaen"/>
                <w:sz w:val="24"/>
                <w:szCs w:val="24"/>
                <w:lang w:val="en-US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- межгосударственное информационное взаимодействие.</w:t>
            </w:r>
          </w:p>
        </w:tc>
      </w:tr>
    </w:tbl>
    <w:p w:rsidR="00030DCB" w:rsidRPr="00A93C4E" w:rsidRDefault="00030DCB" w:rsidP="00A93C4E">
      <w:pPr>
        <w:spacing w:after="120"/>
      </w:pPr>
    </w:p>
    <w:p w:rsidR="00030DCB" w:rsidRPr="00A93C4E" w:rsidRDefault="00030DCB" w:rsidP="00A93C4E">
      <w:pPr>
        <w:spacing w:after="120"/>
        <w:sectPr w:rsidR="00030DCB" w:rsidRPr="00A93C4E" w:rsidSect="00A93C4E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30DCB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9923" w:right="20"/>
        <w:jc w:val="center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lastRenderedPageBreak/>
        <w:t>ПРИЛОЖЕНИЕ</w:t>
      </w:r>
    </w:p>
    <w:p w:rsidR="00030DCB" w:rsidRDefault="00A93C4E" w:rsidP="00A93C4E">
      <w:pPr>
        <w:pStyle w:val="Bodytext20"/>
        <w:shd w:val="clear" w:color="auto" w:fill="auto"/>
        <w:spacing w:before="0" w:after="120" w:line="240" w:lineRule="auto"/>
        <w:ind w:left="9923" w:right="20"/>
        <w:jc w:val="center"/>
        <w:rPr>
          <w:rFonts w:ascii="Sylfaen" w:hAnsi="Sylfaen"/>
          <w:sz w:val="24"/>
          <w:szCs w:val="24"/>
          <w:lang w:val="en-US"/>
        </w:rPr>
      </w:pPr>
      <w:r w:rsidRPr="00A93C4E">
        <w:rPr>
          <w:rFonts w:ascii="Sylfaen" w:hAnsi="Sylfaen"/>
          <w:sz w:val="24"/>
          <w:szCs w:val="24"/>
        </w:rPr>
        <w:t>к Решению Коллегии Евразийской экономической комиссии от 28 сентября 2015 г. № 124</w:t>
      </w:r>
    </w:p>
    <w:p w:rsidR="00A93C4E" w:rsidRPr="00A93C4E" w:rsidRDefault="00A93C4E" w:rsidP="00A93C4E">
      <w:pPr>
        <w:pStyle w:val="Bodytext20"/>
        <w:shd w:val="clear" w:color="auto" w:fill="auto"/>
        <w:spacing w:before="0" w:after="120" w:line="240" w:lineRule="auto"/>
        <w:ind w:left="9923" w:right="20"/>
        <w:jc w:val="center"/>
        <w:rPr>
          <w:rFonts w:ascii="Sylfaen" w:hAnsi="Sylfaen"/>
          <w:sz w:val="24"/>
          <w:szCs w:val="24"/>
          <w:lang w:val="en-US"/>
        </w:rPr>
      </w:pPr>
    </w:p>
    <w:p w:rsidR="00030DCB" w:rsidRPr="00A93C4E" w:rsidRDefault="00A93C4E" w:rsidP="00A93C4E">
      <w:pPr>
        <w:pStyle w:val="Bodytext30"/>
        <w:shd w:val="clear" w:color="auto" w:fill="auto"/>
        <w:spacing w:line="240" w:lineRule="auto"/>
        <w:ind w:left="1701" w:right="1955"/>
        <w:rPr>
          <w:rFonts w:ascii="Sylfaen" w:hAnsi="Sylfaen"/>
          <w:sz w:val="24"/>
          <w:szCs w:val="24"/>
        </w:rPr>
      </w:pPr>
      <w:r w:rsidRPr="00A93C4E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КРИТЕРИИ</w:t>
      </w:r>
    </w:p>
    <w:p w:rsidR="00030DCB" w:rsidRPr="00A93C4E" w:rsidRDefault="00A93C4E" w:rsidP="00A93C4E">
      <w:pPr>
        <w:pStyle w:val="Bodytext30"/>
        <w:shd w:val="clear" w:color="auto" w:fill="auto"/>
        <w:spacing w:line="240" w:lineRule="auto"/>
        <w:ind w:left="1701" w:right="1955"/>
        <w:rPr>
          <w:rFonts w:ascii="Sylfaen" w:hAnsi="Sylfaen"/>
          <w:sz w:val="24"/>
          <w:szCs w:val="24"/>
        </w:rPr>
      </w:pPr>
      <w:r w:rsidRPr="00A93C4E">
        <w:rPr>
          <w:rFonts w:ascii="Sylfaen" w:hAnsi="Sylfaen"/>
          <w:sz w:val="24"/>
          <w:szCs w:val="24"/>
        </w:rPr>
        <w:t>формирования состава рабочей группы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</w:t>
      </w:r>
    </w:p>
    <w:p w:rsidR="00F743C4" w:rsidRDefault="00F743C4">
      <w:pPr>
        <w:rPr>
          <w:rFonts w:eastAsia="Times New Roman" w:cs="Times New Roman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9"/>
        <w:gridCol w:w="3262"/>
        <w:gridCol w:w="1984"/>
        <w:gridCol w:w="6002"/>
        <w:gridCol w:w="6"/>
      </w:tblGrid>
      <w:tr w:rsidR="00030DCB" w:rsidRPr="00A93C4E" w:rsidTr="00F743C4">
        <w:trPr>
          <w:gridAfter w:val="1"/>
          <w:wAfter w:w="6" w:type="dxa"/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3C4" w:rsidRPr="00F743C4" w:rsidRDefault="00A93C4E" w:rsidP="00F743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Элемент структуры рабочей группы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CB" w:rsidRPr="00A93C4E" w:rsidRDefault="00A93C4E" w:rsidP="00F743C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DCB" w:rsidRPr="00A93C4E" w:rsidRDefault="00A93C4E" w:rsidP="00F743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 xml:space="preserve">Максимальное количество представителей от государства </w:t>
            </w:r>
            <w:r>
              <w:rPr>
                <w:rStyle w:val="Bodytext2115pt"/>
                <w:rFonts w:ascii="Sylfaen" w:hAnsi="Sylfaen"/>
                <w:sz w:val="24"/>
                <w:szCs w:val="24"/>
              </w:rPr>
              <w:t>–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 xml:space="preserve"> члена Евразийского экономическогосоюза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CB" w:rsidRPr="00A93C4E" w:rsidRDefault="00A93C4E" w:rsidP="00F743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Критерии формирования состава рабочей группы</w:t>
            </w:r>
          </w:p>
        </w:tc>
      </w:tr>
      <w:tr w:rsidR="00030DCB" w:rsidRPr="00A93C4E" w:rsidTr="00F743C4">
        <w:trPr>
          <w:gridAfter w:val="1"/>
          <w:wAfter w:w="6" w:type="dxa"/>
          <w:jc w:val="center"/>
        </w:trPr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030DCB" w:rsidRPr="00A93C4E" w:rsidRDefault="00A93C4E" w:rsidP="00F743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1. Координационный совет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общая координация деятельности рабочей группы по сферам регулирования и видам экономической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руководитель либо заместитель руководителя государственного органа исполнительной власти государства - члена Евразийского экономического союза, ответственного за развитие механизма «единого окна» в своем государстве</w:t>
            </w:r>
          </w:p>
        </w:tc>
      </w:tr>
      <w:tr w:rsidR="00030DCB" w:rsidRPr="00A93C4E" w:rsidTr="00F743C4">
        <w:trPr>
          <w:gridAfter w:val="1"/>
          <w:wAfter w:w="6" w:type="dxa"/>
          <w:jc w:val="center"/>
        </w:trPr>
        <w:tc>
          <w:tcPr>
            <w:tcW w:w="2419" w:type="dxa"/>
            <w:shd w:val="clear" w:color="auto" w:fill="FFFFFF"/>
            <w:vAlign w:val="bottom"/>
          </w:tcPr>
          <w:p w:rsidR="00030DCB" w:rsidRPr="00A93C4E" w:rsidRDefault="00A93C4E" w:rsidP="00F743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2. Тематический блок</w:t>
            </w:r>
            <w:r w:rsidR="00F743C4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«Электронная</w:t>
            </w:r>
            <w:r w:rsidR="00F743C4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таможня»</w:t>
            </w:r>
          </w:p>
        </w:tc>
        <w:tc>
          <w:tcPr>
            <w:tcW w:w="3262" w:type="dxa"/>
            <w:shd w:val="clear" w:color="auto" w:fill="FFFFFF"/>
          </w:tcPr>
          <w:p w:rsidR="00030DCB" w:rsidRPr="00A93C4E" w:rsidRDefault="00F743C4" w:rsidP="00F743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Т</w:t>
            </w:r>
            <w:r w:rsidR="00A93C4E" w:rsidRPr="00A93C4E">
              <w:rPr>
                <w:rStyle w:val="Bodytext2115pt"/>
                <w:rFonts w:ascii="Sylfaen" w:hAnsi="Sylfaen"/>
                <w:sz w:val="24"/>
                <w:szCs w:val="24"/>
              </w:rPr>
              <w:t>аможенное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93C4E" w:rsidRPr="00A93C4E">
              <w:rPr>
                <w:rStyle w:val="Bodytext2115pt"/>
                <w:rFonts w:ascii="Sylfaen" w:hAnsi="Sylfaen"/>
                <w:sz w:val="24"/>
                <w:szCs w:val="24"/>
              </w:rPr>
              <w:t>регулирование</w:t>
            </w:r>
          </w:p>
        </w:tc>
        <w:tc>
          <w:tcPr>
            <w:tcW w:w="1984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002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каждый тематический блок рабочей группы должен включать представителей:</w:t>
            </w:r>
          </w:p>
        </w:tc>
      </w:tr>
      <w:tr w:rsidR="00030DCB" w:rsidRPr="00A93C4E" w:rsidTr="00F743C4">
        <w:trPr>
          <w:gridAfter w:val="1"/>
          <w:wAfter w:w="6" w:type="dxa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3. Тематический блок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«Оплата, платежи и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электронная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коммерция»</w:t>
            </w:r>
          </w:p>
        </w:tc>
        <w:tc>
          <w:tcPr>
            <w:tcW w:w="3262" w:type="dxa"/>
            <w:shd w:val="clear" w:color="auto" w:fill="FFFFFF"/>
            <w:vAlign w:val="bottom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налоговое регулирование валютное регулирование банковское регулирование страховое регулирование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таможенно-тарифное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регулирование</w:t>
            </w:r>
          </w:p>
        </w:tc>
        <w:tc>
          <w:tcPr>
            <w:tcW w:w="1984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6002" w:type="dxa"/>
            <w:shd w:val="clear" w:color="auto" w:fill="FFFFFF"/>
            <w:vAlign w:val="bottom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государственных органов государств - членов Евразийского экономического союза или уполномоченных организаций, к сфере ведения которых относятся вопросы, непосредственно связанные с направлением деятельности, указанным в графе 2 настоящей таблицы;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бизнес-сообщества;</w:t>
            </w:r>
          </w:p>
        </w:tc>
      </w:tr>
      <w:tr w:rsidR="00030DCB" w:rsidRPr="00A93C4E" w:rsidTr="00F743C4">
        <w:trPr>
          <w:gridAfter w:val="1"/>
          <w:wAfter w:w="6" w:type="dxa"/>
          <w:jc w:val="center"/>
        </w:trPr>
        <w:tc>
          <w:tcPr>
            <w:tcW w:w="2419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4. Тематический блок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«Разрешительные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документы»</w:t>
            </w:r>
          </w:p>
        </w:tc>
        <w:tc>
          <w:tcPr>
            <w:tcW w:w="3262" w:type="dxa"/>
            <w:shd w:val="clear" w:color="auto" w:fill="FFFFFF"/>
            <w:vAlign w:val="bottom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нетарифное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регулирование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регулирование обращения лекарственных средств и медицинских изделий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техническое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регулирование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санитарные, ветеринарно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санитарные, карантинные фитосанитарные меры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интеллектуальная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собственность</w:t>
            </w:r>
          </w:p>
        </w:tc>
        <w:tc>
          <w:tcPr>
            <w:tcW w:w="1984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6002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структурных подразделений таможенных органов, функциональная деятельность которых связана с направлением деятельности тематического блока.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Уровень представителей от государственных органов государств - членов Евразийского экономического союза и уполномоченных организаций - не ниже заместителя руководителя структурного подразделения (департамент, управление).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 xml:space="preserve">Представители государства - члена Евразийского экономического союза являются участниками работ по развитию национальных механизмов «единого окна» в соответствующей сфере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регулирования либо по соответствующему виду деятельности</w:t>
            </w:r>
          </w:p>
        </w:tc>
      </w:tr>
      <w:tr w:rsidR="00030DCB" w:rsidRPr="00A93C4E" w:rsidTr="00F743C4">
        <w:trPr>
          <w:jc w:val="center"/>
        </w:trPr>
        <w:tc>
          <w:tcPr>
            <w:tcW w:w="2419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5. Тематический блок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«Транспорт и логистика»</w:t>
            </w:r>
          </w:p>
        </w:tc>
        <w:tc>
          <w:tcPr>
            <w:tcW w:w="3262" w:type="dxa"/>
            <w:shd w:val="clear" w:color="auto" w:fill="FFFFFF"/>
            <w:vAlign w:val="center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транспорт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(автомобильный, водный, воздушный, железнодорожный, трубопроводный и др.)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складская деятельность логистика</w:t>
            </w:r>
          </w:p>
        </w:tc>
        <w:tc>
          <w:tcPr>
            <w:tcW w:w="1984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6008" w:type="dxa"/>
            <w:gridSpan w:val="2"/>
            <w:shd w:val="clear" w:color="auto" w:fill="FFFFFF"/>
          </w:tcPr>
          <w:p w:rsidR="00030DCB" w:rsidRPr="00A93C4E" w:rsidRDefault="00030DCB" w:rsidP="00A93C4E">
            <w:pPr>
              <w:spacing w:after="120"/>
            </w:pPr>
          </w:p>
        </w:tc>
      </w:tr>
      <w:tr w:rsidR="00030DCB" w:rsidRPr="00A93C4E" w:rsidTr="00F743C4">
        <w:trPr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6. Тематический блок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«Информационные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технологии»</w:t>
            </w:r>
          </w:p>
        </w:tc>
        <w:tc>
          <w:tcPr>
            <w:tcW w:w="3262" w:type="dxa"/>
            <w:shd w:val="clear" w:color="auto" w:fill="FFFFFF"/>
            <w:vAlign w:val="bottom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информатизация защита информации</w:t>
            </w:r>
            <w:r w:rsidR="00F743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электронные государственные услуги</w:t>
            </w:r>
          </w:p>
        </w:tc>
        <w:tc>
          <w:tcPr>
            <w:tcW w:w="1984" w:type="dxa"/>
            <w:shd w:val="clear" w:color="auto" w:fill="FFFFFF"/>
          </w:tcPr>
          <w:p w:rsidR="00030DCB" w:rsidRPr="00A93C4E" w:rsidRDefault="00A93C4E" w:rsidP="00A93C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C4E">
              <w:rPr>
                <w:rStyle w:val="Bodytext2115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6008" w:type="dxa"/>
            <w:gridSpan w:val="2"/>
            <w:shd w:val="clear" w:color="auto" w:fill="FFFFFF"/>
          </w:tcPr>
          <w:p w:rsidR="00030DCB" w:rsidRPr="00A93C4E" w:rsidRDefault="00030DCB" w:rsidP="00A93C4E">
            <w:pPr>
              <w:spacing w:after="120"/>
            </w:pPr>
          </w:p>
        </w:tc>
      </w:tr>
    </w:tbl>
    <w:p w:rsidR="00030DCB" w:rsidRPr="00A93C4E" w:rsidRDefault="00030DCB" w:rsidP="00F743C4">
      <w:pPr>
        <w:spacing w:after="120"/>
      </w:pPr>
    </w:p>
    <w:sectPr w:rsidR="00030DCB" w:rsidRPr="00A93C4E" w:rsidSect="00A93C4E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46" w:rsidRDefault="00CD1D46" w:rsidP="00030DCB">
      <w:r>
        <w:separator/>
      </w:r>
    </w:p>
  </w:endnote>
  <w:endnote w:type="continuationSeparator" w:id="0">
    <w:p w:rsidR="00CD1D46" w:rsidRDefault="00CD1D46" w:rsidP="0003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46" w:rsidRDefault="00CD1D46"/>
  </w:footnote>
  <w:footnote w:type="continuationSeparator" w:id="0">
    <w:p w:rsidR="00CD1D46" w:rsidRDefault="00CD1D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6012"/>
    <w:multiLevelType w:val="multilevel"/>
    <w:tmpl w:val="B7E456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26A38"/>
    <w:multiLevelType w:val="multilevel"/>
    <w:tmpl w:val="72A6CF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308F0"/>
    <w:multiLevelType w:val="multilevel"/>
    <w:tmpl w:val="4490D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90A2F"/>
    <w:multiLevelType w:val="multilevel"/>
    <w:tmpl w:val="64AC9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C5FB0"/>
    <w:multiLevelType w:val="multilevel"/>
    <w:tmpl w:val="587A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0D312D"/>
    <w:multiLevelType w:val="multilevel"/>
    <w:tmpl w:val="7D8CEEE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2B289D"/>
    <w:multiLevelType w:val="multilevel"/>
    <w:tmpl w:val="7012D9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5139C"/>
    <w:multiLevelType w:val="multilevel"/>
    <w:tmpl w:val="F530F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41DB5"/>
    <w:multiLevelType w:val="multilevel"/>
    <w:tmpl w:val="CF0A6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F473D1"/>
    <w:multiLevelType w:val="multilevel"/>
    <w:tmpl w:val="D13C72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D11A34"/>
    <w:multiLevelType w:val="multilevel"/>
    <w:tmpl w:val="D52A6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4820BE"/>
    <w:multiLevelType w:val="multilevel"/>
    <w:tmpl w:val="B10C9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0DCB"/>
    <w:rsid w:val="00030DCB"/>
    <w:rsid w:val="00542E2A"/>
    <w:rsid w:val="00713514"/>
    <w:rsid w:val="00A93C4E"/>
    <w:rsid w:val="00CD1D46"/>
    <w:rsid w:val="00F7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0DC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030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30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30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30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30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rbel">
    <w:name w:val="Body text (2) + Corbel"/>
    <w:aliases w:val="14 pt"/>
    <w:basedOn w:val="Bodytext2"/>
    <w:rsid w:val="00030DC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030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30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30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030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030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30D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30DC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30D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30DCB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4759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2016-04-25T06:25:00Z</dcterms:created>
  <dcterms:modified xsi:type="dcterms:W3CDTF">2017-05-30T11:47:00Z</dcterms:modified>
</cp:coreProperties>
</file>