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8D" w:rsidRDefault="00D94ADD" w:rsidP="00AF7D5F">
      <w:pPr>
        <w:pStyle w:val="Bodytext20"/>
        <w:shd w:val="clear" w:color="auto" w:fill="auto"/>
        <w:spacing w:before="0" w:after="160" w:line="360" w:lineRule="auto"/>
        <w:jc w:val="right"/>
        <w:rPr>
          <w:rFonts w:ascii="Sylfaen" w:hAnsi="Sylfaen"/>
          <w:sz w:val="24"/>
        </w:rPr>
      </w:pPr>
      <w:bookmarkStart w:id="0" w:name="_GoBack"/>
      <w:bookmarkEnd w:id="0"/>
      <w:r>
        <w:rPr>
          <w:rFonts w:ascii="Sylfaen" w:hAnsi="Sylfaen"/>
          <w:sz w:val="24"/>
        </w:rPr>
        <w:t>Նախագիծ</w:t>
      </w:r>
    </w:p>
    <w:p w:rsidR="00B2059C" w:rsidRPr="00AF7D5F" w:rsidRDefault="00B2059C" w:rsidP="00AF7D5F">
      <w:pPr>
        <w:pStyle w:val="Bodytext20"/>
        <w:shd w:val="clear" w:color="auto" w:fill="auto"/>
        <w:spacing w:before="0" w:after="160" w:line="360" w:lineRule="auto"/>
        <w:jc w:val="right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40"/>
        <w:shd w:val="clear" w:color="auto" w:fill="auto"/>
        <w:spacing w:before="0" w:after="160" w:line="360" w:lineRule="auto"/>
        <w:ind w:left="20" w:firstLine="0"/>
        <w:rPr>
          <w:rFonts w:ascii="Sylfaen" w:hAnsi="Sylfaen"/>
          <w:sz w:val="24"/>
          <w:szCs w:val="24"/>
        </w:rPr>
      </w:pPr>
      <w:r>
        <w:rPr>
          <w:rStyle w:val="Bodytext4Spacing2pt"/>
          <w:rFonts w:ascii="Sylfaen" w:hAnsi="Sylfaen"/>
          <w:b/>
          <w:spacing w:val="0"/>
          <w:sz w:val="24"/>
        </w:rPr>
        <w:t>ՀԱՄԱՁԱՅՆԱԳԻՐ</w:t>
      </w:r>
    </w:p>
    <w:p w:rsidR="00A85C8D" w:rsidRDefault="00D94ADD" w:rsidP="00406A2B">
      <w:pPr>
        <w:pStyle w:val="Bodytext40"/>
        <w:shd w:val="clear" w:color="auto" w:fill="auto"/>
        <w:spacing w:before="0" w:after="160" w:line="360" w:lineRule="auto"/>
        <w:ind w:left="1701" w:right="1693" w:firstLine="0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Եվրասիական տնտեսական միության շրջանակներում գյուղատնտեսական բույսերի սերմերի շրջանառության մասին</w:t>
      </w:r>
    </w:p>
    <w:p w:rsidR="00330A64" w:rsidRPr="00AF7D5F" w:rsidRDefault="00330A64" w:rsidP="00596896">
      <w:pPr>
        <w:pStyle w:val="Bodytext40"/>
        <w:shd w:val="clear" w:color="auto" w:fill="auto"/>
        <w:spacing w:before="0" w:after="160" w:line="360" w:lineRule="auto"/>
        <w:ind w:left="1920" w:right="559" w:hanging="786"/>
        <w:jc w:val="left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Եվրասիական տնտեսական միության անդամ պետությունները, այսուհետ՝ անդամ պետություններ,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հիմնվելով «Եվրասիական տնտեսական միության մասին» 2014 թվականի մայիսի 29-ի պայմանագրի վրա,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ելնելով գյուղատնտեսական բույսերի սերմերի շուկայի զարգացման եւ անդամ պետությունների՝ մրցունակ գյուղատնտեսական արտադրանքի արտադրության ծավալների ավելացման նպատակով գյուղատնտեսական բույսերի սերմնաբուծության ոլորտում համագործակցության մեջ անդամ պետությունների փոխադարձ շահագրգռվածությունից,</w:t>
      </w:r>
    </w:p>
    <w:p w:rsidR="00A85C8D" w:rsidRPr="00AF7D5F" w:rsidRDefault="00D94ADD" w:rsidP="00B2059C">
      <w:pPr>
        <w:pStyle w:val="Bodytext20"/>
        <w:shd w:val="clear" w:color="auto" w:fill="auto"/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ճանաչելով Եվրասիական տնտեսական միության (այսուհետ՝ Միություն) շրջանակներում գյուղատնտեսական բույսերի սորտերի շրջանառության, սորտերի փորձարկման 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գյուղատնտեսական բույսերի սերմնաբուծության ոլորտներում պահանջների միասնականացման նպատակահարմարությունը,</w:t>
      </w:r>
    </w:p>
    <w:p w:rsid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պահպանելով փոխադարձ հարգանքի, հավասարության 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հրապարակայնության սկզբունքները, 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համաձայնեցին ներքոնշյալի մասին.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034E98" w:rsidRDefault="00034E98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Հոդված 1</w:t>
      </w:r>
    </w:p>
    <w:p w:rsidR="00A85C8D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Սույն Համաձայնագրի նպատակներով օգտագործվում են հասկացություններ, որոնք ունեն հետ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յալ իմաստը՝</w:t>
      </w:r>
    </w:p>
    <w:p w:rsidR="00A85C8D" w:rsidRPr="00AF7D5F" w:rsidRDefault="00E75D83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2E0F">
        <w:rPr>
          <w:rFonts w:ascii="Sylfaen" w:hAnsi="Sylfaen"/>
          <w:sz w:val="24"/>
        </w:rPr>
        <w:t>գյուղատնտեսական բույսերի սորտերի միասնական ռեեստր</w:t>
      </w:r>
      <w:r w:rsidR="00D94ADD">
        <w:rPr>
          <w:rFonts w:ascii="Sylfaen" w:hAnsi="Sylfaen"/>
          <w:sz w:val="24"/>
        </w:rPr>
        <w:t>՝ ընդհանուր տեղեկատվական ռեսուրս, որը տեղեկություններ է պարունակում ազգային ռեեստրներում ընդգրկված գյուղատնտեսական բույսերի սորտերի մասին.</w:t>
      </w:r>
    </w:p>
    <w:p w:rsidR="00A85C8D" w:rsidRPr="00AF7D5F" w:rsidRDefault="00E75D83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2E0F">
        <w:rPr>
          <w:rFonts w:ascii="Sylfaen" w:hAnsi="Sylfaen"/>
          <w:sz w:val="24"/>
        </w:rPr>
        <w:t>սորտի փորձարկում</w:t>
      </w:r>
      <w:r w:rsidR="00D94ADD">
        <w:rPr>
          <w:rFonts w:ascii="Sylfaen" w:hAnsi="Sylfaen"/>
          <w:sz w:val="24"/>
        </w:rPr>
        <w:t>՝ սորտի տնտեսական եւ կենսաբանական հատկությունների, ինչպես նաեւ սորտի տարբերակիչ հատկանիշների, միատարրության եւ կայունության</w:t>
      </w:r>
      <w:r w:rsidR="00126ACC">
        <w:rPr>
          <w:rFonts w:ascii="Sylfaen" w:hAnsi="Sylfaen"/>
          <w:sz w:val="24"/>
        </w:rPr>
        <w:t xml:space="preserve"> </w:t>
      </w:r>
      <w:r w:rsidR="00D94ADD">
        <w:rPr>
          <w:rFonts w:ascii="Sylfaen" w:hAnsi="Sylfaen"/>
          <w:sz w:val="24"/>
        </w:rPr>
        <w:t>որոշման միջոցառումներ՝ ազգային ռեեստրում այն ընդգրկելու նպատակով.</w:t>
      </w:r>
    </w:p>
    <w:p w:rsidR="00A85C8D" w:rsidRPr="00AF7D5F" w:rsidRDefault="00E75D83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2E0F">
        <w:rPr>
          <w:rFonts w:ascii="Sylfaen" w:hAnsi="Sylfaen"/>
          <w:sz w:val="24"/>
        </w:rPr>
        <w:t>ազգային ռեեստր</w:t>
      </w:r>
      <w:r w:rsidR="00D94ADD">
        <w:rPr>
          <w:rFonts w:ascii="Sylfaen" w:hAnsi="Sylfaen"/>
          <w:sz w:val="24"/>
        </w:rPr>
        <w:t>՝ անդամ պետությունների տարածքում օգտագործման համար</w:t>
      </w:r>
      <w:r w:rsidR="00F043DD">
        <w:rPr>
          <w:rFonts w:ascii="Sylfaen" w:hAnsi="Sylfaen"/>
          <w:sz w:val="24"/>
        </w:rPr>
        <w:t xml:space="preserve"> </w:t>
      </w:r>
      <w:r w:rsidR="00D94ADD">
        <w:rPr>
          <w:rFonts w:ascii="Sylfaen" w:hAnsi="Sylfaen"/>
          <w:sz w:val="24"/>
        </w:rPr>
        <w:t>արտոնված (թույլատրված, երաշխավորվող) գյուղատնտեսական բույսերի սորտերի՝ անդամ պետության օրենսդրությանը համապատասխան ձ</w:t>
      </w:r>
      <w:r w:rsidR="00064A89">
        <w:rPr>
          <w:rFonts w:ascii="Sylfaen" w:hAnsi="Sylfaen"/>
          <w:sz w:val="24"/>
        </w:rPr>
        <w:t>եւ</w:t>
      </w:r>
      <w:r w:rsidR="00D94ADD">
        <w:rPr>
          <w:rFonts w:ascii="Sylfaen" w:hAnsi="Sylfaen"/>
          <w:sz w:val="24"/>
        </w:rPr>
        <w:t>ավորվող ռեեստր.</w:t>
      </w:r>
    </w:p>
    <w:p w:rsidR="00A85C8D" w:rsidRPr="00AF7D5F" w:rsidRDefault="00E75D83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2E0F">
        <w:rPr>
          <w:rFonts w:ascii="Sylfaen" w:hAnsi="Sylfaen"/>
          <w:sz w:val="24"/>
        </w:rPr>
        <w:t>գյուղատնտեսական բույսերի սերմերի շրջանառություն</w:t>
      </w:r>
      <w:r w:rsidR="00D94ADD">
        <w:rPr>
          <w:rFonts w:ascii="Sylfaen" w:hAnsi="Sylfaen"/>
          <w:sz w:val="24"/>
        </w:rPr>
        <w:t>՝ մեկ անդամ պետության տարածքից մյուս անդամ պետության տարածք (այդ թվում՝ Միության անդամ չհանդիսացող պետության տարածքով) գյուղատնտեսական բույսերի սերմերի տեղափոխումը, դրանց պահպանումն ու իրացումը.</w:t>
      </w:r>
    </w:p>
    <w:p w:rsidR="00A85C8D" w:rsidRPr="00AF7D5F" w:rsidRDefault="00E75D83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2E0F">
        <w:rPr>
          <w:rFonts w:ascii="Sylfaen" w:hAnsi="Sylfaen"/>
          <w:sz w:val="24"/>
        </w:rPr>
        <w:t>գյուղատնտեսական բույսերի սերմերի ցանքային (տնկման) որակներ</w:t>
      </w:r>
      <w:r w:rsidR="00D94ADD">
        <w:rPr>
          <w:rFonts w:ascii="Sylfaen" w:hAnsi="Sylfaen"/>
          <w:sz w:val="24"/>
        </w:rPr>
        <w:t>՝ գյուղատնտեսական բույսերի սերմերի որակի այն ցուցանիշների ամբողջությունը, որոնք բնութագրում են ցանքի (տնկման) համար սերմերի պիտանիությունը.</w:t>
      </w:r>
    </w:p>
    <w:p w:rsidR="00A85C8D" w:rsidRPr="00AF7D5F" w:rsidRDefault="00E75D83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2E0F">
        <w:rPr>
          <w:rFonts w:ascii="Sylfaen" w:hAnsi="Sylfaen"/>
          <w:sz w:val="24"/>
        </w:rPr>
        <w:t>գյուղատնտեսական բույսեր</w:t>
      </w:r>
      <w:r w:rsidR="00D94ADD">
        <w:rPr>
          <w:rFonts w:ascii="Sylfaen" w:hAnsi="Sylfaen"/>
          <w:sz w:val="24"/>
        </w:rPr>
        <w:t>՝ հացահատիկային, հացահատիկաոլոռային, ձավարատու, կերային, տեխնիկական, յուղատու, եթերայուղատու, բանջարային, բոստանային, պտղատու, հատապտղատու, դեղատու մշակաբույսեր, ինչպես նա</w:t>
      </w:r>
      <w:r w:rsidR="00064A89">
        <w:rPr>
          <w:rFonts w:ascii="Sylfaen" w:hAnsi="Sylfaen"/>
          <w:sz w:val="24"/>
        </w:rPr>
        <w:t>եւ</w:t>
      </w:r>
      <w:r w:rsidR="00D94ADD">
        <w:rPr>
          <w:rFonts w:ascii="Sylfaen" w:hAnsi="Sylfaen"/>
          <w:sz w:val="24"/>
        </w:rPr>
        <w:t xml:space="preserve"> կարտոֆիլ </w:t>
      </w:r>
      <w:r w:rsidR="00064A89">
        <w:rPr>
          <w:rFonts w:ascii="Sylfaen" w:hAnsi="Sylfaen"/>
          <w:sz w:val="24"/>
        </w:rPr>
        <w:t>եւ</w:t>
      </w:r>
      <w:r w:rsidR="00D94ADD">
        <w:rPr>
          <w:rFonts w:ascii="Sylfaen" w:hAnsi="Sylfaen"/>
          <w:sz w:val="24"/>
        </w:rPr>
        <w:t xml:space="preserve"> խաղող.</w:t>
      </w:r>
    </w:p>
    <w:p w:rsidR="00A85C8D" w:rsidRPr="00AF7D5F" w:rsidRDefault="00E75D83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77612">
        <w:rPr>
          <w:rFonts w:ascii="Sylfaen" w:hAnsi="Sylfaen"/>
          <w:spacing w:val="4"/>
          <w:sz w:val="24"/>
        </w:rPr>
        <w:t>գյուղատնտեսական բույսերի սերմեր</w:t>
      </w:r>
      <w:r w:rsidR="00D94ADD" w:rsidRPr="00077612">
        <w:rPr>
          <w:rFonts w:ascii="Sylfaen" w:hAnsi="Sylfaen"/>
          <w:spacing w:val="4"/>
          <w:sz w:val="24"/>
        </w:rPr>
        <w:t xml:space="preserve">՝ բույսերի բուն սերմերը, տնկիները, պտուղները, բարդ պտուղների մասերը, պտղաբույլերը, կոճղեզները, </w:t>
      </w:r>
      <w:r w:rsidR="00D94ADD" w:rsidRPr="00077612">
        <w:rPr>
          <w:rFonts w:ascii="Sylfaen" w:hAnsi="Sylfaen"/>
          <w:spacing w:val="4"/>
          <w:sz w:val="24"/>
        </w:rPr>
        <w:lastRenderedPageBreak/>
        <w:t xml:space="preserve">պալարները </w:t>
      </w:r>
      <w:r w:rsidR="00064A89" w:rsidRPr="00077612">
        <w:rPr>
          <w:rFonts w:ascii="Sylfaen" w:hAnsi="Sylfaen"/>
          <w:spacing w:val="4"/>
          <w:sz w:val="24"/>
        </w:rPr>
        <w:t>եւ</w:t>
      </w:r>
      <w:r w:rsidR="00D94ADD" w:rsidRPr="00077612">
        <w:rPr>
          <w:rFonts w:ascii="Sylfaen" w:hAnsi="Sylfaen"/>
          <w:spacing w:val="4"/>
          <w:sz w:val="24"/>
        </w:rPr>
        <w:t xml:space="preserve"> բույսերի այլ</w:t>
      </w:r>
      <w:r w:rsidR="00D94ADD">
        <w:rPr>
          <w:rFonts w:ascii="Sylfaen" w:hAnsi="Sylfaen"/>
          <w:sz w:val="24"/>
        </w:rPr>
        <w:t xml:space="preserve">՝ գեներատիվ </w:t>
      </w:r>
      <w:r w:rsidR="00064A89">
        <w:rPr>
          <w:rFonts w:ascii="Sylfaen" w:hAnsi="Sylfaen"/>
          <w:sz w:val="24"/>
        </w:rPr>
        <w:t>եւ</w:t>
      </w:r>
      <w:r w:rsidR="00D94ADD">
        <w:rPr>
          <w:rFonts w:ascii="Sylfaen" w:hAnsi="Sylfaen"/>
          <w:sz w:val="24"/>
        </w:rPr>
        <w:t xml:space="preserve"> վեգետատիվ մասեր, որոնք նախատեսված են գյուղատնտեսական բույսերի սորտերի բազմացման </w:t>
      </w:r>
      <w:r w:rsidR="00064A89">
        <w:rPr>
          <w:rFonts w:ascii="Sylfaen" w:hAnsi="Sylfaen"/>
          <w:sz w:val="24"/>
        </w:rPr>
        <w:t>եւ</w:t>
      </w:r>
      <w:r w:rsidR="00D94ADD">
        <w:rPr>
          <w:rFonts w:ascii="Sylfaen" w:hAnsi="Sylfaen"/>
          <w:sz w:val="24"/>
        </w:rPr>
        <w:t xml:space="preserve"> (կամ) վերարտադրության համար.</w:t>
      </w:r>
    </w:p>
    <w:p w:rsidR="00A85C8D" w:rsidRPr="00AF7D5F" w:rsidRDefault="00E75D83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2E0F">
        <w:rPr>
          <w:rFonts w:ascii="Sylfaen" w:hAnsi="Sylfaen"/>
          <w:sz w:val="24"/>
        </w:rPr>
        <w:t>սերմնաբուծություն</w:t>
      </w:r>
      <w:r w:rsidR="00D94ADD">
        <w:rPr>
          <w:rFonts w:ascii="Sylfaen" w:hAnsi="Sylfaen"/>
          <w:sz w:val="24"/>
        </w:rPr>
        <w:t xml:space="preserve">՝ գյուղատնտեսական բույսերի սերմերի արտադրության, փոխադրման, պահպանման, իրացման </w:t>
      </w:r>
      <w:r w:rsidR="00064A89">
        <w:rPr>
          <w:rFonts w:ascii="Sylfaen" w:hAnsi="Sylfaen"/>
          <w:sz w:val="24"/>
        </w:rPr>
        <w:t>եւ</w:t>
      </w:r>
      <w:r w:rsidR="00D94ADD">
        <w:rPr>
          <w:rFonts w:ascii="Sylfaen" w:hAnsi="Sylfaen"/>
          <w:sz w:val="24"/>
        </w:rPr>
        <w:t xml:space="preserve"> օգտագործման հետ կապված գործունեություն.</w:t>
      </w:r>
    </w:p>
    <w:p w:rsidR="00A85C8D" w:rsidRPr="00AF7D5F" w:rsidRDefault="00E75D83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2E0F">
        <w:rPr>
          <w:rFonts w:ascii="Sylfaen" w:hAnsi="Sylfaen"/>
          <w:sz w:val="24"/>
        </w:rPr>
        <w:t>սորտ</w:t>
      </w:r>
      <w:r w:rsidR="00D94ADD" w:rsidRPr="00362E0F">
        <w:rPr>
          <w:rFonts w:ascii="Sylfaen" w:hAnsi="Sylfaen"/>
          <w:sz w:val="24"/>
        </w:rPr>
        <w:t>՝</w:t>
      </w:r>
      <w:r w:rsidR="00D94ADD">
        <w:rPr>
          <w:rFonts w:ascii="Sylfaen" w:hAnsi="Sylfaen"/>
          <w:sz w:val="24"/>
        </w:rPr>
        <w:t xml:space="preserve"> բուսաբանական տաքսոններից ստորադասի շրջանակներում գյուղատնտեսական բույսերի խումբ, որը որոշվում է տվյալ գենոտիպը կամ գենոտիպերի համակցությունը բնորոշող հատկանիշների արտահայտվածության աստիճանով, միեւնույն բուսաբանական տաքսոնի գյուղատնտեսական բույսերի այլ խմբերից տարբերվում է մեկ կամ մի քանի հատկանիշներով կամ հատկանիշների արտահայտվածության աստիճանով եւ կայուն է.</w:t>
      </w:r>
    </w:p>
    <w:p w:rsidR="00A85C8D" w:rsidRPr="00AF7D5F" w:rsidRDefault="00E75D83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62E0F">
        <w:rPr>
          <w:rFonts w:ascii="Sylfaen" w:hAnsi="Sylfaen"/>
          <w:sz w:val="24"/>
        </w:rPr>
        <w:t>գյուղատնտեսական բույսերի սերմերի սորտային որակներ</w:t>
      </w:r>
      <w:r w:rsidR="00D94ADD">
        <w:rPr>
          <w:rFonts w:ascii="Sylfaen" w:hAnsi="Sylfaen"/>
          <w:sz w:val="24"/>
        </w:rPr>
        <w:t>՝ հատկանիշների ամբողջություն, որը բնորոշում է գյուղատնտեսական բույսերի սերմերի պատկանելությունը որոշակի սորտի</w:t>
      </w:r>
      <w:r w:rsidR="00F043DD">
        <w:rPr>
          <w:rFonts w:ascii="Sylfaen" w:hAnsi="Sylfaen"/>
          <w:sz w:val="24"/>
        </w:rPr>
        <w:t>: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Հոդված 2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Սույն Համաձայնագիրը կարգավորում է Միության շրջանակներում գյուղատնտեսական բույսերի սերմերի շրջանառության հետ կապված իրավահարաբերությունները</w:t>
      </w:r>
      <w:r w:rsidR="00F043DD">
        <w:rPr>
          <w:rFonts w:ascii="Sylfaen" w:hAnsi="Sylfaen"/>
          <w:sz w:val="24"/>
        </w:rPr>
        <w:t>՝</w:t>
      </w:r>
      <w:r>
        <w:rPr>
          <w:rFonts w:ascii="Sylfaen" w:hAnsi="Sylfaen"/>
          <w:sz w:val="24"/>
        </w:rPr>
        <w:t xml:space="preserve"> բացառությամբ գյուղատնտեսական բույսերի</w:t>
      </w:r>
      <w:r w:rsidR="00126ACC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սերմերի, որոնց սորտերի գենային ծրագիրը գենային ինժեներիայի նյութ է պարունակում։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Հոդված 3</w:t>
      </w:r>
    </w:p>
    <w:p w:rsidR="00A85C8D" w:rsidRPr="00AF7D5F" w:rsidRDefault="00330A64" w:rsidP="005D2B3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1.</w:t>
      </w:r>
      <w:r>
        <w:rPr>
          <w:rFonts w:ascii="Sylfaen" w:hAnsi="Sylfaen"/>
          <w:sz w:val="24"/>
        </w:rPr>
        <w:tab/>
      </w:r>
      <w:r w:rsidR="00D94ADD">
        <w:rPr>
          <w:rFonts w:ascii="Sylfaen" w:hAnsi="Sylfaen"/>
          <w:sz w:val="24"/>
        </w:rPr>
        <w:t xml:space="preserve">Միության շրջանակներում գյուղատնտեսական բույսերի սերմերի շրջանառությունն իրականացվում է դրանց սորտային </w:t>
      </w:r>
      <w:r w:rsidR="00064A89">
        <w:rPr>
          <w:rFonts w:ascii="Sylfaen" w:hAnsi="Sylfaen"/>
          <w:sz w:val="24"/>
        </w:rPr>
        <w:t>եւ</w:t>
      </w:r>
      <w:r w:rsidR="00D94ADD">
        <w:rPr>
          <w:rFonts w:ascii="Sylfaen" w:hAnsi="Sylfaen"/>
          <w:sz w:val="24"/>
        </w:rPr>
        <w:t xml:space="preserve"> ցանքային (տնկման) </w:t>
      </w:r>
      <w:r w:rsidR="00D94ADD">
        <w:rPr>
          <w:rFonts w:ascii="Sylfaen" w:hAnsi="Sylfaen"/>
          <w:sz w:val="24"/>
        </w:rPr>
        <w:lastRenderedPageBreak/>
        <w:t xml:space="preserve">որակների մասին տեղեկություններ պարունակող </w:t>
      </w:r>
      <w:r w:rsidR="00064A89">
        <w:rPr>
          <w:rFonts w:ascii="Sylfaen" w:hAnsi="Sylfaen"/>
          <w:sz w:val="24"/>
        </w:rPr>
        <w:t>եւ</w:t>
      </w:r>
      <w:r w:rsidR="00D94ADD">
        <w:rPr>
          <w:rFonts w:ascii="Sylfaen" w:hAnsi="Sylfaen"/>
          <w:sz w:val="24"/>
        </w:rPr>
        <w:t xml:space="preserve"> ռուսերեն լեզվով ու անդամ պետության պետական լեզվով (պետական լեզուներով) ձ</w:t>
      </w:r>
      <w:r w:rsidR="00064A89">
        <w:rPr>
          <w:rFonts w:ascii="Sylfaen" w:hAnsi="Sylfaen"/>
          <w:sz w:val="24"/>
        </w:rPr>
        <w:t>եւ</w:t>
      </w:r>
      <w:r w:rsidR="00D94ADD">
        <w:rPr>
          <w:rFonts w:ascii="Sylfaen" w:hAnsi="Sylfaen"/>
          <w:sz w:val="24"/>
        </w:rPr>
        <w:t>ակերպված փաստաթղթերի առկայության դեպքում (եթե դա նախատեսված է անդամ պետության օրենսդրությամբ)։</w:t>
      </w:r>
    </w:p>
    <w:p w:rsidR="00A85C8D" w:rsidRPr="00AF7D5F" w:rsidRDefault="00D94ADD" w:rsidP="005D2B3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Եթե գյուղատնտեսական բույսերի սերմերը մշակվել են քիմիական կամ կենսաբանական պատրաստուկներով, Միության շրջանակներում դրանց շրջանառությունն իրականացվում է փաթեթավորված տեսքով՝ ի թիվս սույն կետի առաջին պարբերությունում նշված փաստաթղթերի, նա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այդ սերմերն ուղեկցող փաստաթղթերի 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դրանց մականշվածքի (պիտակի) վրա նշվող քիմիական կամ կենսաբանական պատրաստուկի անվանման մասին ռուսերեն լեզվով 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անդամ պետության պետական լեզվով (պետական լեզուներով) ձ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ակերպված փաստաթղթերի առկայության դեպքում (եթե դա նախատեսված է անդամ պետության օրենսդրությամբ)։</w:t>
      </w:r>
    </w:p>
    <w:p w:rsidR="00A85C8D" w:rsidRPr="00AF7D5F" w:rsidRDefault="00330A64" w:rsidP="005D2B3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2.</w:t>
      </w:r>
      <w:r>
        <w:rPr>
          <w:rFonts w:ascii="Sylfaen" w:hAnsi="Sylfaen"/>
          <w:sz w:val="24"/>
        </w:rPr>
        <w:tab/>
      </w:r>
      <w:r w:rsidR="00D94ADD">
        <w:rPr>
          <w:rFonts w:ascii="Sylfaen" w:hAnsi="Sylfaen"/>
          <w:sz w:val="24"/>
        </w:rPr>
        <w:t xml:space="preserve">Անդամ պետությունները ճանաչում են գյուղատնտեսական բույսերի սերմերի սորտային </w:t>
      </w:r>
      <w:r w:rsidR="00064A89">
        <w:rPr>
          <w:rFonts w:ascii="Sylfaen" w:hAnsi="Sylfaen"/>
          <w:sz w:val="24"/>
        </w:rPr>
        <w:t>եւ</w:t>
      </w:r>
      <w:r w:rsidR="00D94ADD">
        <w:rPr>
          <w:rFonts w:ascii="Sylfaen" w:hAnsi="Sylfaen"/>
          <w:sz w:val="24"/>
        </w:rPr>
        <w:t xml:space="preserve"> ցանքային (տնկման) որակների մասին տեղեկություններ պարունակող փաստաթղթերը, որոնք տրվել են մյուս անդամ պետությունների կողմից՝ անդամ պետությունների առաջարկությունների հիման վրա</w:t>
      </w:r>
      <w:r w:rsidR="00126ACC">
        <w:rPr>
          <w:rFonts w:ascii="Sylfaen" w:hAnsi="Sylfaen"/>
          <w:sz w:val="24"/>
        </w:rPr>
        <w:t xml:space="preserve"> </w:t>
      </w:r>
      <w:r w:rsidR="00D94ADD">
        <w:rPr>
          <w:rFonts w:ascii="Sylfaen" w:hAnsi="Sylfaen"/>
          <w:sz w:val="24"/>
        </w:rPr>
        <w:t>Եվրասիական տնտեսական հանձնաժողովի կողմից (այսուհետ՝ Հանձնաժողով) հաստատված ցանկի համաձայն: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Հոդված 4</w:t>
      </w:r>
    </w:p>
    <w:p w:rsidR="00A85C8D" w:rsidRPr="00AF7D5F" w:rsidRDefault="00AF7D5F" w:rsidP="005D2B3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1.</w:t>
      </w:r>
      <w:r>
        <w:tab/>
      </w:r>
      <w:r>
        <w:rPr>
          <w:rFonts w:ascii="Sylfaen" w:hAnsi="Sylfaen"/>
          <w:sz w:val="24"/>
        </w:rPr>
        <w:t>Միության շրջանակներում գյուղատնտեսական բույսերի սերմերի շրջանառության հետ կապված գործունեության տեղեկատվական ապահովման նպատակով Հանձնաժողովը ձեւավորում է գյուղատնտեսական բույսերի սերմերի միասնական ռեեստր (այսուհետ` միասնական ռեեստր)։</w:t>
      </w:r>
    </w:p>
    <w:p w:rsidR="00A85C8D" w:rsidRPr="00AF7D5F" w:rsidRDefault="00AF7D5F" w:rsidP="005D2B34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2.</w:t>
      </w:r>
      <w:r>
        <w:tab/>
      </w:r>
      <w:r>
        <w:rPr>
          <w:rFonts w:ascii="Sylfaen" w:hAnsi="Sylfaen"/>
          <w:sz w:val="24"/>
        </w:rPr>
        <w:t>Միասնական ռեեստրը ձ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ավորվում է ազգային ռեեստրներում սորտերի մասին պարունակվող </w:t>
      </w:r>
      <w:r w:rsidR="00064A89">
        <w:rPr>
          <w:rFonts w:ascii="Sylfaen" w:hAnsi="Sylfaen"/>
          <w:sz w:val="24"/>
        </w:rPr>
        <w:t>եւ</w:t>
      </w:r>
      <w:r w:rsidR="00126ACC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 xml:space="preserve">անդամ պետությունների կողմից էլեկտրոնային </w:t>
      </w:r>
      <w:r>
        <w:rPr>
          <w:rFonts w:ascii="Sylfaen" w:hAnsi="Sylfaen"/>
          <w:sz w:val="24"/>
        </w:rPr>
        <w:lastRenderedPageBreak/>
        <w:t xml:space="preserve">տեսքով, Միության ինտեգրացված տեղեկատվական համակարգի օգտագործմամբ՝ Հանձնաժողովին ներկայացվող տեղեկությունների հիման վրա։ </w:t>
      </w:r>
    </w:p>
    <w:p w:rsidR="00A85C8D" w:rsidRPr="00AF7D5F" w:rsidRDefault="00D94ADD" w:rsidP="00F96650">
      <w:pPr>
        <w:pStyle w:val="Bodytext20"/>
        <w:shd w:val="clear" w:color="auto" w:fill="auto"/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Միասնական ռեեստրի ձ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ավորման 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վարման կարգը հաստատվում է Հանձնաժողովի կողմից։</w:t>
      </w:r>
    </w:p>
    <w:p w:rsidR="00AF7D5F" w:rsidRDefault="00AF7D5F" w:rsidP="00F96650">
      <w:pPr>
        <w:pStyle w:val="Bodytext20"/>
        <w:shd w:val="clear" w:color="auto" w:fill="auto"/>
        <w:spacing w:before="0" w:after="160" w:line="480" w:lineRule="auto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Հոդված 5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Գյուղատնտեսական բույսերի սորտային նույնականացում անցկացնելու մոտեցումների միասնականացման, գյուղատնտեսական բույսերի սերմերի սորտային 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ցանքային (տնկման) որակների որոշման նպատակով անդամ պետություններն ապահովում են Հանձնաժողովի խորհրդի կողմից սահմանվող միասնական մեթոդների կիրառումը։</w:t>
      </w:r>
    </w:p>
    <w:p w:rsidR="00AF7D5F" w:rsidRDefault="00AF7D5F" w:rsidP="00F96650">
      <w:pPr>
        <w:pStyle w:val="Bodytext20"/>
        <w:shd w:val="clear" w:color="auto" w:fill="auto"/>
        <w:spacing w:before="0" w:after="160" w:line="480" w:lineRule="auto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Հոդված 6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Անդամ պետությունները միջոցներ են ձեռնարկում սորտերի փորձարկման 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սերմնաբուծության խնդիրները կարգավորող՝ իրենց օրենսդրության ներդաշնակեցման ուղղությամբ։ Անդամ պետությունների օրենսդրության ներդաշնակեցմանն ուղղված միջոցների ցանկը 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այդ ներդաշնակեցման ժամկետները սահմանվում են Եվրասիական տնտեսական բարձրագույն խորհրդի կողմից։</w:t>
      </w:r>
    </w:p>
    <w:p w:rsidR="00AF7D5F" w:rsidRDefault="00AF7D5F" w:rsidP="00F96650">
      <w:pPr>
        <w:pStyle w:val="Bodytext20"/>
        <w:shd w:val="clear" w:color="auto" w:fill="auto"/>
        <w:spacing w:before="0" w:after="160" w:line="480" w:lineRule="auto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Հոդված 7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Մինչ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սույն Համաձայնագրի 5-րդ հոդվածին համապատասխան ընդունված՝ Հանձնաժողովի խորհրդի ակտեր ուժի մեջ մտնել</w:t>
      </w:r>
      <w:r w:rsidR="00045FE9">
        <w:rPr>
          <w:rFonts w:ascii="Sylfaen" w:hAnsi="Sylfaen"/>
          <w:sz w:val="24"/>
        </w:rPr>
        <w:t>ն</w:t>
      </w:r>
      <w:r>
        <w:rPr>
          <w:rFonts w:ascii="Sylfaen" w:hAnsi="Sylfaen"/>
          <w:sz w:val="24"/>
        </w:rPr>
        <w:t xml:space="preserve"> անդամ պետություններում կիրառվում են գյուղատնտեսական բույսերի սորտային նույնականացում անցկացնելու, գյուղատնտեսական բույսերի սերմերի սորտային 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ցանքային </w:t>
      </w:r>
      <w:r>
        <w:rPr>
          <w:rFonts w:ascii="Sylfaen" w:hAnsi="Sylfaen"/>
          <w:sz w:val="24"/>
        </w:rPr>
        <w:lastRenderedPageBreak/>
        <w:t>(տնկման) որակների որոշման մեթոդները, որոնք սահմանված են անդամ պետությունների օրենսդրությամբ։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Հոդված 8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Սույն Համաձայնագիրը Միության շրջանակներում կնքված միջազգային պայմանագիր է 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Միության իրավունքի մաս է կազմում։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Հոդված 9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Սույն Համաձայնագրի մեկնաբանման եւ (կամ) կիրառման հետ կապված վեճերը կարգավորվում են «Եվրասիական տնտեսական միության մասին» 2014</w:t>
      </w:r>
      <w:r w:rsidR="00F96650">
        <w:rPr>
          <w:rFonts w:ascii="Sylfaen" w:hAnsi="Sylfaen"/>
          <w:sz w:val="24"/>
        </w:rPr>
        <w:t> </w:t>
      </w:r>
      <w:r>
        <w:rPr>
          <w:rFonts w:ascii="Sylfaen" w:hAnsi="Sylfaen"/>
          <w:sz w:val="24"/>
        </w:rPr>
        <w:t>թվականի մայիսի 29-ի պայմանագրով սահմանված կարգով: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Հոդված 10</w:t>
      </w: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պետությունների պայմանավորվածությամբ սույն Համաձայնագրում կարող են կատարվել փոփոխություններ, որոնք ձ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ակերպվում են առանձին արձանագրություններով </w:t>
      </w:r>
      <w:r w:rsidR="00064A89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կազմում են սույն Համաձայնագրի անբաժանելի մասը։</w:t>
      </w:r>
    </w:p>
    <w:p w:rsidR="00AF7D5F" w:rsidRDefault="00AF7D5F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Հոդված 11</w:t>
      </w:r>
    </w:p>
    <w:p w:rsidR="00066749" w:rsidRPr="00406A2B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Սույն Համաձայնագիրն ուժի մեջ է մտնում սույն Համաձայնագ</w:t>
      </w:r>
      <w:r w:rsidR="00045FE9">
        <w:rPr>
          <w:rFonts w:ascii="Sylfaen" w:hAnsi="Sylfaen"/>
          <w:sz w:val="24"/>
        </w:rPr>
        <w:t>իրն</w:t>
      </w:r>
      <w:r>
        <w:rPr>
          <w:rFonts w:ascii="Sylfaen" w:hAnsi="Sylfaen"/>
          <w:sz w:val="24"/>
        </w:rPr>
        <w:t xml:space="preserve"> ուժի մեջ մտնելու համար անհրաժեշտ ներպետական ընթացակարգեր</w:t>
      </w:r>
      <w:r w:rsidR="00045FE9">
        <w:rPr>
          <w:rFonts w:ascii="Sylfaen" w:hAnsi="Sylfaen"/>
          <w:sz w:val="24"/>
        </w:rPr>
        <w:t>ն</w:t>
      </w:r>
      <w:r>
        <w:rPr>
          <w:rFonts w:ascii="Sylfaen" w:hAnsi="Sylfaen"/>
          <w:sz w:val="24"/>
        </w:rPr>
        <w:t xml:space="preserve"> անդամ պետությունների կողմից կատարվելու մասին վերջին գրավոր ծանուցումն ավանդապահի կողմից դիվանագիտական ուղիներով ստանալու օրվանից 30</w:t>
      </w:r>
      <w:r w:rsidR="00406A2B" w:rsidRPr="00406A2B">
        <w:rPr>
          <w:rFonts w:ascii="Sylfaen" w:hAnsi="Sylfaen"/>
          <w:sz w:val="24"/>
        </w:rPr>
        <w:t> օրացուցային օրը լրանալուց հետո:</w:t>
      </w:r>
    </w:p>
    <w:p w:rsidR="00066749" w:rsidRDefault="00066749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</w:rPr>
      </w:pPr>
    </w:p>
    <w:p w:rsidR="00066749" w:rsidRDefault="00066749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</w:rPr>
      </w:pPr>
    </w:p>
    <w:p w:rsidR="00A85C8D" w:rsidRPr="00AF7D5F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A70BC">
        <w:rPr>
          <w:rFonts w:ascii="Sylfaen" w:hAnsi="Sylfaen"/>
          <w:sz w:val="24"/>
        </w:rPr>
        <w:lastRenderedPageBreak/>
        <w:t xml:space="preserve">Կատարված է </w:t>
      </w:r>
      <w:r w:rsidR="00CA36A5" w:rsidRPr="008A70BC">
        <w:rPr>
          <w:rFonts w:ascii="Sylfaen" w:hAnsi="Sylfaen"/>
          <w:sz w:val="24"/>
        </w:rPr>
        <w:t xml:space="preserve">                     </w:t>
      </w:r>
      <w:r w:rsidRPr="008A70BC">
        <w:rPr>
          <w:rFonts w:ascii="Sylfaen" w:hAnsi="Sylfaen"/>
          <w:sz w:val="24"/>
        </w:rPr>
        <w:t xml:space="preserve"> քաղաքում 201</w:t>
      </w:r>
      <w:r w:rsidR="00CA36A5" w:rsidRPr="008A70BC">
        <w:rPr>
          <w:rFonts w:ascii="Sylfaen" w:hAnsi="Sylfaen"/>
          <w:sz w:val="24"/>
        </w:rPr>
        <w:t xml:space="preserve">       </w:t>
      </w:r>
      <w:r w:rsidRPr="008A70BC">
        <w:rPr>
          <w:rFonts w:ascii="Sylfaen" w:hAnsi="Sylfaen"/>
          <w:sz w:val="24"/>
        </w:rPr>
        <w:t xml:space="preserve"> թվականի </w:t>
      </w:r>
      <w:r w:rsidR="00CA36A5" w:rsidRPr="008A70BC">
        <w:rPr>
          <w:rFonts w:ascii="Sylfaen" w:hAnsi="Sylfaen"/>
          <w:sz w:val="24"/>
        </w:rPr>
        <w:t xml:space="preserve">          -ի «       </w:t>
      </w:r>
      <w:r w:rsidRPr="008A70BC">
        <w:rPr>
          <w:rFonts w:ascii="Sylfaen" w:hAnsi="Sylfaen"/>
          <w:sz w:val="24"/>
        </w:rPr>
        <w:t>»-ին, մեկ</w:t>
      </w:r>
      <w:r>
        <w:rPr>
          <w:rFonts w:ascii="Sylfaen" w:hAnsi="Sylfaen"/>
          <w:sz w:val="24"/>
        </w:rPr>
        <w:t xml:space="preserve"> բնօրինակից՝ ռուսերենով։</w:t>
      </w:r>
    </w:p>
    <w:p w:rsidR="00A85C8D" w:rsidRDefault="00D94ADD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Սույն Համաձայնագրի բնօրինակը պահվում է Եվրասիական տնտեսական հանձնաժողովում, որը</w:t>
      </w:r>
      <w:r w:rsidR="00045FE9">
        <w:rPr>
          <w:rFonts w:ascii="Sylfaen" w:hAnsi="Sylfaen"/>
          <w:sz w:val="24"/>
        </w:rPr>
        <w:t>՝</w:t>
      </w:r>
      <w:r>
        <w:rPr>
          <w:rFonts w:ascii="Sylfaen" w:hAnsi="Sylfaen"/>
          <w:sz w:val="24"/>
        </w:rPr>
        <w:t xml:space="preserve"> որպես սույն Համաձայնագրի ավանդապահ, յուրաքանչյուր անդամ պետությանը կտրամադրի դրա հաստատված պատճենը։</w:t>
      </w:r>
    </w:p>
    <w:p w:rsidR="00066749" w:rsidRPr="00AF7D5F" w:rsidRDefault="00066749" w:rsidP="00AF7D5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10646" w:type="dxa"/>
        <w:jc w:val="center"/>
        <w:tblInd w:w="-6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2"/>
        <w:gridCol w:w="2170"/>
        <w:gridCol w:w="2127"/>
        <w:gridCol w:w="1984"/>
        <w:gridCol w:w="1843"/>
      </w:tblGrid>
      <w:tr w:rsidR="00A85C8D" w:rsidRPr="00066749" w:rsidTr="00126ACC">
        <w:trPr>
          <w:jc w:val="center"/>
        </w:trPr>
        <w:tc>
          <w:tcPr>
            <w:tcW w:w="2522" w:type="dxa"/>
            <w:shd w:val="clear" w:color="auto" w:fill="FFFFFF"/>
          </w:tcPr>
          <w:p w:rsidR="00A85C8D" w:rsidRDefault="00D94ADD" w:rsidP="0006674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Sylfaen" w:hAnsi="Sylfaen"/>
                <w:sz w:val="22"/>
                <w:szCs w:val="22"/>
              </w:rPr>
            </w:pPr>
            <w:r w:rsidRPr="00066749">
              <w:rPr>
                <w:rStyle w:val="Bodytext214pt"/>
                <w:rFonts w:ascii="Sylfaen" w:hAnsi="Sylfaen"/>
                <w:sz w:val="22"/>
                <w:szCs w:val="22"/>
              </w:rPr>
              <w:t>Հայաստանի Հանրապետության կողմից</w:t>
            </w:r>
            <w:r w:rsidR="00045FE9" w:rsidRPr="00066749">
              <w:rPr>
                <w:rStyle w:val="Bodytext214pt"/>
                <w:rFonts w:ascii="Sylfaen" w:hAnsi="Sylfaen"/>
                <w:sz w:val="22"/>
                <w:szCs w:val="22"/>
              </w:rPr>
              <w:t>՝</w:t>
            </w:r>
          </w:p>
          <w:p w:rsidR="008412CB" w:rsidRDefault="008412CB" w:rsidP="0006674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Sylfaen" w:hAnsi="Sylfaen"/>
                <w:sz w:val="22"/>
                <w:szCs w:val="22"/>
              </w:rPr>
            </w:pPr>
          </w:p>
          <w:p w:rsidR="008412CB" w:rsidRPr="00066749" w:rsidRDefault="008412CB" w:rsidP="0006674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FFFFFF"/>
          </w:tcPr>
          <w:p w:rsidR="00A85C8D" w:rsidRDefault="00D94ADD" w:rsidP="0006674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Sylfaen" w:hAnsi="Sylfaen"/>
                <w:sz w:val="22"/>
                <w:szCs w:val="22"/>
              </w:rPr>
            </w:pPr>
            <w:r w:rsidRPr="00066749">
              <w:rPr>
                <w:rStyle w:val="Bodytext214pt"/>
                <w:rFonts w:ascii="Sylfaen" w:hAnsi="Sylfaen"/>
                <w:sz w:val="22"/>
                <w:szCs w:val="22"/>
              </w:rPr>
              <w:t>Բելառուսի Հանրապետության կողմից</w:t>
            </w:r>
            <w:r w:rsidR="00045FE9" w:rsidRPr="00066749">
              <w:rPr>
                <w:rStyle w:val="Bodytext214pt"/>
                <w:rFonts w:ascii="Sylfaen" w:hAnsi="Sylfaen"/>
                <w:sz w:val="22"/>
                <w:szCs w:val="22"/>
              </w:rPr>
              <w:t>՝</w:t>
            </w:r>
          </w:p>
          <w:p w:rsidR="008412CB" w:rsidRDefault="008412CB" w:rsidP="0006674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Sylfaen" w:hAnsi="Sylfaen"/>
                <w:sz w:val="22"/>
                <w:szCs w:val="22"/>
              </w:rPr>
            </w:pPr>
          </w:p>
          <w:p w:rsidR="008412CB" w:rsidRPr="00066749" w:rsidRDefault="008412CB" w:rsidP="0006674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</w:tcPr>
          <w:p w:rsidR="00A85C8D" w:rsidRDefault="00D94ADD" w:rsidP="0006674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Sylfaen" w:hAnsi="Sylfaen"/>
                <w:sz w:val="22"/>
                <w:szCs w:val="22"/>
              </w:rPr>
            </w:pPr>
            <w:r w:rsidRPr="00066749">
              <w:rPr>
                <w:rStyle w:val="Bodytext214pt"/>
                <w:rFonts w:ascii="Sylfaen" w:hAnsi="Sylfaen"/>
                <w:sz w:val="22"/>
                <w:szCs w:val="22"/>
              </w:rPr>
              <w:t>Ղազախստանի Հանրապետության կողմից</w:t>
            </w:r>
            <w:r w:rsidR="00045FE9" w:rsidRPr="00066749">
              <w:rPr>
                <w:rStyle w:val="Bodytext214pt"/>
                <w:rFonts w:ascii="Sylfaen" w:hAnsi="Sylfaen"/>
                <w:sz w:val="22"/>
                <w:szCs w:val="22"/>
              </w:rPr>
              <w:t>՝</w:t>
            </w:r>
          </w:p>
          <w:p w:rsidR="008412CB" w:rsidRDefault="008412CB" w:rsidP="0006674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Sylfaen" w:hAnsi="Sylfaen"/>
                <w:sz w:val="22"/>
                <w:szCs w:val="22"/>
              </w:rPr>
            </w:pPr>
          </w:p>
          <w:p w:rsidR="008412CB" w:rsidRPr="00066749" w:rsidRDefault="008412CB" w:rsidP="0006674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A85C8D" w:rsidRDefault="00D94ADD" w:rsidP="0006674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Sylfaen" w:hAnsi="Sylfaen"/>
                <w:sz w:val="22"/>
                <w:szCs w:val="22"/>
              </w:rPr>
            </w:pPr>
            <w:r w:rsidRPr="00066749">
              <w:rPr>
                <w:rStyle w:val="Bodytext214pt"/>
                <w:rFonts w:ascii="Sylfaen" w:hAnsi="Sylfaen"/>
                <w:sz w:val="22"/>
                <w:szCs w:val="22"/>
              </w:rPr>
              <w:t>Ղրղզստանի Հանրապետության կողմից</w:t>
            </w:r>
            <w:r w:rsidR="00045FE9" w:rsidRPr="00066749">
              <w:rPr>
                <w:rStyle w:val="Bodytext214pt"/>
                <w:rFonts w:ascii="Sylfaen" w:hAnsi="Sylfaen"/>
                <w:sz w:val="22"/>
                <w:szCs w:val="22"/>
              </w:rPr>
              <w:t>՝</w:t>
            </w:r>
          </w:p>
          <w:p w:rsidR="008412CB" w:rsidRDefault="008412CB" w:rsidP="0006674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Sylfaen" w:hAnsi="Sylfaen"/>
                <w:sz w:val="22"/>
                <w:szCs w:val="22"/>
              </w:rPr>
            </w:pPr>
          </w:p>
          <w:p w:rsidR="008412CB" w:rsidRPr="00066749" w:rsidRDefault="008412CB" w:rsidP="0006674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A85C8D" w:rsidRDefault="00D94ADD" w:rsidP="0006674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Sylfaen" w:hAnsi="Sylfaen"/>
                <w:sz w:val="22"/>
                <w:szCs w:val="22"/>
              </w:rPr>
            </w:pPr>
            <w:r w:rsidRPr="00066749">
              <w:rPr>
                <w:rStyle w:val="Bodytext214pt"/>
                <w:rFonts w:ascii="Sylfaen" w:hAnsi="Sylfaen"/>
                <w:sz w:val="22"/>
                <w:szCs w:val="22"/>
              </w:rPr>
              <w:t>Ռուսաստանի Դաշնության կողմից</w:t>
            </w:r>
            <w:r w:rsidR="00045FE9" w:rsidRPr="00066749">
              <w:rPr>
                <w:rStyle w:val="Bodytext214pt"/>
                <w:rFonts w:ascii="Sylfaen" w:hAnsi="Sylfaen"/>
                <w:sz w:val="22"/>
                <w:szCs w:val="22"/>
              </w:rPr>
              <w:t>՝</w:t>
            </w:r>
          </w:p>
          <w:p w:rsidR="008412CB" w:rsidRDefault="008412CB" w:rsidP="0006674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Sylfaen" w:hAnsi="Sylfaen"/>
                <w:sz w:val="22"/>
                <w:szCs w:val="22"/>
              </w:rPr>
            </w:pPr>
          </w:p>
          <w:p w:rsidR="008412CB" w:rsidRPr="00066749" w:rsidRDefault="008412CB" w:rsidP="0006674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A85C8D" w:rsidRPr="00AF7D5F" w:rsidRDefault="00A85C8D" w:rsidP="00AF7D5F">
      <w:pPr>
        <w:spacing w:after="160" w:line="360" w:lineRule="auto"/>
        <w:rPr>
          <w:rFonts w:ascii="Sylfaen" w:hAnsi="Sylfaen"/>
        </w:rPr>
      </w:pPr>
    </w:p>
    <w:sectPr w:rsidR="00A85C8D" w:rsidRPr="00AF7D5F" w:rsidSect="00CE1B73">
      <w:footerReference w:type="default" r:id="rId9"/>
      <w:pgSz w:w="11900" w:h="16840" w:code="9"/>
      <w:pgMar w:top="1418" w:right="1418" w:bottom="1418" w:left="1418" w:header="0" w:footer="50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4A" w:rsidRDefault="0092234A" w:rsidP="00A85C8D">
      <w:r>
        <w:separator/>
      </w:r>
    </w:p>
  </w:endnote>
  <w:endnote w:type="continuationSeparator" w:id="0">
    <w:p w:rsidR="0092234A" w:rsidRDefault="0092234A" w:rsidP="00A8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6915380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:rsidR="00CE1B73" w:rsidRPr="00CE1B73" w:rsidRDefault="001174AE">
        <w:pPr>
          <w:pStyle w:val="Footer"/>
          <w:jc w:val="center"/>
          <w:rPr>
            <w:rFonts w:ascii="GHEA Grapalat" w:hAnsi="GHEA Grapalat"/>
            <w:color w:val="auto"/>
          </w:rPr>
        </w:pPr>
        <w:r w:rsidRPr="00CE1B73">
          <w:rPr>
            <w:rFonts w:ascii="GHEA Grapalat" w:hAnsi="GHEA Grapalat"/>
            <w:color w:val="auto"/>
          </w:rPr>
          <w:fldChar w:fldCharType="begin"/>
        </w:r>
        <w:r w:rsidR="00CE1B73" w:rsidRPr="00CE1B73">
          <w:rPr>
            <w:rFonts w:ascii="GHEA Grapalat" w:hAnsi="GHEA Grapalat"/>
            <w:color w:val="auto"/>
          </w:rPr>
          <w:instrText xml:space="preserve"> PAGE   \* MERGEFORMAT </w:instrText>
        </w:r>
        <w:r w:rsidRPr="00CE1B73">
          <w:rPr>
            <w:rFonts w:ascii="GHEA Grapalat" w:hAnsi="GHEA Grapalat"/>
            <w:color w:val="auto"/>
          </w:rPr>
          <w:fldChar w:fldCharType="separate"/>
        </w:r>
        <w:r w:rsidR="004B4236">
          <w:rPr>
            <w:rFonts w:ascii="GHEA Grapalat" w:hAnsi="GHEA Grapalat"/>
            <w:noProof/>
            <w:color w:val="auto"/>
          </w:rPr>
          <w:t>7</w:t>
        </w:r>
        <w:r w:rsidRPr="00CE1B73">
          <w:rPr>
            <w:rFonts w:ascii="GHEA Grapalat" w:hAnsi="GHEA Grapalat"/>
            <w:color w:val="aut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4A" w:rsidRDefault="0092234A"/>
  </w:footnote>
  <w:footnote w:type="continuationSeparator" w:id="0">
    <w:p w:rsidR="0092234A" w:rsidRDefault="009223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4AC5"/>
    <w:multiLevelType w:val="multilevel"/>
    <w:tmpl w:val="E176F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492A3A"/>
    <w:multiLevelType w:val="multilevel"/>
    <w:tmpl w:val="4642A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5C8D"/>
    <w:rsid w:val="00034E98"/>
    <w:rsid w:val="00045FE9"/>
    <w:rsid w:val="00064A89"/>
    <w:rsid w:val="00066749"/>
    <w:rsid w:val="00077612"/>
    <w:rsid w:val="000802F4"/>
    <w:rsid w:val="000B14CA"/>
    <w:rsid w:val="00101A4F"/>
    <w:rsid w:val="001174AE"/>
    <w:rsid w:val="00126ACC"/>
    <w:rsid w:val="00145746"/>
    <w:rsid w:val="00304DD5"/>
    <w:rsid w:val="00330A64"/>
    <w:rsid w:val="00362E0F"/>
    <w:rsid w:val="00364899"/>
    <w:rsid w:val="003875ED"/>
    <w:rsid w:val="003F42AB"/>
    <w:rsid w:val="00406A2B"/>
    <w:rsid w:val="0047644F"/>
    <w:rsid w:val="004B177E"/>
    <w:rsid w:val="004B4236"/>
    <w:rsid w:val="00596896"/>
    <w:rsid w:val="005B5222"/>
    <w:rsid w:val="005C3A8A"/>
    <w:rsid w:val="005D2B34"/>
    <w:rsid w:val="005E2141"/>
    <w:rsid w:val="00655D8E"/>
    <w:rsid w:val="007614BF"/>
    <w:rsid w:val="008412CB"/>
    <w:rsid w:val="008A70BC"/>
    <w:rsid w:val="0092234A"/>
    <w:rsid w:val="009A29B6"/>
    <w:rsid w:val="009A66AD"/>
    <w:rsid w:val="009A6786"/>
    <w:rsid w:val="009E7903"/>
    <w:rsid w:val="00A11233"/>
    <w:rsid w:val="00A67CEC"/>
    <w:rsid w:val="00A85C8D"/>
    <w:rsid w:val="00AB037F"/>
    <w:rsid w:val="00AF7D5F"/>
    <w:rsid w:val="00B2059C"/>
    <w:rsid w:val="00B31D61"/>
    <w:rsid w:val="00B96918"/>
    <w:rsid w:val="00C56034"/>
    <w:rsid w:val="00CA36A5"/>
    <w:rsid w:val="00CE1B73"/>
    <w:rsid w:val="00D3351D"/>
    <w:rsid w:val="00D3487B"/>
    <w:rsid w:val="00D35844"/>
    <w:rsid w:val="00D43284"/>
    <w:rsid w:val="00D94ADD"/>
    <w:rsid w:val="00E75D83"/>
    <w:rsid w:val="00E92E82"/>
    <w:rsid w:val="00F043DD"/>
    <w:rsid w:val="00F50CE8"/>
    <w:rsid w:val="00F96650"/>
    <w:rsid w:val="00F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5C8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5C8D"/>
    <w:rPr>
      <w:color w:val="0066CC"/>
      <w:u w:val="single"/>
    </w:rPr>
  </w:style>
  <w:style w:type="character" w:customStyle="1" w:styleId="Bodytext6">
    <w:name w:val="Body text (6)_"/>
    <w:basedOn w:val="DefaultParagraphFont"/>
    <w:link w:val="Bodytext60"/>
    <w:rsid w:val="00A85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A85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A85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4pt">
    <w:name w:val="Body text (4) + Spacing 4 pt"/>
    <w:basedOn w:val="Bodytext4"/>
    <w:rsid w:val="00A85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85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A85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A85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Picturecaption">
    <w:name w:val="Picture caption_"/>
    <w:basedOn w:val="DefaultParagraphFont"/>
    <w:link w:val="Picturecaption0"/>
    <w:rsid w:val="00A85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2pt">
    <w:name w:val="Body text (4) + Spacing 2 pt"/>
    <w:basedOn w:val="Bodytext4"/>
    <w:rsid w:val="00A85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A85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A85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">
    <w:name w:val="Body text (2) + 14 pt"/>
    <w:aliases w:val="Bold,Body text (2) + 11.5 pt,Body text (2) + 12 pt,Italic"/>
    <w:basedOn w:val="Bodytext2"/>
    <w:rsid w:val="00A85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60">
    <w:name w:val="Body text (6)"/>
    <w:basedOn w:val="Normal"/>
    <w:link w:val="Bodytext6"/>
    <w:rsid w:val="00A85C8D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A85C8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A85C8D"/>
    <w:pPr>
      <w:shd w:val="clear" w:color="auto" w:fill="FFFFFF"/>
      <w:spacing w:before="1020" w:after="420" w:line="0" w:lineRule="atLeast"/>
      <w:ind w:hanging="8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A85C8D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A85C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A85C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AF7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F7D5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D5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F7D5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D5F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4B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BF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59051-9819-4D6C-8DB7-7C90D62E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 Petrosyan</dc:creator>
  <cp:lastModifiedBy>Hayk Mkrtchyan</cp:lastModifiedBy>
  <cp:revision>13</cp:revision>
  <dcterms:created xsi:type="dcterms:W3CDTF">2017-02-21T11:40:00Z</dcterms:created>
  <dcterms:modified xsi:type="dcterms:W3CDTF">2017-05-26T06:14:00Z</dcterms:modified>
</cp:coreProperties>
</file>