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02" w:rsidRPr="000E0CDA" w:rsidRDefault="00CE3AA2" w:rsidP="008C3454">
      <w:pPr>
        <w:pStyle w:val="Bodytext20"/>
        <w:shd w:val="clear" w:color="auto" w:fill="auto"/>
        <w:spacing w:before="0" w:after="160" w:line="360" w:lineRule="auto"/>
        <w:ind w:left="5670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0E0CDA">
        <w:rPr>
          <w:rFonts w:ascii="Sylfaen" w:hAnsi="Sylfaen"/>
          <w:sz w:val="24"/>
          <w:szCs w:val="24"/>
        </w:rPr>
        <w:t>ՀԱՍՏԱՏՎԱԾ Է</w:t>
      </w:r>
    </w:p>
    <w:p w:rsidR="00CD5702" w:rsidRPr="000E0CDA" w:rsidRDefault="00CE3AA2" w:rsidP="008C3454">
      <w:pPr>
        <w:pStyle w:val="Bodytext20"/>
        <w:shd w:val="clear" w:color="auto" w:fill="auto"/>
        <w:spacing w:before="0" w:after="160" w:line="360" w:lineRule="auto"/>
        <w:ind w:left="5670" w:firstLine="0"/>
        <w:jc w:val="center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Եվրասիական միջկառավարական խորհրդի 2016 թվականի ապրիլի 13-ի թիվ 1 որոշմամբ</w:t>
      </w:r>
    </w:p>
    <w:p w:rsidR="008E3C49" w:rsidRPr="000E0CDA" w:rsidRDefault="008E3C49" w:rsidP="00C56AE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8C3454" w:rsidRPr="00C320F0" w:rsidRDefault="00CE3AA2" w:rsidP="00C56AEF">
      <w:pPr>
        <w:pStyle w:val="Heading10"/>
        <w:shd w:val="clear" w:color="auto" w:fill="auto"/>
        <w:spacing w:before="0" w:after="160" w:line="360" w:lineRule="auto"/>
        <w:ind w:left="567" w:right="566" w:firstLine="0"/>
        <w:outlineLvl w:val="9"/>
        <w:rPr>
          <w:rStyle w:val="Heading1Spacing2pt"/>
          <w:rFonts w:ascii="Sylfaen" w:hAnsi="Sylfaen"/>
          <w:b/>
          <w:spacing w:val="0"/>
          <w:sz w:val="24"/>
          <w:szCs w:val="24"/>
        </w:rPr>
      </w:pPr>
      <w:bookmarkStart w:id="1" w:name="bookmark2"/>
      <w:r w:rsidRPr="000E0CDA">
        <w:rPr>
          <w:rStyle w:val="Heading1Spacing2pt"/>
          <w:rFonts w:ascii="Sylfaen" w:hAnsi="Sylfaen"/>
          <w:b/>
          <w:spacing w:val="0"/>
          <w:sz w:val="24"/>
          <w:szCs w:val="24"/>
        </w:rPr>
        <w:t>ՀԱՅԵՑԱԿԱՐԳ</w:t>
      </w:r>
      <w:bookmarkEnd w:id="1"/>
    </w:p>
    <w:p w:rsidR="00A43B42" w:rsidRPr="00C320F0" w:rsidRDefault="00A43B42" w:rsidP="00C56AEF">
      <w:pPr>
        <w:pStyle w:val="Heading10"/>
        <w:shd w:val="clear" w:color="auto" w:fill="auto"/>
        <w:spacing w:before="0" w:after="160" w:line="360" w:lineRule="auto"/>
        <w:ind w:left="567" w:right="566" w:firstLine="0"/>
        <w:outlineLvl w:val="9"/>
        <w:rPr>
          <w:rFonts w:ascii="Sylfaen" w:hAnsi="Sylfaen"/>
          <w:bCs w:val="0"/>
          <w:sz w:val="24"/>
          <w:szCs w:val="24"/>
        </w:rPr>
      </w:pPr>
    </w:p>
    <w:p w:rsidR="00CD5702" w:rsidRPr="000E0CDA" w:rsidRDefault="00CE3AA2" w:rsidP="00C56AEF">
      <w:pPr>
        <w:pStyle w:val="Heading10"/>
        <w:shd w:val="clear" w:color="auto" w:fill="auto"/>
        <w:spacing w:before="0" w:after="160" w:line="360" w:lineRule="auto"/>
        <w:ind w:left="567" w:right="566" w:firstLine="0"/>
        <w:outlineLvl w:val="9"/>
        <w:rPr>
          <w:rFonts w:ascii="Sylfaen" w:hAnsi="Sylfaen"/>
          <w:sz w:val="24"/>
          <w:szCs w:val="24"/>
        </w:rPr>
      </w:pPr>
      <w:bookmarkStart w:id="2" w:name="bookmark3"/>
      <w:r w:rsidRPr="000E0CDA">
        <w:rPr>
          <w:rFonts w:ascii="Sylfaen" w:hAnsi="Sylfaen"/>
          <w:sz w:val="24"/>
          <w:szCs w:val="24"/>
        </w:rPr>
        <w:t>Հաստոցաշինության եվրասիական ինժինիրինգային կենտրոնի ստեղծման</w:t>
      </w:r>
      <w:bookmarkEnd w:id="2"/>
    </w:p>
    <w:p w:rsidR="008E3C49" w:rsidRPr="000E0CDA" w:rsidRDefault="008E3C49" w:rsidP="00CF64F7">
      <w:pPr>
        <w:pStyle w:val="Heading10"/>
        <w:shd w:val="clear" w:color="auto" w:fill="auto"/>
        <w:spacing w:before="0" w:after="160" w:line="240" w:lineRule="auto"/>
        <w:ind w:left="567" w:right="566" w:firstLine="0"/>
        <w:jc w:val="both"/>
        <w:outlineLvl w:val="9"/>
        <w:rPr>
          <w:rFonts w:ascii="Sylfaen" w:hAnsi="Sylfaen"/>
          <w:sz w:val="24"/>
          <w:szCs w:val="24"/>
        </w:rPr>
      </w:pPr>
    </w:p>
    <w:p w:rsidR="00CD5702" w:rsidRPr="000E0CDA" w:rsidRDefault="00CE3AA2" w:rsidP="00CF64F7">
      <w:pPr>
        <w:pStyle w:val="Bodytext20"/>
        <w:shd w:val="clear" w:color="auto" w:fill="auto"/>
        <w:spacing w:before="0" w:after="160" w:line="24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I. Ընդհանուր դրույթներ</w:t>
      </w:r>
    </w:p>
    <w:p w:rsidR="00CD5702" w:rsidRPr="000E0CDA" w:rsidRDefault="00CE3AA2" w:rsidP="00CF64F7">
      <w:pPr>
        <w:pStyle w:val="Bodytext20"/>
        <w:shd w:val="clear" w:color="auto" w:fill="auto"/>
        <w:spacing w:before="0" w:after="160" w:line="24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Սույն հայեցակարգը մշակված է՝ «Հաստոցաշինության եվրասիական </w:t>
      </w:r>
    </w:p>
    <w:p w:rsidR="00CD5702" w:rsidRPr="000E0CDA" w:rsidRDefault="00CE3AA2" w:rsidP="00F80FCC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ինժինիրինգային կենտրոնի ստեղծման հայեցակարգի մշակման մասին» Եվրասիական միջկառավարական խորհրդի 2015 թվականի փետրվարի 6-ի թիվ</w:t>
      </w:r>
      <w:r w:rsidR="005C5B51" w:rsidRPr="005C5B51">
        <w:rPr>
          <w:rFonts w:ascii="Sylfaen" w:hAnsi="Sylfaen"/>
          <w:sz w:val="24"/>
          <w:szCs w:val="24"/>
        </w:rPr>
        <w:t> </w:t>
      </w:r>
      <w:r w:rsidRPr="000E0CDA">
        <w:rPr>
          <w:rFonts w:ascii="Sylfaen" w:hAnsi="Sylfaen"/>
          <w:sz w:val="24"/>
          <w:szCs w:val="24"/>
        </w:rPr>
        <w:t>5</w:t>
      </w:r>
      <w:r w:rsidR="005C5B51" w:rsidRPr="005C5B51">
        <w:rPr>
          <w:rFonts w:ascii="Sylfaen" w:hAnsi="Sylfaen"/>
          <w:sz w:val="24"/>
          <w:szCs w:val="24"/>
        </w:rPr>
        <w:t> </w:t>
      </w:r>
      <w:r w:rsidRPr="000E0CDA">
        <w:rPr>
          <w:rFonts w:ascii="Sylfaen" w:hAnsi="Sylfaen"/>
          <w:sz w:val="24"/>
          <w:szCs w:val="24"/>
        </w:rPr>
        <w:t>կարգադրության իրագործման նպատակներով:</w:t>
      </w:r>
    </w:p>
    <w:p w:rsidR="00296853" w:rsidRPr="000E0CDA" w:rsidRDefault="00CE3AA2" w:rsidP="00C56AE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Եվրասիական ինժինիրինգային կենտրոնի (այսուհետ՝ Ինժինիրինգային կենտրոն) ստեղծման իրավական հիմք են՝</w:t>
      </w:r>
      <w:r w:rsidR="001F10F7">
        <w:rPr>
          <w:rFonts w:ascii="Sylfaen" w:hAnsi="Sylfaen"/>
          <w:sz w:val="24"/>
          <w:szCs w:val="24"/>
        </w:rPr>
        <w:t xml:space="preserve"> </w:t>
      </w:r>
      <w:r w:rsidRPr="000E0CDA">
        <w:rPr>
          <w:rFonts w:ascii="Sylfaen" w:hAnsi="Sylfaen"/>
          <w:sz w:val="24"/>
          <w:szCs w:val="24"/>
        </w:rPr>
        <w:t>«Եվրասիական տնտեսական միության</w:t>
      </w:r>
      <w:r w:rsidR="001F10F7">
        <w:rPr>
          <w:rFonts w:ascii="Sylfaen" w:hAnsi="Sylfaen"/>
          <w:sz w:val="24"/>
          <w:szCs w:val="24"/>
        </w:rPr>
        <w:t xml:space="preserve"> </w:t>
      </w:r>
      <w:r w:rsidRPr="000E0CDA">
        <w:rPr>
          <w:rFonts w:ascii="Sylfaen" w:hAnsi="Sylfaen"/>
          <w:sz w:val="24"/>
          <w:szCs w:val="24"/>
        </w:rPr>
        <w:t>շրջանակներում արդյունաբերական համագործակցության հիմնական ուղղությունների մասին» Եվրասիական միջկառավարական խորհրդի 2015</w:t>
      </w:r>
      <w:r w:rsidR="005C5B51" w:rsidRPr="005C5B51">
        <w:t> </w:t>
      </w:r>
      <w:r w:rsidRPr="000E0CDA">
        <w:rPr>
          <w:rFonts w:ascii="Sylfaen" w:hAnsi="Sylfaen"/>
          <w:sz w:val="24"/>
          <w:szCs w:val="24"/>
        </w:rPr>
        <w:t>թվականի սեպտեմբերի 8–ի թիվ 9 որոշումը.</w:t>
      </w:r>
    </w:p>
    <w:p w:rsidR="00CD5702" w:rsidRPr="000E0CDA" w:rsidRDefault="00CE3AA2" w:rsidP="00C56AE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«Եվրասիական տնտեսական միության</w:t>
      </w:r>
      <w:r w:rsidR="001F10F7">
        <w:rPr>
          <w:rFonts w:ascii="Sylfaen" w:hAnsi="Sylfaen"/>
          <w:sz w:val="24"/>
          <w:szCs w:val="24"/>
        </w:rPr>
        <w:t xml:space="preserve"> </w:t>
      </w:r>
      <w:r w:rsidRPr="000E0CDA">
        <w:rPr>
          <w:rFonts w:ascii="Sylfaen" w:hAnsi="Sylfaen"/>
          <w:sz w:val="24"/>
          <w:szCs w:val="24"/>
        </w:rPr>
        <w:t xml:space="preserve">մասին» 2014 թվականի մայիսի 29-ի պայմանագրի 92-րդ հոդվածի 4–րդ կետի 5–րդ ենթակետը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9–րդ կետի 2-րդ </w:t>
      </w:r>
      <w:r w:rsidR="00F42B01" w:rsidRPr="000E0CDA">
        <w:rPr>
          <w:rFonts w:ascii="Sylfaen" w:hAnsi="Sylfaen"/>
          <w:sz w:val="24"/>
          <w:szCs w:val="24"/>
        </w:rPr>
        <w:t xml:space="preserve">ու </w:t>
      </w:r>
      <w:r w:rsidRPr="000E0CDA">
        <w:rPr>
          <w:rFonts w:ascii="Sylfaen" w:hAnsi="Sylfaen"/>
          <w:sz w:val="24"/>
          <w:szCs w:val="24"/>
        </w:rPr>
        <w:t>4-րդ ենթակետերը։</w:t>
      </w:r>
    </w:p>
    <w:p w:rsidR="00CF64F7" w:rsidRPr="002977A4" w:rsidRDefault="00CE3AA2" w:rsidP="00C56AEF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Սույն </w:t>
      </w:r>
      <w:r w:rsidR="002C6DC7" w:rsidRPr="000E0CDA">
        <w:rPr>
          <w:rFonts w:ascii="Sylfaen" w:hAnsi="Sylfaen"/>
          <w:sz w:val="24"/>
          <w:szCs w:val="24"/>
        </w:rPr>
        <w:t>հ</w:t>
      </w:r>
      <w:r w:rsidRPr="000E0CDA">
        <w:rPr>
          <w:rFonts w:ascii="Sylfaen" w:hAnsi="Sylfaen"/>
          <w:sz w:val="24"/>
          <w:szCs w:val="24"/>
        </w:rPr>
        <w:t xml:space="preserve">այեցակարգի նպատակներով՝ «ինժինիրինգային ծառայություններ» հասկացությունն օգտագործվում է «Եվրասիական տնտեսական միության մասին» </w:t>
      </w:r>
    </w:p>
    <w:p w:rsidR="00CF64F7" w:rsidRPr="002977A4" w:rsidRDefault="00CF64F7" w:rsidP="00C56AEF">
      <w:pPr>
        <w:pStyle w:val="Bodytext20"/>
        <w:shd w:val="clear" w:color="auto" w:fill="auto"/>
        <w:spacing w:before="0" w:after="160" w:line="336" w:lineRule="auto"/>
        <w:ind w:firstLine="0"/>
        <w:rPr>
          <w:rFonts w:ascii="Sylfaen" w:hAnsi="Sylfaen"/>
          <w:sz w:val="24"/>
          <w:szCs w:val="24"/>
        </w:rPr>
        <w:sectPr w:rsidR="00CF64F7" w:rsidRPr="002977A4" w:rsidSect="00B46786">
          <w:pgSz w:w="11907" w:h="16839" w:code="9"/>
          <w:pgMar w:top="1418" w:right="1418" w:bottom="1418" w:left="1418" w:header="0" w:footer="6" w:gutter="0"/>
          <w:pgNumType w:start="1"/>
          <w:cols w:space="720"/>
          <w:noEndnote/>
          <w:titlePg/>
          <w:docGrid w:linePitch="360"/>
        </w:sectPr>
      </w:pPr>
    </w:p>
    <w:p w:rsidR="00CD5702" w:rsidRPr="000E0CDA" w:rsidRDefault="00CE3AA2" w:rsidP="00C56AEF">
      <w:pPr>
        <w:pStyle w:val="Bodytext20"/>
        <w:shd w:val="clear" w:color="auto" w:fill="auto"/>
        <w:spacing w:before="0" w:after="160" w:line="336" w:lineRule="auto"/>
        <w:ind w:firstLine="0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lastRenderedPageBreak/>
        <w:t>2014 թվականի մայիսի 29-ի պայմանագրի թիվ 18 հավելվածով սահմանված իմաստով։</w:t>
      </w:r>
    </w:p>
    <w:p w:rsidR="00CD5702" w:rsidRPr="000E0CDA" w:rsidRDefault="005D6CB1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Ինժինիրինգային կենտրոնը բաց է դրան՝ Եվրասիական տնտեսական</w:t>
      </w:r>
      <w:r w:rsidR="001F10F7">
        <w:rPr>
          <w:rFonts w:ascii="Sylfaen" w:hAnsi="Sylfaen"/>
          <w:sz w:val="24"/>
          <w:szCs w:val="24"/>
        </w:rPr>
        <w:t xml:space="preserve"> </w:t>
      </w:r>
      <w:r w:rsidRPr="000E0CDA">
        <w:rPr>
          <w:rFonts w:ascii="Sylfaen" w:hAnsi="Sylfaen"/>
          <w:sz w:val="24"/>
          <w:szCs w:val="24"/>
        </w:rPr>
        <w:t>միության անդամ</w:t>
      </w:r>
      <w:r w:rsidR="001F10F7">
        <w:rPr>
          <w:rFonts w:ascii="Sylfaen" w:hAnsi="Sylfaen"/>
          <w:sz w:val="24"/>
          <w:szCs w:val="24"/>
        </w:rPr>
        <w:t xml:space="preserve"> </w:t>
      </w:r>
      <w:r w:rsidRPr="000E0CDA">
        <w:rPr>
          <w:rFonts w:ascii="Sylfaen" w:hAnsi="Sylfaen"/>
          <w:sz w:val="24"/>
          <w:szCs w:val="24"/>
        </w:rPr>
        <w:t>պետությունների միանալու համար</w:t>
      </w:r>
      <w:r w:rsidR="00A33D76" w:rsidRPr="000E0CDA">
        <w:rPr>
          <w:rFonts w:ascii="Sylfaen" w:hAnsi="Sylfaen"/>
          <w:sz w:val="24"/>
          <w:szCs w:val="24"/>
        </w:rPr>
        <w:t>։</w:t>
      </w:r>
    </w:p>
    <w:p w:rsidR="008E3C49" w:rsidRPr="000E0CDA" w:rsidRDefault="008E3C49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CD5702" w:rsidRPr="000E0CDA" w:rsidRDefault="00F313FD" w:rsidP="008C3454">
      <w:pPr>
        <w:pStyle w:val="Bodytext20"/>
        <w:shd w:val="clear" w:color="auto" w:fill="auto"/>
        <w:spacing w:before="0"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II. Ինժինիրինգային կենտրոնի ստեղծման նպատակահարմարության հիմնավորումը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Ինժինիրինգային կենտրոնի գործունեությունն ուղղված է արտադրական գործընթացներում</w:t>
      </w:r>
      <w:r w:rsidR="001F10F7">
        <w:rPr>
          <w:rFonts w:ascii="Sylfaen" w:hAnsi="Sylfaen"/>
          <w:sz w:val="24"/>
          <w:szCs w:val="24"/>
        </w:rPr>
        <w:t xml:space="preserve"> </w:t>
      </w:r>
      <w:r w:rsidR="00A33D76" w:rsidRPr="000E0CDA">
        <w:rPr>
          <w:rFonts w:ascii="Sylfaen" w:hAnsi="Sylfaen"/>
          <w:sz w:val="24"/>
          <w:szCs w:val="24"/>
        </w:rPr>
        <w:t>նորարարական</w:t>
      </w:r>
      <w:r w:rsidRPr="000E0CDA">
        <w:rPr>
          <w:rFonts w:ascii="Sylfaen" w:hAnsi="Sylfaen"/>
          <w:sz w:val="24"/>
          <w:szCs w:val="24"/>
        </w:rPr>
        <w:t xml:space="preserve"> որոշումների ձ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>ավորմանը՝ Եվրասիական տնտեսական միության անդամ պետությունների (այսուհետ համապատասխանաբար՝ Միություն, անդամ պետություններ) արդյունաբերության նոր տեխնոլոգիական տնտեսաձեւին, ինչպես նաեւ արդյունաբերական արտադրության՝ սպասարկման ուղղվածությամբ մոդելին անցումն ապահովելու նպատակով:</w:t>
      </w:r>
    </w:p>
    <w:p w:rsidR="00CD5702" w:rsidRPr="00A43B42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Ինժինիրինգային կենտրոնի ստեղծման անհրաժեշտությունը պայմանավորված է անդամ պետությունների կայուն սոցիալ–տնտեսական զարգացո</w:t>
      </w:r>
      <w:r w:rsidR="00A43B42">
        <w:rPr>
          <w:rFonts w:ascii="Sylfaen" w:hAnsi="Sylfaen"/>
          <w:sz w:val="24"/>
          <w:szCs w:val="24"/>
        </w:rPr>
        <w:t>ւմն ապահովելու պահանջով։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Արտադրության միջոցների զարգացման բարձր մակարդակն ապահովում է մեքենաշինության զարգացման տեխնոլոգիական մակարդակը, նորարարության ծավալը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մրցունակությունը։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Անդամ պետությունների կոնստրուկտորա–տեխնոլոգիական ներուժի զարգացման անհրաժեշտությունը պայմանավորված է մեքենաշինության ոլորտում սարքավորումների զգալի մաշվածությամբ, որը Միությունում </w:t>
      </w:r>
      <w:r w:rsidR="00A33D76" w:rsidRPr="000E0CDA">
        <w:rPr>
          <w:rFonts w:ascii="Sylfaen" w:hAnsi="Sylfaen"/>
          <w:sz w:val="24"/>
          <w:szCs w:val="24"/>
        </w:rPr>
        <w:t>միջին</w:t>
      </w:r>
      <w:r w:rsidR="001E6866" w:rsidRPr="000E0CDA">
        <w:rPr>
          <w:rFonts w:ascii="Sylfaen" w:hAnsi="Sylfaen"/>
          <w:sz w:val="24"/>
          <w:szCs w:val="24"/>
        </w:rPr>
        <w:t>ը</w:t>
      </w:r>
      <w:r w:rsidRPr="000E0CDA">
        <w:rPr>
          <w:rFonts w:ascii="Sylfaen" w:hAnsi="Sylfaen"/>
          <w:sz w:val="24"/>
          <w:szCs w:val="24"/>
        </w:rPr>
        <w:t xml:space="preserve"> հասնում է 70</w:t>
      </w:r>
      <w:r w:rsidR="00A43B42" w:rsidRPr="00A43B42">
        <w:rPr>
          <w:rFonts w:ascii="Sylfaen" w:hAnsi="Sylfaen"/>
          <w:sz w:val="24"/>
          <w:szCs w:val="24"/>
        </w:rPr>
        <w:t> </w:t>
      </w:r>
      <w:r w:rsidRPr="000E0CDA">
        <w:rPr>
          <w:rFonts w:ascii="Sylfaen" w:hAnsi="Sylfaen"/>
          <w:sz w:val="24"/>
          <w:szCs w:val="24"/>
        </w:rPr>
        <w:t>տոկոսի։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Անդամ պետությունների արդյունաբերության արդիականացման համար ներգրավվում են զգալի ծավալի միջոցներ։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lastRenderedPageBreak/>
        <w:t xml:space="preserve">2015-2020 թվականներին անդամ պետությունների մեքենաշինական արտադրության զարգացման ծրագրային փաստաթղթերով նախատեսվում է պետական բյուջեներից մոտ 32 մլրդ ԱՄՆ դոլարի հատկացում, որից մեքենաշինության համար արտադրության միջոցների գնման համար պլանավորվում է յուրաքանչյուր տարի </w:t>
      </w:r>
      <w:r w:rsidR="005D6CB1" w:rsidRPr="000E0CDA">
        <w:rPr>
          <w:rFonts w:ascii="Sylfaen" w:hAnsi="Sylfaen"/>
          <w:sz w:val="24"/>
          <w:szCs w:val="24"/>
        </w:rPr>
        <w:t>ուղղել</w:t>
      </w:r>
      <w:r w:rsidRPr="000E0CDA">
        <w:rPr>
          <w:rFonts w:ascii="Sylfaen" w:hAnsi="Sylfaen"/>
          <w:sz w:val="24"/>
          <w:szCs w:val="24"/>
        </w:rPr>
        <w:t xml:space="preserve"> ավելի քան 2 մլրդ ԱՄՆ դոլար։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Դրա հետ մեկտեղ, անդամ պետությունների արդյունաբերական ձեռնարկություններում սարքավորումների պահանջարկը ներկայումս առավելապես ապահովվում է ներմուծման հաշվին։ Այսպես, գնվող հաստոցային սարքավորումների 90 տոկոսը կազմում է օտարերկրյա արտադրողների արտադրանքը։</w:t>
      </w:r>
    </w:p>
    <w:p w:rsidR="00CD5702" w:rsidRPr="000E0CDA" w:rsidRDefault="00AF59DD" w:rsidP="003A7672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Կրկնակի նշանակության ապրանքների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տեխնոլոգիաների արտահանումը զարգացած երկրներից սահմանափակված է Վասսենաարյան պայմանավորվածություններով, որոնք ճշգրտությամբ, արտադրողականությամբ եւ տեխնոլոգիաների նորարարությամբ</w:t>
      </w:r>
      <w:r w:rsidR="001F10F7">
        <w:rPr>
          <w:rFonts w:ascii="Sylfaen" w:hAnsi="Sylfaen"/>
          <w:sz w:val="24"/>
          <w:szCs w:val="24"/>
        </w:rPr>
        <w:t xml:space="preserve"> </w:t>
      </w:r>
      <w:r w:rsidR="00CE3AA2" w:rsidRPr="000E0CDA">
        <w:rPr>
          <w:rFonts w:ascii="Sylfaen" w:hAnsi="Sylfaen"/>
          <w:sz w:val="24"/>
          <w:szCs w:val="24"/>
        </w:rPr>
        <w:t>առավել ժամանակակից բնութագրեր ունեցող հաստոցային սարքավորումների 30–ից ավելի դիրքերի մատակարարումը</w:t>
      </w:r>
      <w:r w:rsidR="003A7672">
        <w:rPr>
          <w:rFonts w:ascii="Sylfaen" w:hAnsi="Sylfaen"/>
          <w:sz w:val="24"/>
          <w:szCs w:val="24"/>
        </w:rPr>
        <w:t xml:space="preserve"> զսպում</w:t>
      </w:r>
      <w:r w:rsidR="003A7672" w:rsidRPr="003A7672">
        <w:rPr>
          <w:rFonts w:ascii="Sylfaen" w:hAnsi="Sylfaen"/>
          <w:sz w:val="24"/>
          <w:szCs w:val="24"/>
        </w:rPr>
        <w:t> </w:t>
      </w:r>
      <w:r w:rsidR="003A7672">
        <w:rPr>
          <w:rFonts w:ascii="Sylfaen" w:hAnsi="Sylfaen"/>
          <w:sz w:val="24"/>
          <w:szCs w:val="24"/>
        </w:rPr>
        <w:t>են</w:t>
      </w:r>
      <w:r w:rsidR="00CE3AA2" w:rsidRPr="000E0CDA">
        <w:rPr>
          <w:rFonts w:ascii="Sylfaen" w:hAnsi="Sylfaen"/>
          <w:sz w:val="24"/>
          <w:szCs w:val="24"/>
        </w:rPr>
        <w:t>։ Արտահանման արգելքը կանոնակարգվում է նա</w:t>
      </w:r>
      <w:r w:rsidR="00C56AEF">
        <w:rPr>
          <w:rFonts w:ascii="Sylfaen" w:hAnsi="Sylfaen"/>
          <w:sz w:val="24"/>
          <w:szCs w:val="24"/>
        </w:rPr>
        <w:t>եւ</w:t>
      </w:r>
      <w:r w:rsidR="00CE3AA2" w:rsidRPr="000E0CDA">
        <w:rPr>
          <w:rFonts w:ascii="Sylfaen" w:hAnsi="Sylfaen"/>
          <w:sz w:val="24"/>
          <w:szCs w:val="24"/>
        </w:rPr>
        <w:t xml:space="preserve"> արտահանման վերահսկման շրջանակներում ազգային փաստաթղթերով </w:t>
      </w:r>
      <w:r w:rsidR="00C56AEF">
        <w:rPr>
          <w:rFonts w:ascii="Sylfaen" w:hAnsi="Sylfaen"/>
          <w:sz w:val="24"/>
          <w:szCs w:val="24"/>
        </w:rPr>
        <w:t>եւ</w:t>
      </w:r>
      <w:r w:rsidR="00CE3AA2" w:rsidRPr="000E0CDA">
        <w:rPr>
          <w:rFonts w:ascii="Sylfaen" w:hAnsi="Sylfaen"/>
          <w:sz w:val="24"/>
          <w:szCs w:val="24"/>
        </w:rPr>
        <w:t xml:space="preserve"> Խորհրդի 2012</w:t>
      </w:r>
      <w:r w:rsidR="003A7672" w:rsidRPr="003A7672">
        <w:rPr>
          <w:rFonts w:ascii="Sylfaen" w:hAnsi="Sylfaen"/>
          <w:sz w:val="24"/>
          <w:szCs w:val="24"/>
        </w:rPr>
        <w:t> </w:t>
      </w:r>
      <w:r w:rsidR="00CE3AA2" w:rsidRPr="000E0CDA">
        <w:rPr>
          <w:rFonts w:ascii="Sylfaen" w:hAnsi="Sylfaen"/>
          <w:sz w:val="24"/>
          <w:szCs w:val="24"/>
        </w:rPr>
        <w:t xml:space="preserve">թվականի ապրիլի 19–ի թիվ 388/2012 (ԵՄ) կանոնակարգով։ </w:t>
      </w:r>
      <w:r w:rsidR="00A33D76" w:rsidRPr="000E0CDA">
        <w:rPr>
          <w:rFonts w:ascii="Sylfaen" w:hAnsi="Sylfaen"/>
          <w:sz w:val="24"/>
          <w:szCs w:val="24"/>
        </w:rPr>
        <w:t>Սահմանափակումը տարածվում է հետ</w:t>
      </w:r>
      <w:r w:rsidR="00C56AEF">
        <w:rPr>
          <w:rFonts w:ascii="Sylfaen" w:hAnsi="Sylfaen"/>
          <w:sz w:val="24"/>
          <w:szCs w:val="24"/>
        </w:rPr>
        <w:t>եւ</w:t>
      </w:r>
      <w:r w:rsidR="00A33D76" w:rsidRPr="000E0CDA">
        <w:rPr>
          <w:rFonts w:ascii="Sylfaen" w:hAnsi="Sylfaen"/>
          <w:sz w:val="24"/>
          <w:szCs w:val="24"/>
        </w:rPr>
        <w:t>յալ</w:t>
      </w:r>
      <w:r w:rsidR="003A7672">
        <w:rPr>
          <w:rFonts w:ascii="Sylfaen" w:hAnsi="Sylfaen"/>
          <w:sz w:val="24"/>
          <w:szCs w:val="24"/>
        </w:rPr>
        <w:t xml:space="preserve"> խմբերի «բարդ» հաստոցների վրա՝</w:t>
      </w:r>
      <w:r w:rsidR="003A7672" w:rsidRPr="003A7672">
        <w:rPr>
          <w:rFonts w:ascii="Sylfaen" w:hAnsi="Sylfaen"/>
          <w:sz w:val="24"/>
          <w:szCs w:val="24"/>
        </w:rPr>
        <w:t xml:space="preserve"> </w:t>
      </w:r>
      <w:r w:rsidR="00A33D76" w:rsidRPr="000E0CDA">
        <w:rPr>
          <w:rFonts w:ascii="Sylfaen" w:hAnsi="Sylfaen"/>
          <w:sz w:val="24"/>
          <w:szCs w:val="24"/>
        </w:rPr>
        <w:t>6</w:t>
      </w:r>
      <w:r w:rsidR="003A7672" w:rsidRPr="003A7672">
        <w:rPr>
          <w:rFonts w:ascii="Sylfaen" w:hAnsi="Sylfaen"/>
          <w:sz w:val="24"/>
          <w:szCs w:val="24"/>
        </w:rPr>
        <w:t> </w:t>
      </w:r>
      <w:r w:rsidR="00A33D76" w:rsidRPr="000E0CDA">
        <w:rPr>
          <w:rFonts w:ascii="Sylfaen" w:hAnsi="Sylfaen"/>
          <w:sz w:val="24"/>
          <w:szCs w:val="24"/>
        </w:rPr>
        <w:t>միկրոմետրից բարձր ճշգր</w:t>
      </w:r>
      <w:r w:rsidR="00A634E9" w:rsidRPr="000E0CDA">
        <w:rPr>
          <w:rFonts w:ascii="Sylfaen" w:hAnsi="Sylfaen"/>
          <w:sz w:val="24"/>
          <w:szCs w:val="24"/>
        </w:rPr>
        <w:t xml:space="preserve">տությամբ խառատային </w:t>
      </w:r>
      <w:r w:rsidR="00C56AEF">
        <w:rPr>
          <w:rFonts w:ascii="Sylfaen" w:hAnsi="Sylfaen"/>
          <w:sz w:val="24"/>
          <w:szCs w:val="24"/>
        </w:rPr>
        <w:t>եւ</w:t>
      </w:r>
      <w:r w:rsidR="00A634E9" w:rsidRPr="000E0CDA">
        <w:rPr>
          <w:rFonts w:ascii="Sylfaen" w:hAnsi="Sylfaen"/>
          <w:sz w:val="24"/>
          <w:szCs w:val="24"/>
        </w:rPr>
        <w:t xml:space="preserve"> ֆրեզերային հաստոցներ</w:t>
      </w:r>
      <w:r w:rsidR="005D6CB1" w:rsidRPr="000E0CDA">
        <w:rPr>
          <w:rFonts w:ascii="Sylfaen" w:hAnsi="Sylfaen"/>
          <w:sz w:val="24"/>
          <w:szCs w:val="24"/>
        </w:rPr>
        <w:t>ի</w:t>
      </w:r>
      <w:r w:rsidR="00A33D76" w:rsidRPr="000E0CDA">
        <w:rPr>
          <w:rFonts w:ascii="Sylfaen" w:hAnsi="Sylfaen"/>
          <w:sz w:val="24"/>
          <w:szCs w:val="24"/>
        </w:rPr>
        <w:t>, 3</w:t>
      </w:r>
      <w:r w:rsidR="00A43B42" w:rsidRPr="00A43B42">
        <w:rPr>
          <w:rFonts w:ascii="Sylfaen" w:hAnsi="Sylfaen"/>
          <w:sz w:val="24"/>
          <w:szCs w:val="24"/>
        </w:rPr>
        <w:t> </w:t>
      </w:r>
      <w:r w:rsidR="00A33D76" w:rsidRPr="000E0CDA">
        <w:rPr>
          <w:rFonts w:ascii="Sylfaen" w:hAnsi="Sylfaen"/>
          <w:sz w:val="24"/>
          <w:szCs w:val="24"/>
        </w:rPr>
        <w:t>միկրոմետրից բարձր ճշգրտությամբ հղկման հաստոցներ</w:t>
      </w:r>
      <w:r w:rsidR="005D6CB1" w:rsidRPr="000E0CDA">
        <w:rPr>
          <w:rFonts w:ascii="Sylfaen" w:hAnsi="Sylfaen"/>
          <w:sz w:val="24"/>
          <w:szCs w:val="24"/>
        </w:rPr>
        <w:t>ի</w:t>
      </w:r>
      <w:r w:rsidR="00A33D76" w:rsidRPr="000E0CDA">
        <w:rPr>
          <w:rFonts w:ascii="Sylfaen" w:hAnsi="Sylfaen"/>
          <w:sz w:val="24"/>
          <w:szCs w:val="24"/>
        </w:rPr>
        <w:t>, համաժամանակյա հնգակոորդինատ հաստոցներ</w:t>
      </w:r>
      <w:r w:rsidR="005D6CB1" w:rsidRPr="000E0CDA">
        <w:rPr>
          <w:rFonts w:ascii="Sylfaen" w:hAnsi="Sylfaen"/>
          <w:sz w:val="24"/>
          <w:szCs w:val="24"/>
        </w:rPr>
        <w:t>ի</w:t>
      </w:r>
      <w:r w:rsidR="00A33D76" w:rsidRPr="000E0CDA">
        <w:rPr>
          <w:rFonts w:ascii="Sylfaen" w:hAnsi="Sylfaen"/>
          <w:sz w:val="24"/>
          <w:szCs w:val="24"/>
        </w:rPr>
        <w:t>, ինչպես նա</w:t>
      </w:r>
      <w:r w:rsidR="00C56AEF">
        <w:rPr>
          <w:rFonts w:ascii="Sylfaen" w:hAnsi="Sylfaen"/>
          <w:sz w:val="24"/>
          <w:szCs w:val="24"/>
        </w:rPr>
        <w:t>եւ</w:t>
      </w:r>
      <w:r w:rsidR="00A33D76" w:rsidRPr="000E0CDA">
        <w:rPr>
          <w:rFonts w:ascii="Sylfaen" w:hAnsi="Sylfaen"/>
          <w:sz w:val="24"/>
          <w:szCs w:val="24"/>
        </w:rPr>
        <w:t xml:space="preserve"> ծրագրային </w:t>
      </w:r>
      <w:r w:rsidR="005D6CB1" w:rsidRPr="000E0CDA">
        <w:rPr>
          <w:rFonts w:ascii="Sylfaen" w:hAnsi="Sylfaen"/>
          <w:sz w:val="24"/>
          <w:szCs w:val="24"/>
        </w:rPr>
        <w:t>ապահովում՝ հաստոցների</w:t>
      </w:r>
      <w:r w:rsidR="00A33D76" w:rsidRPr="000E0CDA">
        <w:rPr>
          <w:rFonts w:ascii="Sylfaen" w:hAnsi="Sylfaen"/>
          <w:sz w:val="24"/>
          <w:szCs w:val="24"/>
        </w:rPr>
        <w:t xml:space="preserve"> նշված կատեգորիաների համար</w:t>
      </w:r>
      <w:r w:rsidR="00CE3AA2" w:rsidRPr="000E0CDA">
        <w:rPr>
          <w:rFonts w:ascii="Sylfaen" w:hAnsi="Sylfaen"/>
          <w:sz w:val="24"/>
          <w:szCs w:val="24"/>
        </w:rPr>
        <w:t>։</w:t>
      </w:r>
    </w:p>
    <w:p w:rsidR="00CD5702" w:rsidRPr="000E0CDA" w:rsidRDefault="00CE3AA2" w:rsidP="003A7672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Զարգացած արդյունաբերությամբ երկրներում արտադրության միջոցների թարմացումը տեղի է ունենում</w:t>
      </w:r>
      <w:r w:rsidR="001F10F7">
        <w:rPr>
          <w:rFonts w:ascii="Sylfaen" w:hAnsi="Sylfaen"/>
          <w:sz w:val="24"/>
          <w:szCs w:val="24"/>
        </w:rPr>
        <w:t xml:space="preserve"> </w:t>
      </w:r>
      <w:r w:rsidRPr="000E0CDA">
        <w:rPr>
          <w:rFonts w:ascii="Sylfaen" w:hAnsi="Sylfaen"/>
          <w:sz w:val="24"/>
          <w:szCs w:val="24"/>
        </w:rPr>
        <w:t>յուրաքանչյուր 7-10 տարին մեկ, ինչն ապահովում է արդյունաբերության յուրաժամանակյա անցումը տեխնոլոգիական հերթական նոր տնտեսաձ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>ին։</w:t>
      </w:r>
    </w:p>
    <w:p w:rsidR="00CD5702" w:rsidRPr="000E0CDA" w:rsidRDefault="00F65B33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Գերմանիայի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Չինաստանի պես համաշխարհային առաջատարներից ռազմավարական նախաձեռնություններն</w:t>
      </w:r>
      <w:r>
        <w:rPr>
          <w:rFonts w:ascii="Sylfaen" w:hAnsi="Sylfaen"/>
          <w:sz w:val="24"/>
          <w:szCs w:val="24"/>
        </w:rPr>
        <w:t xml:space="preserve"> </w:t>
      </w:r>
      <w:r w:rsidRPr="000E0CDA">
        <w:rPr>
          <w:rFonts w:ascii="Sylfaen" w:hAnsi="Sylfaen"/>
          <w:sz w:val="24"/>
          <w:szCs w:val="24"/>
        </w:rPr>
        <w:t xml:space="preserve">ուղղված են այդ երկու պետությունների </w:t>
      </w:r>
      <w:r w:rsidRPr="000E0CDA">
        <w:rPr>
          <w:rFonts w:ascii="Sylfaen" w:hAnsi="Sylfaen"/>
          <w:sz w:val="24"/>
          <w:szCs w:val="24"/>
        </w:rPr>
        <w:lastRenderedPageBreak/>
        <w:t>տնտեսությունների մրցակցային առավելությունների ուժեղացմանը՝ ապագա տեխնոլոգիական</w:t>
      </w:r>
      <w:r>
        <w:rPr>
          <w:rFonts w:ascii="Sylfaen" w:hAnsi="Sylfaen"/>
          <w:sz w:val="24"/>
          <w:szCs w:val="24"/>
        </w:rPr>
        <w:t xml:space="preserve"> տնտեսաձ</w:t>
      </w:r>
      <w:r w:rsidR="00C56AEF">
        <w:rPr>
          <w:rFonts w:ascii="Sylfaen" w:hAnsi="Sylfaen"/>
          <w:sz w:val="24"/>
          <w:szCs w:val="24"/>
        </w:rPr>
        <w:t>եւ</w:t>
      </w:r>
      <w:r>
        <w:rPr>
          <w:rFonts w:ascii="Sylfaen" w:hAnsi="Sylfaen"/>
          <w:sz w:val="24"/>
          <w:szCs w:val="24"/>
        </w:rPr>
        <w:t>ում</w:t>
      </w:r>
      <w:r w:rsidRPr="000E0CDA">
        <w:rPr>
          <w:rFonts w:ascii="Sylfaen" w:hAnsi="Sylfaen"/>
          <w:sz w:val="24"/>
          <w:szCs w:val="24"/>
        </w:rPr>
        <w:t>՝</w:t>
      </w:r>
      <w:r w:rsidRPr="00F65B33">
        <w:rPr>
          <w:rFonts w:ascii="Sylfaen" w:hAnsi="Sylfaen"/>
          <w:sz w:val="24"/>
          <w:szCs w:val="24"/>
        </w:rPr>
        <w:t xml:space="preserve"> </w:t>
      </w:r>
      <w:r w:rsidRPr="000E0CDA">
        <w:rPr>
          <w:rFonts w:ascii="Sylfaen" w:hAnsi="Sylfaen"/>
          <w:sz w:val="24"/>
          <w:szCs w:val="24"/>
        </w:rPr>
        <w:t xml:space="preserve">«թվային արդյունաբերությունում», իրենց արտադրական համալիրների կերպափոխության միջոցով, ինժինիրինգի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տեխնոլոգիաների փոխադարձ</w:t>
      </w:r>
      <w:r>
        <w:rPr>
          <w:rFonts w:ascii="Sylfaen" w:hAnsi="Sylfaen"/>
          <w:sz w:val="24"/>
          <w:szCs w:val="24"/>
        </w:rPr>
        <w:t xml:space="preserve"> </w:t>
      </w:r>
      <w:r w:rsidRPr="000E0CDA">
        <w:rPr>
          <w:rFonts w:ascii="Sylfaen" w:hAnsi="Sylfaen"/>
          <w:sz w:val="24"/>
          <w:szCs w:val="24"/>
        </w:rPr>
        <w:t>տրանսֆերի զարգացման միջոցով: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Ներկայումս արդեն պայմանավորվածություն է ձեռք բերվել Գերմանիայի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Չինաստանի միջ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՝ «Industry 4.0» (Գերմանիա)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«Made in China 2025» (Չինաստան) ազգային արդյունաբերական ռազմավարությունների զուգակցման բազային սկզբունքների վերաբերյալ: Սույն </w:t>
      </w:r>
      <w:r w:rsidR="00A33D76" w:rsidRPr="000E0CDA">
        <w:rPr>
          <w:rFonts w:ascii="Sylfaen" w:hAnsi="Sylfaen"/>
          <w:sz w:val="24"/>
          <w:szCs w:val="24"/>
        </w:rPr>
        <w:t>համաձայնությ</w:t>
      </w:r>
      <w:r w:rsidR="00DD5579" w:rsidRPr="000E0CDA">
        <w:rPr>
          <w:rFonts w:ascii="Sylfaen" w:hAnsi="Sylfaen"/>
          <w:sz w:val="24"/>
          <w:szCs w:val="24"/>
        </w:rPr>
        <w:t>ամբ</w:t>
      </w:r>
      <w:r w:rsidR="00A33D76" w:rsidRPr="000E0CDA">
        <w:rPr>
          <w:rFonts w:ascii="Sylfaen" w:hAnsi="Sylfaen"/>
          <w:sz w:val="24"/>
          <w:szCs w:val="24"/>
        </w:rPr>
        <w:t xml:space="preserve"> ենթադր</w:t>
      </w:r>
      <w:r w:rsidR="00DD5579" w:rsidRPr="000E0CDA">
        <w:rPr>
          <w:rFonts w:ascii="Sylfaen" w:hAnsi="Sylfaen"/>
          <w:sz w:val="24"/>
          <w:szCs w:val="24"/>
        </w:rPr>
        <w:t>վ</w:t>
      </w:r>
      <w:r w:rsidR="00A33D76" w:rsidRPr="000E0CDA">
        <w:rPr>
          <w:rFonts w:ascii="Sylfaen" w:hAnsi="Sylfaen"/>
          <w:sz w:val="24"/>
          <w:szCs w:val="24"/>
        </w:rPr>
        <w:t>ում է</w:t>
      </w:r>
      <w:r w:rsidRPr="000E0CDA">
        <w:rPr>
          <w:rFonts w:ascii="Sylfaen" w:hAnsi="Sylfaen"/>
          <w:sz w:val="24"/>
          <w:szCs w:val="24"/>
        </w:rPr>
        <w:t xml:space="preserve"> երկրների համատեղ գործողություններ՝ տվյալների փոխանցման կապուղիների պաշտպանության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մտավոր սեփականության իրավունքների պաշտպանության արդյունավետության բարձրացման ուղղությամբ, ինչ</w:t>
      </w:r>
      <w:r w:rsidR="003A7672">
        <w:rPr>
          <w:rFonts w:ascii="Sylfaen" w:hAnsi="Sylfaen"/>
          <w:sz w:val="24"/>
          <w:szCs w:val="24"/>
        </w:rPr>
        <w:t>պես նա</w:t>
      </w:r>
      <w:r w:rsidR="00C56AEF">
        <w:rPr>
          <w:rFonts w:ascii="Sylfaen" w:hAnsi="Sylfaen"/>
          <w:sz w:val="24"/>
          <w:szCs w:val="24"/>
        </w:rPr>
        <w:t>եւ</w:t>
      </w:r>
      <w:r w:rsidR="003A7672">
        <w:rPr>
          <w:rFonts w:ascii="Sylfaen" w:hAnsi="Sylfaen"/>
          <w:sz w:val="24"/>
          <w:szCs w:val="24"/>
        </w:rPr>
        <w:t xml:space="preserve"> Գերմանիայի </w:t>
      </w:r>
      <w:r w:rsidR="00C56AEF">
        <w:rPr>
          <w:rFonts w:ascii="Sylfaen" w:hAnsi="Sylfaen"/>
          <w:sz w:val="24"/>
          <w:szCs w:val="24"/>
        </w:rPr>
        <w:t>եւ</w:t>
      </w:r>
      <w:r w:rsidR="003A7672">
        <w:rPr>
          <w:rFonts w:ascii="Sylfaen" w:hAnsi="Sylfaen"/>
          <w:sz w:val="24"/>
          <w:szCs w:val="24"/>
        </w:rPr>
        <w:t xml:space="preserve"> Չինաստանի </w:t>
      </w:r>
      <w:r w:rsidRPr="000E0CDA">
        <w:rPr>
          <w:rFonts w:ascii="Sylfaen" w:hAnsi="Sylfaen"/>
          <w:sz w:val="24"/>
          <w:szCs w:val="24"/>
        </w:rPr>
        <w:t>պետական մարմինների համատեղ աշխատանք՝ ապագա տեխնոլոգիական տնտեսաձ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ի միասնական ստանդարտների ստեղծման ուղղությամբ: Վերը նշված ազգային ծրագրերի շրջանակներում նախատեսված է օժանդակություն կրիտիկական տեխնոլոգիաների զարգացմանը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յուրացմանը. որպես այդպիսիք սահմանված են ծրագրային ապահովումը, «ամպային» տվյալների շտեմարանները, ռոբոտատեխնիկան, ռադիոհաճախական նույնականացումը, սենսորները: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2014 թվականի արդյունքներով ինժինիրինգային ծառայությունների համաշխարհային շուկայի ծավալը կազմել է 783 մլրդ ԱՄՆ դոլար (75 տոկոսը՝ շինարարական ինժինիրինգի մասնաբաժին, 25 տոկոսը՝ ինժինիրինգի խորհրդատվական, տեխնոլոգիական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այլ տեսակներ):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Անդամ պետությունների համախառն մասնաբաժինը տեխնոլոգիական ինժինիրինգի համաշխարհային շուկայում կազմում է 1 տոկոս։ Ընդ որում, Միության ինժինիրինգային ծառայությունների շուկան ընդհանուր առմամբ՝ ներառյալ շինարարական ինժինիրինգը, կազմում է մոտավորապես 5 տոկոս։</w:t>
      </w:r>
      <w:r w:rsidR="001F10F7">
        <w:rPr>
          <w:rFonts w:ascii="Sylfaen" w:hAnsi="Sylfaen"/>
          <w:sz w:val="24"/>
          <w:szCs w:val="24"/>
        </w:rPr>
        <w:t xml:space="preserve"> </w:t>
      </w:r>
      <w:r w:rsidRPr="000E0CDA">
        <w:rPr>
          <w:rFonts w:ascii="Sylfaen" w:hAnsi="Sylfaen"/>
          <w:sz w:val="24"/>
          <w:szCs w:val="24"/>
        </w:rPr>
        <w:t>Անդամ պետությունների համալիր ինժինիրինգային պահանջները ներկայումս առավելապես բավարարվում են օտարերկրյա ընկերությունների կողմից։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lastRenderedPageBreak/>
        <w:t xml:space="preserve">Անդամ պետություններում հաստոցաշինության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դրա հարակից ճյուղերի զարգացման կրիտիկական</w:t>
      </w:r>
      <w:r w:rsidR="001F10F7">
        <w:rPr>
          <w:rFonts w:ascii="Sylfaen" w:hAnsi="Sylfaen"/>
          <w:sz w:val="24"/>
          <w:szCs w:val="24"/>
        </w:rPr>
        <w:t xml:space="preserve"> </w:t>
      </w:r>
      <w:r w:rsidRPr="000E0CDA">
        <w:rPr>
          <w:rFonts w:ascii="Sylfaen" w:hAnsi="Sylfaen"/>
          <w:sz w:val="24"/>
          <w:szCs w:val="24"/>
        </w:rPr>
        <w:t>հետ մնալը պայմանավորված է վերջին տարիների ընթացքում հաստոցաշինության ճյուղի մշակումների մեջ ոչ բավարար ներդրումներով։</w:t>
      </w:r>
      <w:r w:rsidR="001F10F7">
        <w:rPr>
          <w:rFonts w:ascii="Sylfaen" w:hAnsi="Sylfaen"/>
          <w:sz w:val="24"/>
          <w:szCs w:val="24"/>
        </w:rPr>
        <w:t xml:space="preserve"> </w:t>
      </w:r>
      <w:r w:rsidRPr="000E0CDA">
        <w:rPr>
          <w:rFonts w:ascii="Sylfaen" w:hAnsi="Sylfaen"/>
          <w:sz w:val="24"/>
          <w:szCs w:val="24"/>
        </w:rPr>
        <w:t>Պետական ծրագրերի իրագործման արդյունքում ստացված մշակումները մասնավոր ընկերությունների կողմից կարող են ներդրվել միայն անդամ պետությունից համապատասխան թույլտվություն ստանալու դեպքում, քանի որ դրանց իրավատերը պետությունն է: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Անդամ պետությունների պետական ծրագրերի վերլուծությունը ցույց է տվել, որ հաստոցաշինության ոլորտում գիտահետազոտական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փորձարարա– կոնստրուկտորական մշակումների համար միջոցների հատկացումն անդամ պետությունների կողմից իրականացվում է</w:t>
      </w:r>
      <w:r w:rsidR="001F10F7">
        <w:rPr>
          <w:rFonts w:ascii="Sylfaen" w:hAnsi="Sylfaen"/>
          <w:sz w:val="24"/>
          <w:szCs w:val="24"/>
        </w:rPr>
        <w:t xml:space="preserve"> </w:t>
      </w:r>
      <w:r w:rsidRPr="000E0CDA">
        <w:rPr>
          <w:rFonts w:ascii="Sylfaen" w:hAnsi="Sylfaen"/>
          <w:sz w:val="24"/>
          <w:szCs w:val="24"/>
        </w:rPr>
        <w:t>հետ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>յալ կերպ՝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Բելառուսի Հանրապետությունում 2013–2015 թվականներին հատկացվել է 14 մլրդ բելառուսական ռուբլի.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Ռուսաստանի Դաշնությունում 2014–2016 թվականներին նախատեսված է մոտ 0,7 մլրդ ռուսական ռուբլու բյուջետային ֆինանսավորում.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Հայաստանի Հանրապետությունում հաստոցաշինության ոլորտի զարգացման համար միջոցների հատկացում նախատեսված չէ: Ճ</w:t>
      </w:r>
      <w:r w:rsidR="003A7672">
        <w:rPr>
          <w:rFonts w:ascii="Sylfaen" w:hAnsi="Sylfaen"/>
          <w:sz w:val="24"/>
          <w:szCs w:val="24"/>
        </w:rPr>
        <w:t xml:space="preserve">շգրիտ մեքենաշինության ոլորտում </w:t>
      </w:r>
      <w:r w:rsidRPr="000E0CDA">
        <w:rPr>
          <w:rFonts w:ascii="Sylfaen" w:hAnsi="Sylfaen"/>
          <w:sz w:val="24"/>
          <w:szCs w:val="24"/>
        </w:rPr>
        <w:t>Հայաստանի Հանրապետության արդյունաբերական քաղաքականության ռազմավարության իրագործման 2012-2015 թվականների մի</w:t>
      </w:r>
      <w:r w:rsidR="003A7672">
        <w:rPr>
          <w:rFonts w:ascii="Sylfaen" w:hAnsi="Sylfaen"/>
          <w:sz w:val="24"/>
          <w:szCs w:val="24"/>
        </w:rPr>
        <w:t>ջոցառումների ծրագրով նախատեսված է</w:t>
      </w:r>
      <w:r w:rsidRPr="000E0CDA">
        <w:rPr>
          <w:rFonts w:ascii="Sylfaen" w:hAnsi="Sylfaen"/>
          <w:sz w:val="24"/>
          <w:szCs w:val="24"/>
        </w:rPr>
        <w:t xml:space="preserve"> 6</w:t>
      </w:r>
      <w:r w:rsidR="001F10F7">
        <w:rPr>
          <w:rFonts w:ascii="Sylfaen" w:hAnsi="Sylfaen"/>
          <w:sz w:val="24"/>
          <w:szCs w:val="24"/>
        </w:rPr>
        <w:t xml:space="preserve"> </w:t>
      </w:r>
      <w:r w:rsidRPr="000E0CDA">
        <w:rPr>
          <w:rFonts w:ascii="Sylfaen" w:hAnsi="Sylfaen"/>
          <w:sz w:val="24"/>
          <w:szCs w:val="24"/>
        </w:rPr>
        <w:t>ռազմավարական ուղղություն</w:t>
      </w:r>
      <w:r w:rsidR="005D6CB1" w:rsidRPr="000E0CDA">
        <w:rPr>
          <w:rFonts w:ascii="Sylfaen" w:hAnsi="Sylfaen"/>
          <w:sz w:val="24"/>
          <w:szCs w:val="24"/>
        </w:rPr>
        <w:t>`</w:t>
      </w:r>
      <w:r w:rsidRPr="000E0CDA">
        <w:rPr>
          <w:rFonts w:ascii="Sylfaen" w:hAnsi="Sylfaen"/>
          <w:sz w:val="24"/>
          <w:szCs w:val="24"/>
        </w:rPr>
        <w:t xml:space="preserve"> ներառյալ</w:t>
      </w:r>
      <w:r w:rsidR="005D6CB1" w:rsidRPr="000E0CDA">
        <w:rPr>
          <w:rFonts w:ascii="Sylfaen" w:hAnsi="Sylfaen"/>
          <w:sz w:val="24"/>
          <w:szCs w:val="24"/>
        </w:rPr>
        <w:t xml:space="preserve"> </w:t>
      </w:r>
      <w:r w:rsidRPr="000E0CDA">
        <w:rPr>
          <w:rFonts w:ascii="Sylfaen" w:hAnsi="Sylfaen"/>
          <w:sz w:val="24"/>
          <w:szCs w:val="24"/>
        </w:rPr>
        <w:t>նորարարություններին աջակց</w:t>
      </w:r>
      <w:r w:rsidR="00F12583" w:rsidRPr="000E0CDA">
        <w:rPr>
          <w:rFonts w:ascii="Sylfaen" w:hAnsi="Sylfaen"/>
          <w:sz w:val="24"/>
          <w:szCs w:val="24"/>
        </w:rPr>
        <w:t>ել</w:t>
      </w:r>
      <w:r w:rsidRPr="000E0CDA">
        <w:rPr>
          <w:rFonts w:ascii="Sylfaen" w:hAnsi="Sylfaen"/>
          <w:sz w:val="24"/>
          <w:szCs w:val="24"/>
        </w:rPr>
        <w:t xml:space="preserve">ը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հնարավորություններ</w:t>
      </w:r>
      <w:r w:rsidR="00F12583" w:rsidRPr="000E0CDA">
        <w:rPr>
          <w:rFonts w:ascii="Sylfaen" w:hAnsi="Sylfaen"/>
          <w:sz w:val="24"/>
          <w:szCs w:val="24"/>
        </w:rPr>
        <w:t>ը</w:t>
      </w:r>
      <w:r w:rsidRPr="000E0CDA">
        <w:rPr>
          <w:rFonts w:ascii="Sylfaen" w:hAnsi="Sylfaen"/>
          <w:sz w:val="24"/>
          <w:szCs w:val="24"/>
        </w:rPr>
        <w:t xml:space="preserve"> զարգաց</w:t>
      </w:r>
      <w:r w:rsidR="00F12583" w:rsidRPr="000E0CDA">
        <w:rPr>
          <w:rFonts w:ascii="Sylfaen" w:hAnsi="Sylfaen"/>
          <w:sz w:val="24"/>
          <w:szCs w:val="24"/>
        </w:rPr>
        <w:t>նելը</w:t>
      </w:r>
      <w:r w:rsidRPr="000E0CDA">
        <w:rPr>
          <w:rFonts w:ascii="Sylfaen" w:hAnsi="Sylfaen"/>
          <w:sz w:val="24"/>
          <w:szCs w:val="24"/>
        </w:rPr>
        <w:t>։ Նորարարություններին աջակցումն իր մեջ ներառում է մտավոր սեփականության պաշտպանության համակարգի կատարելագործման միջոցառումներ։</w:t>
      </w:r>
    </w:p>
    <w:p w:rsidR="00CD5702" w:rsidRPr="000E0CDA" w:rsidRDefault="002E6078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Ղազախստանի Հանրապետությունում</w:t>
      </w:r>
      <w:r w:rsidR="00CE3AA2" w:rsidRPr="000E0CDA">
        <w:rPr>
          <w:rFonts w:ascii="Sylfaen" w:hAnsi="Sylfaen"/>
          <w:sz w:val="24"/>
          <w:szCs w:val="24"/>
        </w:rPr>
        <w:t xml:space="preserve">՝ Ղազախստանի Հանրապետության Նախագահի 2014 թվականի օգոստոսի 1–ի թիվ 874 հրամանագրով հաստատված՝ Ղազախստանի Հանրապետության 2015-2019 թվականների արդյունաբերական–նորարարական զարգացման պետական ծրագրով հաստոցաշինության ճյուղի զարգացման համար միջոցների հատկացում </w:t>
      </w:r>
      <w:r w:rsidR="00CE3AA2" w:rsidRPr="000E0CDA">
        <w:rPr>
          <w:rFonts w:ascii="Sylfaen" w:hAnsi="Sylfaen"/>
          <w:sz w:val="24"/>
          <w:szCs w:val="24"/>
        </w:rPr>
        <w:lastRenderedPageBreak/>
        <w:t>նախատեսված չէ. մի</w:t>
      </w:r>
      <w:r w:rsidR="00C56AEF">
        <w:rPr>
          <w:rFonts w:ascii="Sylfaen" w:hAnsi="Sylfaen"/>
          <w:sz w:val="24"/>
          <w:szCs w:val="24"/>
        </w:rPr>
        <w:t>եւ</w:t>
      </w:r>
      <w:r w:rsidR="00CE3AA2" w:rsidRPr="000E0CDA">
        <w:rPr>
          <w:rFonts w:ascii="Sylfaen" w:hAnsi="Sylfaen"/>
          <w:sz w:val="24"/>
          <w:szCs w:val="24"/>
        </w:rPr>
        <w:t>նույն ժամանակ, գերակայություն է</w:t>
      </w:r>
      <w:r w:rsidR="001F10F7">
        <w:rPr>
          <w:rFonts w:ascii="Sylfaen" w:hAnsi="Sylfaen"/>
          <w:sz w:val="24"/>
          <w:szCs w:val="24"/>
        </w:rPr>
        <w:t xml:space="preserve"> </w:t>
      </w:r>
      <w:r w:rsidR="00CE3AA2" w:rsidRPr="000E0CDA">
        <w:rPr>
          <w:rFonts w:ascii="Sylfaen" w:hAnsi="Sylfaen"/>
          <w:sz w:val="24"/>
          <w:szCs w:val="24"/>
        </w:rPr>
        <w:t>տրվում</w:t>
      </w:r>
      <w:r w:rsidR="001F10F7">
        <w:rPr>
          <w:rFonts w:ascii="Sylfaen" w:hAnsi="Sylfaen"/>
          <w:sz w:val="24"/>
          <w:szCs w:val="24"/>
        </w:rPr>
        <w:t xml:space="preserve"> </w:t>
      </w:r>
      <w:r w:rsidR="00CE3AA2" w:rsidRPr="000E0CDA">
        <w:rPr>
          <w:rFonts w:ascii="Sylfaen" w:hAnsi="Sylfaen"/>
          <w:sz w:val="24"/>
          <w:szCs w:val="24"/>
        </w:rPr>
        <w:t xml:space="preserve">գերակա ոլորտներում փոքր </w:t>
      </w:r>
      <w:r w:rsidR="00C56AEF">
        <w:rPr>
          <w:rFonts w:ascii="Sylfaen" w:hAnsi="Sylfaen"/>
          <w:sz w:val="24"/>
          <w:szCs w:val="24"/>
        </w:rPr>
        <w:t>եւ</w:t>
      </w:r>
      <w:r w:rsidR="00CE3AA2" w:rsidRPr="000E0CDA">
        <w:rPr>
          <w:rFonts w:ascii="Sylfaen" w:hAnsi="Sylfaen"/>
          <w:sz w:val="24"/>
          <w:szCs w:val="24"/>
        </w:rPr>
        <w:t xml:space="preserve"> միջին բիզնեսի հիման վրա սպասարկման </w:t>
      </w:r>
      <w:r w:rsidR="00C56AEF">
        <w:rPr>
          <w:rFonts w:ascii="Sylfaen" w:hAnsi="Sylfaen"/>
          <w:sz w:val="24"/>
          <w:szCs w:val="24"/>
        </w:rPr>
        <w:t>եւ</w:t>
      </w:r>
      <w:r w:rsidR="00CE3AA2" w:rsidRPr="000E0CDA">
        <w:rPr>
          <w:rFonts w:ascii="Sylfaen" w:hAnsi="Sylfaen"/>
          <w:sz w:val="24"/>
          <w:szCs w:val="24"/>
        </w:rPr>
        <w:t xml:space="preserve"> ինժինիրինգային ծառայությունների զարգացմանը (ագրոքիմիա, ա</w:t>
      </w:r>
      <w:r w:rsidR="000B11D3" w:rsidRPr="000E0CDA">
        <w:rPr>
          <w:rFonts w:ascii="Sylfaen" w:hAnsi="Sylfaen"/>
          <w:sz w:val="24"/>
          <w:szCs w:val="24"/>
        </w:rPr>
        <w:t>վտոմոբիլաշինություն, էլեկտրասարքավորումներ, գյուղատնտեսական մեքենաշինություն</w:t>
      </w:r>
      <w:r w:rsidR="00CE3AA2" w:rsidRPr="000E0CDA">
        <w:rPr>
          <w:rFonts w:ascii="Sylfaen" w:hAnsi="Sylfaen"/>
          <w:sz w:val="24"/>
          <w:szCs w:val="24"/>
        </w:rPr>
        <w:t>, երկաթուղային մեքենաշինություն, լեռնահանքային արդյունաբերության համար մեքենաների եւ սարքավորումների արտադրություն, նավթագազային մեքենաշինություն)։</w:t>
      </w:r>
      <w:r w:rsidR="001F10F7">
        <w:rPr>
          <w:rFonts w:ascii="Sylfaen" w:hAnsi="Sylfaen"/>
          <w:sz w:val="24"/>
          <w:szCs w:val="24"/>
        </w:rPr>
        <w:t xml:space="preserve"> </w:t>
      </w:r>
      <w:r w:rsidR="00CE3AA2" w:rsidRPr="000E0CDA">
        <w:rPr>
          <w:rFonts w:ascii="Sylfaen" w:hAnsi="Sylfaen"/>
          <w:sz w:val="24"/>
          <w:szCs w:val="24"/>
        </w:rPr>
        <w:t>Այդ թվում՝ «</w:t>
      </w:r>
      <w:r w:rsidR="00A33D76" w:rsidRPr="000E0CDA">
        <w:rPr>
          <w:rFonts w:ascii="Sylfaen" w:hAnsi="Sylfaen"/>
          <w:sz w:val="24"/>
          <w:szCs w:val="24"/>
        </w:rPr>
        <w:t xml:space="preserve">Նազարբաեւ </w:t>
      </w:r>
      <w:r w:rsidR="005D6CB1" w:rsidRPr="000E0CDA">
        <w:rPr>
          <w:rFonts w:ascii="Sylfaen" w:hAnsi="Sylfaen"/>
          <w:sz w:val="24"/>
          <w:szCs w:val="24"/>
        </w:rPr>
        <w:t>Հ</w:t>
      </w:r>
      <w:r w:rsidR="00A33D76" w:rsidRPr="000E0CDA">
        <w:rPr>
          <w:rFonts w:ascii="Sylfaen" w:hAnsi="Sylfaen"/>
          <w:sz w:val="24"/>
          <w:szCs w:val="24"/>
        </w:rPr>
        <w:t>ամալսարան</w:t>
      </w:r>
      <w:r w:rsidR="00CE3AA2" w:rsidRPr="000E0CDA">
        <w:rPr>
          <w:rFonts w:ascii="Sylfaen" w:hAnsi="Sylfaen"/>
          <w:sz w:val="24"/>
          <w:szCs w:val="24"/>
        </w:rPr>
        <w:t>» համախմբի գիտական պարկի շրջանակներում պլանավորվում է հետեւյալ համախմբերի ստեղծումը՝</w:t>
      </w:r>
      <w:r w:rsidR="001F10F7">
        <w:rPr>
          <w:rFonts w:ascii="Sylfaen" w:hAnsi="Sylfaen"/>
          <w:sz w:val="24"/>
          <w:szCs w:val="24"/>
        </w:rPr>
        <w:t xml:space="preserve"> </w:t>
      </w:r>
      <w:r w:rsidR="00CE3AA2" w:rsidRPr="000E0CDA">
        <w:rPr>
          <w:rFonts w:ascii="Sylfaen" w:hAnsi="Sylfaen"/>
          <w:sz w:val="24"/>
          <w:szCs w:val="24"/>
        </w:rPr>
        <w:t>երկրաբանական համախումբ, տեղեկատվական հաղորդակցական տեխնոլոգիաների համախումբ, ինժինիրինգի համախումբ (վերականգնվող էներգետիկա, տիեզերական տեխնոլոգիաներ), կենսաբժշկական համախումբ։</w:t>
      </w:r>
    </w:p>
    <w:p w:rsidR="00CD5702" w:rsidRPr="000E0CDA" w:rsidRDefault="00CE3AA2" w:rsidP="002E6078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Ներկայումս Միության տարածքում արդյունաբերական ռոբոտատեխնիկայի զարգացման </w:t>
      </w:r>
      <w:r w:rsidR="00A33D76" w:rsidRPr="000E0CDA">
        <w:rPr>
          <w:rFonts w:ascii="Sylfaen" w:hAnsi="Sylfaen"/>
          <w:sz w:val="24"/>
          <w:szCs w:val="24"/>
        </w:rPr>
        <w:t>գործող</w:t>
      </w:r>
      <w:r w:rsidRPr="000E0CDA">
        <w:rPr>
          <w:rFonts w:ascii="Sylfaen" w:hAnsi="Sylfaen"/>
          <w:sz w:val="24"/>
          <w:szCs w:val="24"/>
        </w:rPr>
        <w:t xml:space="preserve"> ծրագրեր չկան («AutoNet»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«AeroNet» ռուսական ծրագրեր</w:t>
      </w:r>
      <w:r w:rsidR="00DD5579" w:rsidRPr="000E0CDA">
        <w:rPr>
          <w:rFonts w:ascii="Sylfaen" w:hAnsi="Sylfaen"/>
          <w:sz w:val="24"/>
          <w:szCs w:val="24"/>
        </w:rPr>
        <w:t>ն</w:t>
      </w:r>
      <w:r w:rsidRPr="000E0CDA">
        <w:rPr>
          <w:rFonts w:ascii="Sylfaen" w:hAnsi="Sylfaen"/>
          <w:sz w:val="24"/>
          <w:szCs w:val="24"/>
        </w:rPr>
        <w:t xml:space="preserve"> ուղղված են սպասարկող ռոբոտների հատվածին): Միաժամանակ, անդամ պետությունների ծրագրային փաստաթղթերի համաձայն,</w:t>
      </w:r>
      <w:r w:rsidR="001F10F7">
        <w:rPr>
          <w:rFonts w:ascii="Sylfaen" w:hAnsi="Sylfaen"/>
          <w:sz w:val="24"/>
          <w:szCs w:val="24"/>
        </w:rPr>
        <w:t xml:space="preserve"> </w:t>
      </w:r>
      <w:r w:rsidRPr="000E0CDA">
        <w:rPr>
          <w:rFonts w:ascii="Sylfaen" w:hAnsi="Sylfaen"/>
          <w:sz w:val="24"/>
          <w:szCs w:val="24"/>
        </w:rPr>
        <w:t xml:space="preserve">Հայաստանի Հանրապետության, Բելառուսի Հանրապետության, Ղազախստանի Հանրապետության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Ռուսաստանի Դաշնության համար ռոբոտատեխնիկան գերակա ուղղություն է արդյունաբերության զարգացման համար:</w:t>
      </w:r>
    </w:p>
    <w:p w:rsidR="00CD5702" w:rsidRPr="000E0CDA" w:rsidRDefault="00CE3AA2" w:rsidP="002E6078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Լիամասշտաբ գիտական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արտադրական ներուժի վերականգնումը պահանջում է զգալի ֆինանսական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մտավոր ջանքեր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արդիական է բոլոր անդամ պետությունների համար։ Ընդ որում, անդամ պետությունների ունեցած ռեսուրսների կենտրոնացման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դրանց առավելագույն արդյունավետ օգտագործման անհրաժեշտություն է առաջանում։</w:t>
      </w:r>
    </w:p>
    <w:p w:rsidR="008E3C49" w:rsidRPr="002E6078" w:rsidRDefault="00CE3AA2" w:rsidP="002E6078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Ինժինիրինգային կենտրոնը կոչված է միավորելու անդամ պետությունների նորարարական ներուժը՝ մեքենաշինության ճյուղը արտադրության միջոցներով ապահովելու, անդամ պետություններում առկա տեխնոլոգիաների մասով՝ անդամ պետությունների արդյունաբերական ձեռնարկությունների հասանելիությունն օպտիմալացնելու համար, ինչպես նա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առավել ժամանակակից համաշխարհային </w:t>
      </w:r>
      <w:r w:rsidRPr="000E0CDA">
        <w:rPr>
          <w:rFonts w:ascii="Sylfaen" w:hAnsi="Sylfaen"/>
          <w:sz w:val="24"/>
          <w:szCs w:val="24"/>
        </w:rPr>
        <w:lastRenderedPageBreak/>
        <w:t xml:space="preserve">տեխնոլոգիաների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մշակումների հասանելիությունն ապահովելու նպատակով անդամ պետությունների հնարավորություններն օգտագործելու համար։</w:t>
      </w:r>
    </w:p>
    <w:p w:rsidR="00CD5702" w:rsidRPr="000E0CDA" w:rsidRDefault="00F313FD" w:rsidP="003A7672">
      <w:pPr>
        <w:pStyle w:val="Bodytext20"/>
        <w:shd w:val="clear" w:color="auto" w:fill="auto"/>
        <w:spacing w:before="0"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III. Ինժինիրինգային կենտրոնի նպատակները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խնդիրները, ինչպես նա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դրանց իրագործման</w:t>
      </w:r>
      <w:r w:rsidR="001F10F7">
        <w:rPr>
          <w:rFonts w:ascii="Sylfaen" w:hAnsi="Sylfaen"/>
          <w:sz w:val="24"/>
          <w:szCs w:val="24"/>
        </w:rPr>
        <w:t xml:space="preserve"> </w:t>
      </w:r>
      <w:r w:rsidRPr="000E0CDA">
        <w:rPr>
          <w:rFonts w:ascii="Sylfaen" w:hAnsi="Sylfaen"/>
          <w:sz w:val="24"/>
          <w:szCs w:val="24"/>
        </w:rPr>
        <w:t>մեխանիզմները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Ինժինիրինգային կենտրոնը մատուցում է ինժինիրինգային ծառայություններ:</w:t>
      </w:r>
    </w:p>
    <w:p w:rsidR="00CD5702" w:rsidRPr="000E0CDA" w:rsidRDefault="003A767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Ինժինիրինգային </w:t>
      </w:r>
      <w:r w:rsidR="00CE3AA2" w:rsidRPr="000E0CDA">
        <w:rPr>
          <w:rFonts w:ascii="Sylfaen" w:hAnsi="Sylfaen"/>
          <w:sz w:val="24"/>
          <w:szCs w:val="24"/>
        </w:rPr>
        <w:t xml:space="preserve">կենտրոնը </w:t>
      </w:r>
      <w:r w:rsidR="00C56AEF">
        <w:rPr>
          <w:rFonts w:ascii="Sylfaen" w:hAnsi="Sylfaen"/>
          <w:sz w:val="24"/>
          <w:szCs w:val="24"/>
        </w:rPr>
        <w:t>եւ</w:t>
      </w:r>
      <w:r w:rsidR="00CE3AA2" w:rsidRPr="000E0CDA">
        <w:rPr>
          <w:rFonts w:ascii="Sylfaen" w:hAnsi="Sylfaen"/>
          <w:sz w:val="24"/>
          <w:szCs w:val="24"/>
        </w:rPr>
        <w:t xml:space="preserve"> դրա տարրերը (իրավասությունների կենտրոնները) ստեղծում են անդամ պետությունները՝ ելնելով իրենց ազգային գերակայություններից: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Ինժինիրինգային կենտրոնի գործունեության մեջ պետք է առավելագույնս օգտագործվի անդամ պետությունների գիտական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արտադրական ներուժը։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Ինժինիրինգային կենտրոնի գործունեության հիմնական նպատակներն են նորարարական տեխնոլոգիական որոշումները մշակելն ու անդամ պետությունների մեքենաշինական համալիրների արտադրական գործընթացներում դրանց ներդրմանն աջակցելը։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Ինժինիրինգային կենտրոնի գործունեության հիմնական խնդիրներն են՝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երկարաժամկետ կանխատեսումը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հաստոցաշինության ու դրա հարակից ճյուղերի զարգացման ուղղություններով առաջարկների մշակումը.</w:t>
      </w:r>
    </w:p>
    <w:p w:rsidR="00CD5702" w:rsidRPr="000E0CDA" w:rsidRDefault="00CE3AA2" w:rsidP="003A7672">
      <w:pPr>
        <w:pStyle w:val="Bodytext20"/>
        <w:shd w:val="clear" w:color="auto" w:fill="auto"/>
        <w:spacing w:before="0" w:after="160" w:line="384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անդամ պետությունների մեքենաշինական ձեռնարկությունների արտադրական գործընթացներում համաշխարհային մակարդակի ժամանակակից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նորարարական տեխնոլոգիաների ներդրմանն աջակցումը.</w:t>
      </w:r>
    </w:p>
    <w:p w:rsidR="00CD5702" w:rsidRPr="000E0CDA" w:rsidRDefault="00CE3AA2" w:rsidP="003A7672">
      <w:pPr>
        <w:pStyle w:val="Bodytext20"/>
        <w:shd w:val="clear" w:color="auto" w:fill="auto"/>
        <w:spacing w:before="0" w:after="160" w:line="384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անդամ պետությունների արտադրական հզորությունների արդյունավետ օգտագործմանն ու նոր մեքենաշինական ձեռնարկությունների տեխնոլոգիական հագեցվածությանն ուղղված առաջարկների մշակումը՝ մեքենաշինական համալիրների փոխշահավետ զարգացման համար.</w:t>
      </w:r>
    </w:p>
    <w:p w:rsidR="00CD5702" w:rsidRPr="000E0CDA" w:rsidRDefault="00CE3AA2" w:rsidP="002E6078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անդամ պետությունների մեքենաշինական ձեռնարկությունների արդիականացմանն ուղղված</w:t>
      </w:r>
      <w:r w:rsidR="001F10F7">
        <w:rPr>
          <w:rFonts w:ascii="Sylfaen" w:hAnsi="Sylfaen"/>
          <w:sz w:val="24"/>
          <w:szCs w:val="24"/>
        </w:rPr>
        <w:t xml:space="preserve"> </w:t>
      </w:r>
      <w:r w:rsidRPr="000E0CDA">
        <w:rPr>
          <w:rFonts w:ascii="Sylfaen" w:hAnsi="Sylfaen"/>
          <w:sz w:val="24"/>
          <w:szCs w:val="24"/>
        </w:rPr>
        <w:t xml:space="preserve">համատեղ կոոպերացիոն նախագծերի իրագործումը </w:t>
      </w:r>
      <w:r w:rsidR="00C56AEF">
        <w:rPr>
          <w:rFonts w:ascii="Sylfaen" w:hAnsi="Sylfaen"/>
          <w:sz w:val="24"/>
          <w:szCs w:val="24"/>
        </w:rPr>
        <w:lastRenderedPageBreak/>
        <w:t>եւ</w:t>
      </w:r>
      <w:r w:rsidR="002E6078" w:rsidRPr="002E6078">
        <w:rPr>
          <w:rFonts w:ascii="Sylfaen" w:hAnsi="Sylfaen"/>
          <w:sz w:val="24"/>
          <w:szCs w:val="24"/>
        </w:rPr>
        <w:t xml:space="preserve"> </w:t>
      </w:r>
      <w:r w:rsidRPr="000E0CDA">
        <w:rPr>
          <w:rFonts w:ascii="Sylfaen" w:hAnsi="Sylfaen"/>
          <w:sz w:val="24"/>
          <w:szCs w:val="24"/>
        </w:rPr>
        <w:t xml:space="preserve">երրորդ երկրներից ու անդամ պետությունների տարածքներում ժամանակակից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նորարարական տեխնոլոգիաների տրանսֆերտին աջակցումը.</w:t>
      </w:r>
    </w:p>
    <w:p w:rsidR="00CD5702" w:rsidRPr="002E6078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անդամ պետությունների ձեռնարկությունների կողմից մեքենաշինության ճյուղի համար համատեղ արտադրված արտադրական միջոցների որակի որոշմանն ուղղված</w:t>
      </w:r>
      <w:r w:rsidR="002E6078">
        <w:rPr>
          <w:rFonts w:ascii="Sylfaen" w:hAnsi="Sylfaen"/>
          <w:sz w:val="24"/>
          <w:szCs w:val="24"/>
        </w:rPr>
        <w:t xml:space="preserve"> մոտեցումների կատարելագործումը.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համատեղ արտադրված բարձր տեխնոլոգիական արտադրանքի արտահանման ներուժի զարգացումը (անդամ պետությունների տարածքներում մրցունակ արտադրական միջոցների ստեղծումը).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հաստոցաշինության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դրա հարակից ճյուղերում կադրայ</w:t>
      </w:r>
      <w:r w:rsidR="002E6078">
        <w:rPr>
          <w:rFonts w:ascii="Sylfaen" w:hAnsi="Sylfaen"/>
          <w:sz w:val="24"/>
          <w:szCs w:val="24"/>
        </w:rPr>
        <w:t>ին ներուժի զարգացմանն աջակցումը</w:t>
      </w:r>
      <w:r w:rsidRPr="000E0CDA">
        <w:rPr>
          <w:rFonts w:ascii="Sylfaen" w:hAnsi="Sylfaen"/>
          <w:sz w:val="24"/>
          <w:szCs w:val="24"/>
        </w:rPr>
        <w:t>.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արտադրանքի կենսական ցիկլի՝ սպասարկման ուղղվածությամբ մոդելի ձ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>ավորումը։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Նշված խնդիրների իրագործման համար Ինժինիրինգային կենտրոնն օգտագործում է հետ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>յալ մեխանիզմները՝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կոնկրետ ապրանքների, ճյուղերի, արտադրության տեսակների արտաքին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ներքին շուկայական վիճակի (կոնյունկտուրայի) փոփոխությունների, համաշխարհային միտումների վերլուծական հետազոտություններ.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տնտեսության գերակա ճյուղերում պահանջված հեռանկարային տեխնոլոգիական լուծումների թարմացվող ցանկի ձ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>ավորում.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անդամ պետությունների միջ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տեղեկատվության փոխանակմանն աջակցում, մեքենաշինության համար արտադրության հեռանկարային միջոցների մշակում (ներառյալ գիտահետազոտական եւ փորձարարա– կոնստրուկտորական մշակումները).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յուրացված (մշակման համար նախատեսվող) տեխնոլոգիաների տվյալների միասնական էլեկտրոնային բանկի օգտագործում.</w:t>
      </w:r>
    </w:p>
    <w:p w:rsidR="00CD5702" w:rsidRPr="000E0CDA" w:rsidRDefault="00CE3AA2" w:rsidP="003A7672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շահագրգիռ արտադրողների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նորարարական ենթակառուցվածքի </w:t>
      </w:r>
      <w:r w:rsidRPr="000E0CDA">
        <w:rPr>
          <w:rFonts w:ascii="Sylfaen" w:hAnsi="Sylfaen"/>
          <w:sz w:val="24"/>
          <w:szCs w:val="24"/>
        </w:rPr>
        <w:lastRenderedPageBreak/>
        <w:t xml:space="preserve">օբյեկտների, այդ թվում՝ համաշխարհային տեխնոլոգիական առաջատարների՝ ներառյալ անդրազգային կորպորացիաների հետ փոխգործակցության ընդլայնում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փորձի փոխանակում.</w:t>
      </w:r>
    </w:p>
    <w:p w:rsidR="00CD5702" w:rsidRPr="000E0CDA" w:rsidRDefault="00CE3AA2" w:rsidP="003A7672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մեքենաշինական ձեռնարկությունների արդիականացման նախագծերի արդյունավետության գնահատում (տեխնոլոգիական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էներգետիկ աուդիտ).</w:t>
      </w:r>
    </w:p>
    <w:p w:rsidR="00CD5702" w:rsidRPr="000E0CDA" w:rsidRDefault="00CE3AA2" w:rsidP="003A7672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Ինժինիրինգային կենտրոնի՝ արտադրության օպտիմալացմանը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արդյունավետության բարձրացմանն ուղղված առաջարկներ ներառող եզրակացությունների նախապատրաստում.</w:t>
      </w:r>
    </w:p>
    <w:p w:rsidR="00CD5702" w:rsidRPr="000E0CDA" w:rsidRDefault="00CE3AA2" w:rsidP="002E6078">
      <w:pPr>
        <w:pStyle w:val="Bodytext20"/>
        <w:shd w:val="clear" w:color="auto" w:fill="auto"/>
        <w:spacing w:before="0" w:after="160" w:line="384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Միության ընդհանուր շուկայում անդամ պետությունների մեքենաշինական արտադրանքի մասնաբաժնի ավելացմանը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արտադրության տեղայնացման փուլ առ փուլ բարձրացմանն աջակցում.</w:t>
      </w:r>
    </w:p>
    <w:p w:rsidR="00CD5702" w:rsidRPr="000E0CDA" w:rsidRDefault="00CE3AA2" w:rsidP="002E6078">
      <w:pPr>
        <w:pStyle w:val="Bodytext20"/>
        <w:shd w:val="clear" w:color="auto" w:fill="auto"/>
        <w:spacing w:before="0" w:after="160" w:line="384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բարձր տեխնոլոգիական արտադրանքի արտադրության ռացիոնալ կոոպերացիոն շղթաների մշակում՝ նորարարական ենթակառուցվածքի օբյեկտների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զարգացման ինստիտուտների հետ փոխգործակցության ժամանակ մեքենաշինական ձեռնարկությունների ներուժի հաշվառմամբ.</w:t>
      </w:r>
    </w:p>
    <w:p w:rsidR="00CD5702" w:rsidRPr="002E6078" w:rsidRDefault="00CE3AA2" w:rsidP="003A7672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արդյունաբերական արտադրանքի սուբկոնտրակտացիայ</w:t>
      </w:r>
      <w:r w:rsidR="002E6078">
        <w:rPr>
          <w:rFonts w:ascii="Sylfaen" w:hAnsi="Sylfaen"/>
          <w:sz w:val="24"/>
          <w:szCs w:val="24"/>
        </w:rPr>
        <w:t>ի համակարգի զարգացմանն աջակցում</w:t>
      </w:r>
      <w:r w:rsidRPr="000E0CDA">
        <w:rPr>
          <w:rFonts w:ascii="Sylfaen" w:hAnsi="Sylfaen"/>
          <w:sz w:val="24"/>
          <w:szCs w:val="24"/>
        </w:rPr>
        <w:t>.</w:t>
      </w:r>
    </w:p>
    <w:p w:rsidR="00CD5702" w:rsidRPr="000E0CDA" w:rsidRDefault="00C56AEF" w:rsidP="003A7672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հաստոցաշինության </w:t>
      </w:r>
      <w:r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դրա հարակից ճյուղերում օգտագործվող բաղադրամասային բազա արտադրող կազմակերպությունների համար որակի կառավարման ստանդարտի մշակում ու ներդրում՝ նախագծային կառավարման կորպորատիվ ստանդարտների ներդրման </w:t>
      </w:r>
      <w:r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գիտահետազոտական ու </w:t>
      </w:r>
      <w:r w:rsidRPr="00CF64F7">
        <w:rPr>
          <w:rFonts w:ascii="Sylfaen" w:hAnsi="Sylfaen"/>
          <w:sz w:val="24"/>
          <w:szCs w:val="24"/>
        </w:rPr>
        <w:t>փորձարարա–կոնստրուկտորական</w:t>
      </w:r>
      <w:r w:rsidRPr="000E0CDA">
        <w:rPr>
          <w:rFonts w:ascii="Sylfaen" w:hAnsi="Sylfaen"/>
          <w:sz w:val="24"/>
          <w:szCs w:val="24"/>
        </w:rPr>
        <w:t xml:space="preserve"> մշակումների իրագործման ռիսկերի կառավարման հաշվառմամբ.</w:t>
      </w:r>
    </w:p>
    <w:p w:rsidR="00CD5702" w:rsidRPr="000E0CDA" w:rsidRDefault="00CE3AA2" w:rsidP="002E6078">
      <w:pPr>
        <w:pStyle w:val="Bodytext20"/>
        <w:shd w:val="clear" w:color="auto" w:fill="auto"/>
        <w:spacing w:before="0" w:after="160" w:line="384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զարգացման ինստիտուտների գործիքների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մեխանիզմների, այդ թվում՝ լիզինգային գործառնությունների ֆինանսավորման, արժութային ռիսկերի ապահովագրման եւ նվազեցման գործիքների օգտագործում՝ համատեղ արտադրված արտադրանքի արտահանման առաջխաղացման նպատակով.</w:t>
      </w:r>
    </w:p>
    <w:p w:rsidR="00CD5702" w:rsidRPr="000E0CDA" w:rsidRDefault="00CE3AA2" w:rsidP="002E6078">
      <w:pPr>
        <w:pStyle w:val="Bodytext20"/>
        <w:shd w:val="clear" w:color="auto" w:fill="auto"/>
        <w:spacing w:before="0" w:after="160" w:line="384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lastRenderedPageBreak/>
        <w:t xml:space="preserve">մասնակցություն երրորդ երկրներում ցուցահանդեսատոնավաճառային ու էքսպոզիցիոն գործունեությանը, մարքեթինգային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իմիջի բարձրացմանն ուղղված միջոցառումներին.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հաստոցաշինության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դրա հարակից ճյուղերի ձեռնարկությունների ու մեքենաշինության համար կադրերի պատրաստումն իրականացնող տեխնիկական կրթական հաստատությունների միջ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արդյունավետ համագործակցությանն ուղղված առաջարկների մշակում, այդ թվում՝ մասնագիտական ստանդարտների ձեւավորում.</w:t>
      </w:r>
    </w:p>
    <w:p w:rsidR="001F10F7" w:rsidRPr="00C320F0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«WorldSkills</w:t>
      </w:r>
      <w:r w:rsidR="001F10F7">
        <w:rPr>
          <w:rFonts w:ascii="Sylfaen" w:hAnsi="Sylfaen"/>
          <w:sz w:val="24"/>
          <w:szCs w:val="24"/>
        </w:rPr>
        <w:t>» շարժման զարգացմանն աջակցում.</w:t>
      </w:r>
    </w:p>
    <w:p w:rsidR="00CD5702" w:rsidRPr="00C320F0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արտադրության մշակվող միջոցների համար բաղադրամասային բազայի միասնականացում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դրա հարմարեցո</w:t>
      </w:r>
      <w:r w:rsidR="001F10F7">
        <w:rPr>
          <w:rFonts w:ascii="Sylfaen" w:hAnsi="Sylfaen"/>
          <w:sz w:val="24"/>
          <w:szCs w:val="24"/>
        </w:rPr>
        <w:t>ւմ թողարկվող սարքավորումներին.</w:t>
      </w:r>
    </w:p>
    <w:p w:rsidR="001F10F7" w:rsidRPr="00C320F0" w:rsidRDefault="00CE3AA2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արտադրության միջոցների համար բաղադրամասային բազայի արտադրության տեղայնացման մեխանիզմների օգտագործում. սպասարկման ծառա</w:t>
      </w:r>
      <w:r w:rsidR="001F10F7">
        <w:rPr>
          <w:rFonts w:ascii="Sylfaen" w:hAnsi="Sylfaen"/>
          <w:sz w:val="24"/>
          <w:szCs w:val="24"/>
        </w:rPr>
        <w:t>յությունների հեռավար մատուցում.</w:t>
      </w:r>
    </w:p>
    <w:p w:rsidR="001F10F7" w:rsidRPr="00C320F0" w:rsidRDefault="001F10F7" w:rsidP="000E0CDA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արտադրության</w:t>
      </w:r>
      <w:r w:rsidR="00CE3AA2" w:rsidRPr="000E0CDA">
        <w:rPr>
          <w:rFonts w:ascii="Sylfaen" w:hAnsi="Sylfaen"/>
          <w:sz w:val="24"/>
          <w:szCs w:val="24"/>
        </w:rPr>
        <w:t xml:space="preserve"> միջոցների սպասարկման ծա</w:t>
      </w:r>
      <w:r>
        <w:rPr>
          <w:rFonts w:ascii="Sylfaen" w:hAnsi="Sylfaen"/>
          <w:sz w:val="24"/>
          <w:szCs w:val="24"/>
        </w:rPr>
        <w:t>ռայությունների ցանցի զարգացում.</w:t>
      </w:r>
    </w:p>
    <w:p w:rsidR="00CD5702" w:rsidRPr="00C320F0" w:rsidRDefault="00CE3AA2" w:rsidP="0010572E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հաստոցաշինության ոլորտում թվային ծրագրային կառավարման համակարգերի համար միասնական ծրագրային միջավայրի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միասնականացվա</w:t>
      </w:r>
      <w:r w:rsidR="001F10F7">
        <w:rPr>
          <w:rFonts w:ascii="Sylfaen" w:hAnsi="Sylfaen"/>
          <w:sz w:val="24"/>
          <w:szCs w:val="24"/>
        </w:rPr>
        <w:t>ծ ծրագրային ապահովման ստեղծում:</w:t>
      </w:r>
    </w:p>
    <w:p w:rsidR="00CD5702" w:rsidRPr="000E0CDA" w:rsidRDefault="00CE3AA2" w:rsidP="0010572E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Ինժինիրինգային կենտրոնի առավել արդյունավետ գործունեության ապահովման նպատակով անդամ պետությունների որոշմամբ կարող են շտկվել խնդիրները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դրանց իրագործման մեխանիզմները, կիրառվել պետական օժանդակության մեխանիզմներ։</w:t>
      </w:r>
    </w:p>
    <w:p w:rsidR="00CD5702" w:rsidRPr="000E0CDA" w:rsidRDefault="001F10F7" w:rsidP="00CF64F7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C56AEF">
        <w:rPr>
          <w:rFonts w:ascii="Sylfaen" w:hAnsi="Sylfaen"/>
          <w:spacing w:val="-6"/>
          <w:position w:val="2"/>
          <w:sz w:val="24"/>
          <w:szCs w:val="24"/>
        </w:rPr>
        <w:t>Ինժինիրինգային կենտրոնի կողմից</w:t>
      </w:r>
      <w:r w:rsidR="00CE3AA2" w:rsidRPr="00C56AEF">
        <w:rPr>
          <w:rFonts w:ascii="Sylfaen" w:hAnsi="Sylfaen"/>
          <w:spacing w:val="-6"/>
          <w:position w:val="2"/>
          <w:sz w:val="24"/>
          <w:szCs w:val="24"/>
        </w:rPr>
        <w:t xml:space="preserve"> իրականացվում է անդամ պետությունների տարածքներում արտադրվող արտադրանքի ցանկի ձ</w:t>
      </w:r>
      <w:r w:rsidR="00C56AEF" w:rsidRPr="00C56AEF">
        <w:rPr>
          <w:rFonts w:ascii="Sylfaen" w:hAnsi="Sylfaen"/>
          <w:spacing w:val="-6"/>
          <w:position w:val="2"/>
          <w:sz w:val="24"/>
          <w:szCs w:val="24"/>
        </w:rPr>
        <w:t>եւ</w:t>
      </w:r>
      <w:r w:rsidR="00CE3AA2" w:rsidRPr="00C56AEF">
        <w:rPr>
          <w:rFonts w:ascii="Sylfaen" w:hAnsi="Sylfaen"/>
          <w:spacing w:val="-6"/>
          <w:position w:val="2"/>
          <w:sz w:val="24"/>
          <w:szCs w:val="24"/>
        </w:rPr>
        <w:t>ավորման առաջարկների նախապատրաստումը, որի վարումն իրականացնում է Հանձնաժողովը՝ օգտագործելով Միության ինտեգրված տեղեկատվական</w:t>
      </w:r>
      <w:r w:rsidR="00CE3AA2" w:rsidRPr="000E0CDA">
        <w:rPr>
          <w:rFonts w:ascii="Sylfaen" w:hAnsi="Sylfaen"/>
          <w:sz w:val="24"/>
          <w:szCs w:val="24"/>
        </w:rPr>
        <w:t xml:space="preserve"> համակարգը։</w:t>
      </w:r>
    </w:p>
    <w:p w:rsidR="00CD5702" w:rsidRPr="000E0CDA" w:rsidRDefault="00CE3AA2" w:rsidP="00CF64F7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lastRenderedPageBreak/>
        <w:t>Հանձնաժողովի կամ անդամ պետությունների հարցմամբ՝ նշված ցանկում ընդգրկված արտադրանքի համար Ինժինիրինգային կենտրոնի կողմից նախապատրաստվում են՝</w:t>
      </w:r>
    </w:p>
    <w:p w:rsidR="00CD5702" w:rsidRPr="000E0CDA" w:rsidRDefault="00CE3AA2" w:rsidP="00C56AE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եզրակացություններ Միության տարածքում ներմուծվող արտադրանքի անալոգների առկայության վերաբերյալ,</w:t>
      </w:r>
    </w:p>
    <w:p w:rsidR="00CD5702" w:rsidRPr="000E0CDA" w:rsidRDefault="00CE3AA2" w:rsidP="00C56AE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եզրակացություններ Եվրասիական տնտեսական միության միասնական մաքսային սակագնի ներմուծման մաքսատուրքերի դրույքաչափերի փոփոխման նպատակահարմարության վերաբերյալ,</w:t>
      </w:r>
    </w:p>
    <w:p w:rsidR="00CD5702" w:rsidRPr="000E0CDA" w:rsidRDefault="00CE3AA2" w:rsidP="00C56AE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առաջարկներ արտադրության արդիականացման ազգային ծրագրերի իրագործման ժամանակ անդամ պետությունների կողմից այլ անդամ պետությունների արտադրողների հնարավորությունների հաշվառման վերաբերյալ։</w:t>
      </w:r>
    </w:p>
    <w:p w:rsidR="008E3C49" w:rsidRPr="000E0CDA" w:rsidRDefault="008E3C49" w:rsidP="00CF64F7">
      <w:pPr>
        <w:pStyle w:val="Bodytext20"/>
        <w:shd w:val="clear" w:color="auto" w:fill="auto"/>
        <w:spacing w:before="0" w:after="160" w:line="360" w:lineRule="auto"/>
        <w:ind w:right="-1" w:firstLine="567"/>
        <w:rPr>
          <w:rFonts w:ascii="Sylfaen" w:hAnsi="Sylfaen"/>
          <w:sz w:val="24"/>
          <w:szCs w:val="24"/>
        </w:rPr>
      </w:pPr>
    </w:p>
    <w:p w:rsidR="00CD5702" w:rsidRPr="000E0CDA" w:rsidRDefault="00F313FD" w:rsidP="0010572E">
      <w:pPr>
        <w:pStyle w:val="Bodytext20"/>
        <w:shd w:val="clear" w:color="auto" w:fill="auto"/>
        <w:spacing w:before="0"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IV. Ինժինիրինգային կենտրոնի գործունեության ակնկալվող արդյունքները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Ինժինիրինգային կենտրոնի գործունեության արդյունքներով</w:t>
      </w:r>
      <w:r w:rsidR="001F10F7">
        <w:rPr>
          <w:rFonts w:ascii="Sylfaen" w:hAnsi="Sylfaen"/>
          <w:sz w:val="24"/>
          <w:szCs w:val="24"/>
        </w:rPr>
        <w:t xml:space="preserve"> </w:t>
      </w:r>
      <w:r w:rsidRPr="000E0CDA">
        <w:rPr>
          <w:rFonts w:ascii="Sylfaen" w:hAnsi="Sylfaen"/>
          <w:sz w:val="24"/>
          <w:szCs w:val="24"/>
        </w:rPr>
        <w:t>պլանավորվում է հասնել հետեւյալ արդյունքներին՝</w:t>
      </w:r>
    </w:p>
    <w:p w:rsidR="00CD5702" w:rsidRPr="000E0CDA" w:rsidRDefault="00CE3AA2" w:rsidP="0010572E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անդամ պետությունների ձեռնարկությունների համար Ինժինիրինգային կենտրոնի մշակած տեխնոլոգիաներին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նորարարական արտադրանքին հասանելիության հավասար պայմանների ապահովում.</w:t>
      </w:r>
    </w:p>
    <w:p w:rsidR="00CD5702" w:rsidRPr="000E0CDA" w:rsidRDefault="00CE3AA2" w:rsidP="0010572E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հաստոցային արտադրանքի արտադրության ընդհանուր ծավալում բարձր տեխնոլոգիական արտադրանքի, այդ թվում՝ կոմպլեկտավորողների (թվային ծրագրային կառավարման, ծրագրային ապահովման, հաղորդակների) մասնաբաժնի ավելացում՝ մինչ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30 տոկոս.</w:t>
      </w:r>
    </w:p>
    <w:p w:rsidR="00CD5702" w:rsidRPr="000E0CDA" w:rsidRDefault="00CE3AA2" w:rsidP="00C56AE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հաստոցաշինության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դրա հարակից ճյուղերի մեջ ներդրումների ծավալի աճ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տե</w:t>
      </w:r>
      <w:r w:rsidRPr="00C56AEF">
        <w:rPr>
          <w:rFonts w:ascii="Sylfaen" w:hAnsi="Sylfaen"/>
          <w:spacing w:val="-4"/>
          <w:position w:val="2"/>
          <w:sz w:val="24"/>
          <w:szCs w:val="24"/>
        </w:rPr>
        <w:t>խնոլոգիական նորարարությունների ծախսերի ավելացում (Միությունում ներկայումս նորարարությունների ծախսերի մակարդակը մ</w:t>
      </w:r>
      <w:r w:rsidR="00A634E9" w:rsidRPr="00C56AEF">
        <w:rPr>
          <w:rFonts w:ascii="Sylfaen" w:hAnsi="Sylfaen"/>
          <w:spacing w:val="-4"/>
          <w:position w:val="2"/>
          <w:sz w:val="24"/>
          <w:szCs w:val="24"/>
        </w:rPr>
        <w:t>իջին</w:t>
      </w:r>
      <w:r w:rsidR="001E6866" w:rsidRPr="00C56AEF">
        <w:rPr>
          <w:rFonts w:ascii="Sylfaen" w:hAnsi="Sylfaen"/>
          <w:spacing w:val="-4"/>
          <w:position w:val="2"/>
          <w:sz w:val="24"/>
          <w:szCs w:val="24"/>
        </w:rPr>
        <w:t>ը</w:t>
      </w:r>
      <w:r w:rsidRPr="00C56AEF">
        <w:rPr>
          <w:rFonts w:ascii="Sylfaen" w:hAnsi="Sylfaen"/>
          <w:spacing w:val="-4"/>
          <w:position w:val="2"/>
          <w:sz w:val="24"/>
          <w:szCs w:val="24"/>
        </w:rPr>
        <w:t xml:space="preserve"> կազմում է ՀՆԱ–ի 1,35 տոկոսը</w:t>
      </w:r>
      <w:r w:rsidRPr="000E0CDA">
        <w:rPr>
          <w:rFonts w:ascii="Sylfaen" w:hAnsi="Sylfaen"/>
          <w:sz w:val="24"/>
          <w:szCs w:val="24"/>
        </w:rPr>
        <w:t>).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lastRenderedPageBreak/>
        <w:t xml:space="preserve">հաստոցաշինության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դրա հարակից ճյուղերում կադրային ներուժի աճ, ամենից առաջ, արտադրության միջոցների նախագծման ոլորտում, հաստոցաշինության ոլորտում երիտասարդ մասնագետների համար աշխատանքի գրավչության ապահովում.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հաստոցաշինական ձեռնարկությունների առկա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ստեղծվող հզորությունների ներբեռնման մակարդակի բարձրացում։</w:t>
      </w:r>
    </w:p>
    <w:p w:rsidR="00CD5702" w:rsidRPr="000E0CDA" w:rsidRDefault="00CE3AA2" w:rsidP="00CA677C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Այսպիսով, Ինժինիրինգային կենտրոնի ստեղծումն ուղղված է արդյունաբերության բարձր տեխնոլոգիական ճյուղերի տեխնիկական առաջընթացի տեմպերը, անդամ պետությունների մեքենաշինական արտադրանքի մրցունակության մակարդակը </w:t>
      </w:r>
      <w:r w:rsidR="00C56AEF">
        <w:rPr>
          <w:rFonts w:ascii="Sylfaen" w:hAnsi="Sylfaen"/>
          <w:sz w:val="24"/>
          <w:szCs w:val="24"/>
        </w:rPr>
        <w:t>եւ</w:t>
      </w:r>
      <w:r w:rsidRPr="00CA677C">
        <w:rPr>
          <w:rFonts w:ascii="Sylfaen" w:hAnsi="Sylfaen"/>
          <w:sz w:val="24"/>
          <w:szCs w:val="24"/>
        </w:rPr>
        <w:t xml:space="preserve"> անդամ</w:t>
      </w:r>
      <w:r w:rsidRPr="000E0CDA">
        <w:rPr>
          <w:rFonts w:ascii="Sylfaen" w:hAnsi="Sylfaen"/>
          <w:sz w:val="24"/>
          <w:szCs w:val="24"/>
        </w:rPr>
        <w:t xml:space="preserve"> պետությունների տնտեսությունների զարգացման անկախության ու կայունության աստիճանը որոշող արդյունաբերական արտադրությունների զարգացման տեխնոլոգիական գործընթացների կառավարման առանցքային խնդիրների լուծմանը։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Ինժինիրինգային կենտրոնի ստեղծմամբ կապահովվի անդամ պետությունների արդյունաբերության ճյուղերի տեխնոլոգիական հնարավորությունների զարգացումը երկարատ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հեռանկարում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տեխնիկական հիմքի ստեղծումը՝ մեքենաշինական արտադրանքի որակի, տնտեսական աճի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մրցունակության բարձրացման համար բարձր տեխնոլոգիական մեքենաշինական արտադրանքի համաշխարհային շուկաներում։</w:t>
      </w:r>
      <w:r w:rsidR="001F10F7">
        <w:rPr>
          <w:rFonts w:ascii="Sylfaen" w:hAnsi="Sylfaen"/>
          <w:sz w:val="24"/>
          <w:szCs w:val="24"/>
        </w:rPr>
        <w:t xml:space="preserve"> </w:t>
      </w:r>
      <w:r w:rsidRPr="000E0CDA">
        <w:rPr>
          <w:rFonts w:ascii="Sylfaen" w:hAnsi="Sylfaen"/>
          <w:sz w:val="24"/>
          <w:szCs w:val="24"/>
        </w:rPr>
        <w:t>Ինժինիրինգային կենտրոնի գործունեությունը կնպաստի անդամ պետությունների արդյունաբերական համալիրների ինտեգրմանը։</w:t>
      </w:r>
    </w:p>
    <w:p w:rsidR="00CA677C" w:rsidRPr="00C56AEF" w:rsidRDefault="00CA677C" w:rsidP="00CF64F7">
      <w:pPr>
        <w:pStyle w:val="Bodytext20"/>
        <w:shd w:val="clear" w:color="auto" w:fill="auto"/>
        <w:spacing w:before="0" w:after="160" w:line="360" w:lineRule="auto"/>
        <w:ind w:right="220" w:firstLine="0"/>
        <w:rPr>
          <w:rFonts w:ascii="Sylfaen" w:hAnsi="Sylfaen"/>
          <w:sz w:val="24"/>
          <w:szCs w:val="24"/>
        </w:rPr>
      </w:pPr>
    </w:p>
    <w:p w:rsidR="00CD5702" w:rsidRPr="000E0CDA" w:rsidRDefault="00F313FD" w:rsidP="00CA677C">
      <w:pPr>
        <w:pStyle w:val="Bodytext20"/>
        <w:shd w:val="clear" w:color="auto" w:fill="auto"/>
        <w:spacing w:before="0"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V. Ինժինիրինգային կենտրոնի կազմակերպաիրավական ձ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>ը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Ինժինիրինգային կենտրոնի կազմակեպաիրավական ձ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ը, գտնվելու վայրը, կառուցվածքը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հաստիքների թիվը սահմանվում են հիմնադիր փաստաթղթերով։ Անդամ պետություններն ինքնուրույն են որոշում Ինժինիրինգային կենտրոնի հիմնադիրներին:</w:t>
      </w:r>
    </w:p>
    <w:p w:rsidR="00CD5702" w:rsidRPr="000E0CDA" w:rsidRDefault="00CE3AA2" w:rsidP="00CF64F7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lastRenderedPageBreak/>
        <w:t>Յուրաքանչյուր անդամ պետություն որոշում է ազգային համակարգողի (այսուհետ՝ ազգային համակարգող) գործառույթներով օժտվող կազմակերպությունը (արտադրական կամ գիտական կազմակերպություն), որը պատասխանատու է Ինժինիրինգային կենտրոնի աշխատանքում մասնակցություն ունեցող անդամ պետությունում նորարարական գործունեության զարգացման համար։ Ազգային համակարգողների կազմն ամրագրված է Ինժինիրինգային կենտրոնի հիմնադիր փաստաթղթերում։</w:t>
      </w:r>
    </w:p>
    <w:p w:rsidR="00CD5702" w:rsidRPr="000E0CDA" w:rsidRDefault="00CE3AA2" w:rsidP="00CF64F7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Ինժինիրինգային կենտրոնի հիմնադիր փաստաթղթերին համապատասխան որոշված կառավարող մարմինը ձ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ավորում է Ինժինիրինգային կենտրոնի գործունեության ռազմավարությունը, սահմանում է գիտատեխնիկական համագործակցության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համատեղ մշակումների հիմնական ուղղությունները, ապահովում է</w:t>
      </w:r>
      <w:r w:rsidR="001F10F7">
        <w:rPr>
          <w:rFonts w:ascii="Sylfaen" w:hAnsi="Sylfaen"/>
          <w:sz w:val="24"/>
          <w:szCs w:val="24"/>
        </w:rPr>
        <w:t xml:space="preserve"> 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հաստոցաշինության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դրա հարակից</w:t>
      </w:r>
      <w:r w:rsidR="001F10F7">
        <w:rPr>
          <w:rFonts w:ascii="Sylfaen" w:hAnsi="Sylfaen"/>
          <w:sz w:val="24"/>
          <w:szCs w:val="24"/>
        </w:rPr>
        <w:t xml:space="preserve"> </w:t>
      </w:r>
      <w:r w:rsidRPr="000E0CDA">
        <w:rPr>
          <w:rFonts w:ascii="Sylfaen" w:hAnsi="Sylfaen"/>
          <w:sz w:val="24"/>
          <w:szCs w:val="24"/>
        </w:rPr>
        <w:t xml:space="preserve">ճյուղերի ոլորտում գիտահետազոտական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</w:t>
      </w:r>
      <w:r w:rsidR="00CF64F7" w:rsidRPr="00CF64F7">
        <w:rPr>
          <w:rFonts w:ascii="Sylfaen" w:hAnsi="Sylfaen"/>
          <w:sz w:val="24"/>
          <w:szCs w:val="24"/>
        </w:rPr>
        <w:t>փորձարարա–</w:t>
      </w:r>
      <w:r w:rsidRPr="00CF64F7">
        <w:rPr>
          <w:rFonts w:ascii="Sylfaen" w:hAnsi="Sylfaen"/>
          <w:sz w:val="24"/>
          <w:szCs w:val="24"/>
        </w:rPr>
        <w:t>կոնստրուկտորական</w:t>
      </w:r>
      <w:r w:rsidRPr="000E0CDA">
        <w:rPr>
          <w:rFonts w:ascii="Sylfaen" w:hAnsi="Sylfaen"/>
          <w:sz w:val="24"/>
          <w:szCs w:val="24"/>
        </w:rPr>
        <w:t xml:space="preserve"> մշակումների ազգային ու համատեղ ծրագրերի մոնիթորինգը, ինչպես նա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ներմուծվող սարքավորումների անալոգների արտադրության առկայության մասին եզրակացությունների տրամադրումը։</w:t>
      </w:r>
    </w:p>
    <w:p w:rsidR="00CD5702" w:rsidRPr="000E0CDA" w:rsidRDefault="00CE3AA2" w:rsidP="00CF64F7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Ինժինիրինգային կենտրոնը փոխգործակցում է Եվրասիական տնտեսական հանձնաժողովի հետ՝ Եվրասիական տնտեսական հանձնաժողովին կից ստեղծված Արդյունաբերական հարցերով խորհրդատվական կոմիտեի շրջանակներում։</w:t>
      </w:r>
    </w:p>
    <w:p w:rsidR="00CA677C" w:rsidRPr="00C320F0" w:rsidRDefault="00CA677C" w:rsidP="00CF64F7">
      <w:pPr>
        <w:pStyle w:val="Bodytext20"/>
        <w:shd w:val="clear" w:color="auto" w:fill="auto"/>
        <w:spacing w:before="0" w:after="160" w:line="360" w:lineRule="auto"/>
        <w:ind w:right="240" w:firstLine="0"/>
        <w:rPr>
          <w:rFonts w:ascii="Sylfaen" w:hAnsi="Sylfaen"/>
          <w:sz w:val="24"/>
          <w:szCs w:val="24"/>
        </w:rPr>
      </w:pPr>
    </w:p>
    <w:p w:rsidR="00CD5702" w:rsidRPr="000E0CDA" w:rsidRDefault="00F313FD" w:rsidP="00CA677C">
      <w:pPr>
        <w:pStyle w:val="Bodytext20"/>
        <w:shd w:val="clear" w:color="auto" w:fill="auto"/>
        <w:spacing w:before="0" w:after="160" w:line="360" w:lineRule="auto"/>
        <w:ind w:left="567" w:right="566" w:firstLine="0"/>
        <w:jc w:val="center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VI. Ինժինիրինգային կենտրոնի շրջանակներում գիտատեխնիկական</w:t>
      </w:r>
      <w:r w:rsidR="00DB2BCB" w:rsidRPr="00C320F0">
        <w:rPr>
          <w:rFonts w:ascii="Sylfaen" w:hAnsi="Sylfaen"/>
          <w:sz w:val="24"/>
          <w:szCs w:val="24"/>
        </w:rPr>
        <w:t> </w:t>
      </w:r>
      <w:r w:rsidRPr="000E0CDA">
        <w:rPr>
          <w:rFonts w:ascii="Sylfaen" w:hAnsi="Sylfaen"/>
          <w:sz w:val="24"/>
          <w:szCs w:val="24"/>
        </w:rPr>
        <w:t>համագործակցությունը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right="240"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 xml:space="preserve">Ինժինիրինգային կենտրոնը կանխատեսում է մեքենաշինության պահանջները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արտադրության միջոցների ու աշխատանքի պարագաների զարգացման համար հեռանկարային խորշերը, ձ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>ավորում է տնտեսության գերակա ճյուղերում պահանջված հեռանկարային տեխնոլոգիական լուծումների թարմացվող ցանկը:</w:t>
      </w:r>
    </w:p>
    <w:p w:rsidR="00CD5702" w:rsidRPr="000E0CDA" w:rsidRDefault="00CE3AA2" w:rsidP="000E0CDA">
      <w:pPr>
        <w:pStyle w:val="Bodytext20"/>
        <w:shd w:val="clear" w:color="auto" w:fill="auto"/>
        <w:spacing w:before="0" w:after="160" w:line="360" w:lineRule="auto"/>
        <w:ind w:right="240" w:firstLine="567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lastRenderedPageBreak/>
        <w:t>Գիտատեխնիկական</w:t>
      </w:r>
      <w:r w:rsidR="001F10F7">
        <w:rPr>
          <w:rFonts w:ascii="Sylfaen" w:hAnsi="Sylfaen"/>
          <w:sz w:val="24"/>
          <w:szCs w:val="24"/>
        </w:rPr>
        <w:t xml:space="preserve"> </w:t>
      </w:r>
      <w:r w:rsidRPr="000E0CDA">
        <w:rPr>
          <w:rFonts w:ascii="Sylfaen" w:hAnsi="Sylfaen"/>
          <w:sz w:val="24"/>
          <w:szCs w:val="24"/>
        </w:rPr>
        <w:t>ոլորտում կոոպերացիայի ապահովման նպատակներով ձ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ավորվում են Եվրասիական տեխնոլոգիական հարթակներ: Ինժինիրինգային կենտրոնի՝ որպես հաստոցաշինության ոլորտում տեխնոլոգիական զարգացման ինտեգրողի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տեխնոլոգիական հարթակների՝ որպես գիտական համագործակցության օպերատորների համատեղ </w:t>
      </w:r>
      <w:r w:rsidR="00A33D76" w:rsidRPr="000E0CDA">
        <w:rPr>
          <w:rFonts w:ascii="Sylfaen" w:hAnsi="Sylfaen"/>
          <w:sz w:val="24"/>
          <w:szCs w:val="24"/>
        </w:rPr>
        <w:t>աշխատանք</w:t>
      </w:r>
      <w:r w:rsidR="00DD5579" w:rsidRPr="000E0CDA">
        <w:rPr>
          <w:rFonts w:ascii="Sylfaen" w:hAnsi="Sylfaen"/>
          <w:sz w:val="24"/>
          <w:szCs w:val="24"/>
        </w:rPr>
        <w:t>ով</w:t>
      </w:r>
      <w:r w:rsidR="00A33D76" w:rsidRPr="000E0CDA">
        <w:rPr>
          <w:rFonts w:ascii="Sylfaen" w:hAnsi="Sylfaen"/>
          <w:sz w:val="24"/>
          <w:szCs w:val="24"/>
        </w:rPr>
        <w:t xml:space="preserve"> պետ</w:t>
      </w:r>
      <w:r w:rsidRPr="000E0CDA">
        <w:rPr>
          <w:rFonts w:ascii="Sylfaen" w:hAnsi="Sylfaen"/>
          <w:sz w:val="24"/>
          <w:szCs w:val="24"/>
        </w:rPr>
        <w:t>ք է հնարավորություն ընձեռ</w:t>
      </w:r>
      <w:r w:rsidR="00DD5579" w:rsidRPr="000E0CDA">
        <w:rPr>
          <w:rFonts w:ascii="Sylfaen" w:hAnsi="Sylfaen"/>
          <w:sz w:val="24"/>
          <w:szCs w:val="24"/>
        </w:rPr>
        <w:t>վ</w:t>
      </w:r>
      <w:r w:rsidRPr="000E0CDA">
        <w:rPr>
          <w:rFonts w:ascii="Sylfaen" w:hAnsi="Sylfaen"/>
          <w:sz w:val="24"/>
          <w:szCs w:val="24"/>
        </w:rPr>
        <w:t xml:space="preserve">ի ստեղծվող կառույցներին ավելի արդյունավետ համապատասխանել առկա տեխնոլոգիական մարտահրավերներին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>, վերջին հաշվով, ապահովել Միության արդյունաբերական համալիրը արտադրության ժամանակակից միջոցներով:</w:t>
      </w:r>
    </w:p>
    <w:p w:rsidR="00E522F9" w:rsidRPr="00F80FCC" w:rsidRDefault="00E522F9" w:rsidP="00A84505">
      <w:pPr>
        <w:rPr>
          <w:rFonts w:ascii="Sylfaen" w:eastAsia="Times New Roman" w:hAnsi="Sylfaen" w:cs="Times New Roman"/>
        </w:rPr>
        <w:sectPr w:rsidR="00E522F9" w:rsidRPr="00F80FCC" w:rsidSect="00F65B33">
          <w:footerReference w:type="default" r:id="rId9"/>
          <w:pgSz w:w="11907" w:h="16839" w:code="9"/>
          <w:pgMar w:top="1418" w:right="1418" w:bottom="1418" w:left="1418" w:header="0" w:footer="646" w:gutter="0"/>
          <w:pgNumType w:start="2"/>
          <w:cols w:space="720"/>
          <w:noEndnote/>
          <w:docGrid w:linePitch="360"/>
        </w:sectPr>
      </w:pPr>
      <w:r w:rsidRPr="00C56AEF">
        <w:rPr>
          <w:rFonts w:ascii="Sylfaen" w:hAnsi="Sylfaen"/>
        </w:rPr>
        <w:br w:type="page"/>
      </w:r>
    </w:p>
    <w:p w:rsidR="00CD5702" w:rsidRPr="000E0CDA" w:rsidRDefault="00CE3AA2" w:rsidP="00DB2BCB">
      <w:pPr>
        <w:pStyle w:val="Bodytext20"/>
        <w:shd w:val="clear" w:color="auto" w:fill="auto"/>
        <w:spacing w:before="0" w:after="160" w:line="360" w:lineRule="auto"/>
        <w:ind w:left="9072" w:right="-30" w:firstLine="0"/>
        <w:jc w:val="center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lastRenderedPageBreak/>
        <w:t>ՀԱՎԵԼՎԱԾ</w:t>
      </w:r>
    </w:p>
    <w:p w:rsidR="00CD5702" w:rsidRPr="000E0CDA" w:rsidRDefault="00CE3AA2" w:rsidP="00DB2BCB">
      <w:pPr>
        <w:pStyle w:val="Bodytext20"/>
        <w:shd w:val="clear" w:color="auto" w:fill="auto"/>
        <w:spacing w:before="0" w:after="160" w:line="360" w:lineRule="auto"/>
        <w:ind w:left="9072" w:right="-30" w:firstLine="0"/>
        <w:jc w:val="center"/>
        <w:rPr>
          <w:rFonts w:ascii="Sylfaen" w:hAnsi="Sylfaen"/>
          <w:sz w:val="24"/>
          <w:szCs w:val="24"/>
        </w:rPr>
      </w:pPr>
      <w:r w:rsidRPr="000E0CDA">
        <w:rPr>
          <w:rFonts w:ascii="Sylfaen" w:hAnsi="Sylfaen"/>
          <w:sz w:val="24"/>
          <w:szCs w:val="24"/>
        </w:rPr>
        <w:t>Հաստոցաշինության եվրասիական ինժինիրինգային կենտրոնի ստեղծման հայեցակարգի</w:t>
      </w:r>
    </w:p>
    <w:p w:rsidR="008E3C49" w:rsidRPr="000E0CDA" w:rsidRDefault="008E3C49" w:rsidP="00DB2BCB">
      <w:pPr>
        <w:pStyle w:val="Bodytext20"/>
        <w:shd w:val="clear" w:color="auto" w:fill="auto"/>
        <w:spacing w:before="0" w:after="160" w:line="360" w:lineRule="auto"/>
        <w:ind w:left="567" w:right="395" w:firstLine="0"/>
        <w:jc w:val="center"/>
        <w:rPr>
          <w:rFonts w:ascii="Sylfaen" w:hAnsi="Sylfaen"/>
          <w:sz w:val="24"/>
          <w:szCs w:val="24"/>
        </w:rPr>
      </w:pPr>
    </w:p>
    <w:p w:rsidR="008E3C49" w:rsidRPr="00E86ADA" w:rsidRDefault="00CE3AA2" w:rsidP="00E86ADA">
      <w:pPr>
        <w:pStyle w:val="Heading10"/>
        <w:shd w:val="clear" w:color="auto" w:fill="auto"/>
        <w:spacing w:before="0" w:after="160" w:line="360" w:lineRule="auto"/>
        <w:ind w:left="567" w:right="395" w:firstLine="0"/>
        <w:outlineLvl w:val="9"/>
        <w:rPr>
          <w:rFonts w:ascii="Sylfaen" w:hAnsi="Sylfaen"/>
          <w:sz w:val="24"/>
          <w:szCs w:val="24"/>
        </w:rPr>
      </w:pPr>
      <w:bookmarkStart w:id="3" w:name="bookmark4"/>
      <w:r w:rsidRPr="000E0CDA">
        <w:rPr>
          <w:rFonts w:ascii="Sylfaen" w:hAnsi="Sylfaen"/>
          <w:sz w:val="24"/>
          <w:szCs w:val="24"/>
        </w:rPr>
        <w:t xml:space="preserve">Հաստոցաշինության եվրասիական ինժինիրինգային կենտրոնի գործունեության խնդիրները, դրանց իրագործման մեխանիզմները </w:t>
      </w:r>
      <w:r w:rsidR="00C56AEF">
        <w:rPr>
          <w:rFonts w:ascii="Sylfaen" w:hAnsi="Sylfaen"/>
          <w:sz w:val="24"/>
          <w:szCs w:val="24"/>
        </w:rPr>
        <w:t>եւ</w:t>
      </w:r>
      <w:r w:rsidRPr="000E0CDA">
        <w:rPr>
          <w:rFonts w:ascii="Sylfaen" w:hAnsi="Sylfaen"/>
          <w:sz w:val="24"/>
          <w:szCs w:val="24"/>
        </w:rPr>
        <w:t xml:space="preserve"> արդյունքները</w:t>
      </w:r>
      <w:bookmarkEnd w:id="3"/>
    </w:p>
    <w:tbl>
      <w:tblPr>
        <w:tblOverlap w:val="never"/>
        <w:tblW w:w="0" w:type="auto"/>
        <w:tblInd w:w="-416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5104"/>
        <w:gridCol w:w="5103"/>
        <w:gridCol w:w="4677"/>
      </w:tblGrid>
      <w:tr w:rsidR="001059C2" w:rsidRPr="000E0CDA" w:rsidTr="00E86ADA">
        <w:trPr>
          <w:tblHeader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>Խնդիր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>Խնդրի իրագործման մեխանիզմ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>Արդյունք</w:t>
            </w:r>
          </w:p>
        </w:tc>
      </w:tr>
      <w:tr w:rsidR="001059C2" w:rsidRPr="000E0CDA" w:rsidTr="00E86ADA">
        <w:tc>
          <w:tcPr>
            <w:tcW w:w="5104" w:type="dxa"/>
            <w:tcBorders>
              <w:top w:val="single" w:sz="4" w:space="0" w:color="auto"/>
            </w:tcBorders>
            <w:shd w:val="clear" w:color="auto" w:fill="FFFFFF"/>
          </w:tcPr>
          <w:p w:rsidR="00CD5702" w:rsidRPr="000E0CDA" w:rsidRDefault="00CE3AA2" w:rsidP="005C5B51">
            <w:pPr>
              <w:pStyle w:val="Bodytext20"/>
              <w:numPr>
                <w:ilvl w:val="0"/>
                <w:numId w:val="3"/>
              </w:numPr>
              <w:shd w:val="clear" w:color="auto" w:fill="auto"/>
              <w:tabs>
                <w:tab w:val="left" w:pos="558"/>
              </w:tabs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 xml:space="preserve">Հաստոցաշինության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դրա հարակից ճյուղերի զարգացման ուղղություններով երկարաժամկետ կանխատեսում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առաջարկների մշակում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1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 xml:space="preserve">կոնկրետ ապրանքների, ճյուղերի, արտադրության տեսակների արտաքին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ներքին շուկայական վիճակի (կոնյունկտուրայի) փոփոխությունների, համաշխարհային միտումների վերլուծական հետազոտություններ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 xml:space="preserve">հաստոցաշինության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դրա հարակից ճյուղերի զարգացման կանխատեսում</w:t>
            </w:r>
          </w:p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 xml:space="preserve">Եվրասիական ինժինիրինգային կենտրոնի (այսուհետ՝ Ինժինիրինգային կենտրոն)՝ հաստոցաշինության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դրա հարակից ճյուղերի զարգացմանն ուղղված առաջարկներ </w:t>
            </w:r>
          </w:p>
        </w:tc>
      </w:tr>
      <w:tr w:rsidR="001059C2" w:rsidRPr="000E0CDA" w:rsidTr="00E86ADA">
        <w:tc>
          <w:tcPr>
            <w:tcW w:w="5104" w:type="dxa"/>
            <w:shd w:val="clear" w:color="auto" w:fill="FFFFFF"/>
          </w:tcPr>
          <w:p w:rsidR="00CD5702" w:rsidRPr="000E0CDA" w:rsidRDefault="00CD5702" w:rsidP="005C5B51">
            <w:pPr>
              <w:tabs>
                <w:tab w:val="left" w:pos="558"/>
              </w:tabs>
              <w:spacing w:after="160" w:line="360" w:lineRule="auto"/>
              <w:ind w:left="132"/>
              <w:rPr>
                <w:rFonts w:ascii="Sylfaen" w:hAnsi="Sylfaen"/>
              </w:rPr>
            </w:pPr>
          </w:p>
        </w:tc>
        <w:tc>
          <w:tcPr>
            <w:tcW w:w="5103" w:type="dxa"/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 xml:space="preserve">տնտեսության գերակա ճյուղերում </w:t>
            </w:r>
            <w:r w:rsidRPr="000E0CDA">
              <w:rPr>
                <w:rStyle w:val="Bodytext212pt"/>
                <w:rFonts w:ascii="Sylfaen" w:hAnsi="Sylfaen"/>
              </w:rPr>
              <w:lastRenderedPageBreak/>
              <w:t>պահանջված հեռանկարային տեխնոլոգիական լուծումների թարմացվող ցանկի ձ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>ավորում</w:t>
            </w:r>
          </w:p>
        </w:tc>
        <w:tc>
          <w:tcPr>
            <w:tcW w:w="4677" w:type="dxa"/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lastRenderedPageBreak/>
              <w:t xml:space="preserve">հեռանկարային գիտահետազոտական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</w:t>
            </w:r>
            <w:r w:rsidRPr="000E0CDA">
              <w:rPr>
                <w:rStyle w:val="Bodytext212pt"/>
                <w:rFonts w:ascii="Sylfaen" w:hAnsi="Sylfaen"/>
              </w:rPr>
              <w:lastRenderedPageBreak/>
              <w:t>փորձարարա–կոնստրուկտորական մշակումների ցանկ</w:t>
            </w:r>
          </w:p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>տնտեսության գերակա ճյուղերում պահանջված հեռանկարային տեխնոլոգիական լուծումների ցանկ</w:t>
            </w:r>
          </w:p>
        </w:tc>
      </w:tr>
      <w:tr w:rsidR="001059C2" w:rsidRPr="000E0CDA" w:rsidTr="00E86ADA">
        <w:tc>
          <w:tcPr>
            <w:tcW w:w="5104" w:type="dxa"/>
            <w:shd w:val="clear" w:color="auto" w:fill="FFFFFF"/>
          </w:tcPr>
          <w:p w:rsidR="00CD5702" w:rsidRPr="000E0CDA" w:rsidRDefault="00CE3AA2" w:rsidP="005C5B51">
            <w:pPr>
              <w:pStyle w:val="Bodytext20"/>
              <w:numPr>
                <w:ilvl w:val="0"/>
                <w:numId w:val="3"/>
              </w:numPr>
              <w:shd w:val="clear" w:color="auto" w:fill="auto"/>
              <w:tabs>
                <w:tab w:val="left" w:pos="558"/>
              </w:tabs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lastRenderedPageBreak/>
              <w:t xml:space="preserve">Անդամ պետությունների մեքենաշինական ձեռնարկությունների արտադրական գործընթացներում համաշխարհային մակարդակի ժամանակակից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նորարարական տեխնոլոգիաների ներդրման</w:t>
            </w:r>
            <w:r w:rsidR="00A3743F" w:rsidRPr="000E0CDA">
              <w:rPr>
                <w:rStyle w:val="Bodytext212pt"/>
                <w:rFonts w:ascii="Sylfaen" w:hAnsi="Sylfaen"/>
              </w:rPr>
              <w:t xml:space="preserve"> </w:t>
            </w:r>
            <w:r w:rsidRPr="000E0CDA">
              <w:rPr>
                <w:rStyle w:val="Bodytext212pt"/>
                <w:rFonts w:ascii="Sylfaen" w:hAnsi="Sylfaen"/>
              </w:rPr>
              <w:t>աջակցում</w:t>
            </w:r>
          </w:p>
        </w:tc>
        <w:tc>
          <w:tcPr>
            <w:tcW w:w="5103" w:type="dxa"/>
            <w:shd w:val="clear" w:color="auto" w:fill="FFFFFF"/>
          </w:tcPr>
          <w:p w:rsidR="00CD5702" w:rsidRPr="000E0CDA" w:rsidRDefault="00F65B33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>Եվրասիական տնտեսական միության անդամ պետությունների միջ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(այսուհետ՝ անդամ պետություններ) տեղեկատվության փոխանակմանն աջակցում, մեքենաշինության համար արտադրության հեռանկարային միջոցների մշակում (ներառյալ գիտահետազո</w:t>
            </w:r>
            <w:r>
              <w:rPr>
                <w:rStyle w:val="Bodytext212pt"/>
                <w:rFonts w:ascii="Sylfaen" w:hAnsi="Sylfaen"/>
              </w:rPr>
              <w:t xml:space="preserve">տական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>
              <w:rPr>
                <w:rStyle w:val="Bodytext212pt"/>
                <w:rFonts w:ascii="Sylfaen" w:hAnsi="Sylfaen"/>
              </w:rPr>
              <w:t xml:space="preserve"> փորձարարա–</w:t>
            </w:r>
            <w:r w:rsidRPr="000E0CDA">
              <w:rPr>
                <w:rStyle w:val="Bodytext212pt"/>
                <w:rFonts w:ascii="Sylfaen" w:hAnsi="Sylfaen"/>
              </w:rPr>
              <w:t>կոնստրուկտորական մշակումները)</w:t>
            </w:r>
          </w:p>
        </w:tc>
        <w:tc>
          <w:tcPr>
            <w:tcW w:w="4677" w:type="dxa"/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>կրկնօրինակման բացակայության վերաբերյալ Ինժինիրինգային կենտրոնի եզրակացությունների թիվը</w:t>
            </w:r>
          </w:p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 xml:space="preserve">համատեղ գիտահետազոտական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փորձարարա–կոնստրուկտորական մշակումների թիվ</w:t>
            </w:r>
            <w:r w:rsidR="00A3743F" w:rsidRPr="000E0CDA">
              <w:rPr>
                <w:rStyle w:val="Bodytext212pt"/>
                <w:rFonts w:ascii="Sylfaen" w:hAnsi="Sylfaen"/>
              </w:rPr>
              <w:t>ն ու</w:t>
            </w:r>
            <w:r w:rsidRPr="000E0CDA">
              <w:rPr>
                <w:rStyle w:val="Bodytext212pt"/>
                <w:rFonts w:ascii="Sylfaen" w:hAnsi="Sylfaen"/>
              </w:rPr>
              <w:t xml:space="preserve"> դրանց ֆինանսավորման ծավալը</w:t>
            </w:r>
          </w:p>
        </w:tc>
      </w:tr>
      <w:tr w:rsidR="001059C2" w:rsidRPr="000E0CDA" w:rsidTr="00E86ADA">
        <w:tc>
          <w:tcPr>
            <w:tcW w:w="5104" w:type="dxa"/>
            <w:shd w:val="clear" w:color="auto" w:fill="FFFFFF"/>
          </w:tcPr>
          <w:p w:rsidR="00CD5702" w:rsidRPr="000E0CDA" w:rsidRDefault="00CD5702" w:rsidP="005C5B51">
            <w:pPr>
              <w:tabs>
                <w:tab w:val="left" w:pos="558"/>
              </w:tabs>
              <w:spacing w:after="160" w:line="360" w:lineRule="auto"/>
              <w:ind w:left="132"/>
              <w:rPr>
                <w:rFonts w:ascii="Sylfaen" w:hAnsi="Sylfaen"/>
              </w:rPr>
            </w:pPr>
          </w:p>
        </w:tc>
        <w:tc>
          <w:tcPr>
            <w:tcW w:w="5103" w:type="dxa"/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 xml:space="preserve">յուրացված (մշակման համար նախատեսվող) տեխնոլոգիաների տվյալների միասնական </w:t>
            </w:r>
            <w:r w:rsidRPr="000E0CDA">
              <w:rPr>
                <w:rStyle w:val="Bodytext212pt"/>
                <w:rFonts w:ascii="Sylfaen" w:hAnsi="Sylfaen"/>
              </w:rPr>
              <w:lastRenderedPageBreak/>
              <w:t>էլեկտրոնային բանկի օգտագործում</w:t>
            </w:r>
          </w:p>
        </w:tc>
        <w:tc>
          <w:tcPr>
            <w:tcW w:w="4677" w:type="dxa"/>
            <w:shd w:val="clear" w:color="auto" w:fill="FFFFFF"/>
          </w:tcPr>
          <w:p w:rsidR="00CD5702" w:rsidRPr="000E0CDA" w:rsidRDefault="00CD5702" w:rsidP="00E86ADA">
            <w:pPr>
              <w:spacing w:after="160" w:line="360" w:lineRule="auto"/>
              <w:ind w:left="132"/>
              <w:rPr>
                <w:rFonts w:ascii="Sylfaen" w:hAnsi="Sylfaen"/>
              </w:rPr>
            </w:pPr>
          </w:p>
        </w:tc>
      </w:tr>
      <w:tr w:rsidR="001059C2" w:rsidRPr="000E0CDA" w:rsidTr="00E86ADA">
        <w:tc>
          <w:tcPr>
            <w:tcW w:w="5104" w:type="dxa"/>
            <w:shd w:val="clear" w:color="auto" w:fill="FFFFFF"/>
          </w:tcPr>
          <w:p w:rsidR="00CD5702" w:rsidRPr="000E0CDA" w:rsidRDefault="00CD5702" w:rsidP="005C5B51">
            <w:pPr>
              <w:tabs>
                <w:tab w:val="left" w:pos="558"/>
              </w:tabs>
              <w:spacing w:after="160" w:line="360" w:lineRule="auto"/>
              <w:ind w:left="132"/>
              <w:rPr>
                <w:rFonts w:ascii="Sylfaen" w:hAnsi="Sylfaen"/>
              </w:rPr>
            </w:pPr>
          </w:p>
        </w:tc>
        <w:tc>
          <w:tcPr>
            <w:tcW w:w="5103" w:type="dxa"/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 xml:space="preserve">շահագրգիռ արտադրողների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նորարարական ենթակառուցվածքի օբյեկտների, այդ թվում՝ համաշխարհային տեխնոլոգիական առաջատարների հետ՝ ներառյալ անդրազգային ձեռնարկությունները,</w:t>
            </w:r>
            <w:r w:rsidR="001F10F7">
              <w:rPr>
                <w:rStyle w:val="Bodytext212pt"/>
                <w:rFonts w:ascii="Sylfaen" w:hAnsi="Sylfaen"/>
              </w:rPr>
              <w:t xml:space="preserve"> </w:t>
            </w:r>
            <w:r w:rsidRPr="000E0CDA">
              <w:rPr>
                <w:rStyle w:val="Bodytext212pt"/>
                <w:rFonts w:ascii="Sylfaen" w:hAnsi="Sylfaen"/>
              </w:rPr>
              <w:t xml:space="preserve">փոխգործակցության ընդլայնում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փորձի փոխանակում</w:t>
            </w:r>
          </w:p>
        </w:tc>
        <w:tc>
          <w:tcPr>
            <w:tcW w:w="4677" w:type="dxa"/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>ձեռնարկությունների արդիականացման համար կնքված պայմանագրերի թիվը, այդ թվում՝ զարգացման ինստիտուտների համաֆինանսավորմամբ</w:t>
            </w:r>
          </w:p>
        </w:tc>
      </w:tr>
      <w:tr w:rsidR="001059C2" w:rsidRPr="000E0CDA" w:rsidTr="00E86ADA">
        <w:tc>
          <w:tcPr>
            <w:tcW w:w="5104" w:type="dxa"/>
            <w:shd w:val="clear" w:color="auto" w:fill="FFFFFF"/>
          </w:tcPr>
          <w:p w:rsidR="00CD5702" w:rsidRPr="000E0CDA" w:rsidRDefault="00CE3AA2" w:rsidP="005C5B51">
            <w:pPr>
              <w:pStyle w:val="Bodytext20"/>
              <w:numPr>
                <w:ilvl w:val="0"/>
                <w:numId w:val="3"/>
              </w:numPr>
              <w:shd w:val="clear" w:color="auto" w:fill="auto"/>
              <w:tabs>
                <w:tab w:val="left" w:pos="558"/>
              </w:tabs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>Անդամ պետությունների արտադրական հզորությունների արդյունավետ օգտագործմանն ու մեքենաշինական ձեռնարկությունների տեխնոլոգիական</w:t>
            </w:r>
            <w:r w:rsidR="001F10F7">
              <w:rPr>
                <w:rStyle w:val="Bodytext212pt"/>
                <w:rFonts w:ascii="Sylfaen" w:hAnsi="Sylfaen"/>
              </w:rPr>
              <w:t xml:space="preserve"> </w:t>
            </w:r>
            <w:r w:rsidRPr="000E0CDA">
              <w:rPr>
                <w:rStyle w:val="Bodytext212pt"/>
                <w:rFonts w:ascii="Sylfaen" w:hAnsi="Sylfaen"/>
              </w:rPr>
              <w:t>հագեցվածությանն ուղղված առաջարկների մշակում՝</w:t>
            </w:r>
          </w:p>
        </w:tc>
        <w:tc>
          <w:tcPr>
            <w:tcW w:w="5103" w:type="dxa"/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 xml:space="preserve">մեքենաշինական ձեռնարկությունների արդիականացման նախագծերի արդյունավետության գնահատում (տեխնոլոգիական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էներգետիկ աուդիտ)</w:t>
            </w:r>
          </w:p>
        </w:tc>
        <w:tc>
          <w:tcPr>
            <w:tcW w:w="4677" w:type="dxa"/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 xml:space="preserve">ըստ նոր մեքենաշինական ձեռնարկությունների արդյունավետության գնահատման արդյունքների՝ օպտիմալացված ծախսերի գումարը </w:t>
            </w:r>
          </w:p>
        </w:tc>
      </w:tr>
      <w:tr w:rsidR="001059C2" w:rsidRPr="000E0CDA" w:rsidTr="00E86ADA">
        <w:tc>
          <w:tcPr>
            <w:tcW w:w="5104" w:type="dxa"/>
            <w:shd w:val="clear" w:color="auto" w:fill="FFFFFF"/>
          </w:tcPr>
          <w:p w:rsidR="00CD5702" w:rsidRPr="000E0CDA" w:rsidRDefault="00CE3AA2" w:rsidP="005C5B51">
            <w:pPr>
              <w:pStyle w:val="Bodytext20"/>
              <w:shd w:val="clear" w:color="auto" w:fill="auto"/>
              <w:tabs>
                <w:tab w:val="left" w:pos="558"/>
              </w:tabs>
              <w:spacing w:before="0" w:after="160" w:line="24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 xml:space="preserve">մեքենաշինական համալիրների փոխշահավետ զարգացման համար </w:t>
            </w:r>
          </w:p>
        </w:tc>
        <w:tc>
          <w:tcPr>
            <w:tcW w:w="5103" w:type="dxa"/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 xml:space="preserve">արտադրության արդյունավետության բարձրացման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օպտիմալացման </w:t>
            </w:r>
            <w:r w:rsidRPr="000E0CDA">
              <w:rPr>
                <w:rStyle w:val="Bodytext212pt"/>
                <w:rFonts w:ascii="Sylfaen" w:hAnsi="Sylfaen"/>
              </w:rPr>
              <w:lastRenderedPageBreak/>
              <w:t>առաջարկներ ներառող՝ Ինժինիրինգային կենտրոնի եզրակացությունների նախապատրաստում</w:t>
            </w:r>
          </w:p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>Միության ընդհանուր շուկայում անդամ պետությունների մեքենաշինական արտադրանքի մասնաբաժնի ավելացմանն ու արտադրության տեղայնացման փուլ առ փուլ</w:t>
            </w:r>
            <w:r w:rsidR="001F10F7">
              <w:rPr>
                <w:rStyle w:val="Bodytext212pt"/>
                <w:rFonts w:ascii="Sylfaen" w:hAnsi="Sylfaen"/>
              </w:rPr>
              <w:t xml:space="preserve"> </w:t>
            </w:r>
            <w:r w:rsidRPr="000E0CDA">
              <w:rPr>
                <w:rStyle w:val="Bodytext212pt"/>
                <w:rFonts w:ascii="Sylfaen" w:hAnsi="Sylfaen"/>
              </w:rPr>
              <w:t>բարձրացմանն աջակցում</w:t>
            </w:r>
          </w:p>
        </w:tc>
        <w:tc>
          <w:tcPr>
            <w:tcW w:w="4677" w:type="dxa"/>
            <w:shd w:val="clear" w:color="auto" w:fill="FFFFFF"/>
          </w:tcPr>
          <w:p w:rsidR="00CD5702" w:rsidRPr="000E0CDA" w:rsidRDefault="00CE3AA2" w:rsidP="005C5B51">
            <w:pPr>
              <w:pStyle w:val="Bodytext20"/>
              <w:shd w:val="clear" w:color="auto" w:fill="auto"/>
              <w:spacing w:before="0" w:after="160" w:line="240" w:lineRule="auto"/>
              <w:ind w:left="1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lastRenderedPageBreak/>
              <w:t>Ինժինիրինգային կենտրոնի եզրակացությունների թիվը</w:t>
            </w:r>
          </w:p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 xml:space="preserve">անդամ պետությունների տարածքներում </w:t>
            </w:r>
            <w:r w:rsidRPr="000E0CDA">
              <w:rPr>
                <w:rStyle w:val="Bodytext212pt"/>
                <w:rFonts w:ascii="Sylfaen" w:hAnsi="Sylfaen"/>
              </w:rPr>
              <w:lastRenderedPageBreak/>
              <w:t>արտադրվող արտադրանքի ցանկին համապատասխան՝ անդամ պետությունների տարածքներում արտադրանքի արտադրության առկայության վերաբերյալ եզրակացությունների թիվը</w:t>
            </w:r>
          </w:p>
        </w:tc>
      </w:tr>
      <w:tr w:rsidR="001059C2" w:rsidRPr="000E0CDA" w:rsidTr="00E86ADA">
        <w:tc>
          <w:tcPr>
            <w:tcW w:w="5104" w:type="dxa"/>
            <w:shd w:val="clear" w:color="auto" w:fill="FFFFFF"/>
          </w:tcPr>
          <w:p w:rsidR="00CD5702" w:rsidRPr="000E0CDA" w:rsidRDefault="00CD5702" w:rsidP="005C5B51">
            <w:pPr>
              <w:tabs>
                <w:tab w:val="left" w:pos="558"/>
              </w:tabs>
              <w:spacing w:after="160" w:line="360" w:lineRule="auto"/>
              <w:ind w:left="132"/>
              <w:rPr>
                <w:rFonts w:ascii="Sylfaen" w:hAnsi="Sylfaen"/>
              </w:rPr>
            </w:pPr>
          </w:p>
        </w:tc>
        <w:tc>
          <w:tcPr>
            <w:tcW w:w="5103" w:type="dxa"/>
            <w:shd w:val="clear" w:color="auto" w:fill="FFFFFF"/>
          </w:tcPr>
          <w:p w:rsidR="00CD5702" w:rsidRPr="000E0CDA" w:rsidRDefault="00CD5702" w:rsidP="00E86ADA">
            <w:pPr>
              <w:spacing w:after="160" w:line="360" w:lineRule="auto"/>
              <w:ind w:left="132"/>
              <w:rPr>
                <w:rFonts w:ascii="Sylfaen" w:hAnsi="Sylfaen"/>
              </w:rPr>
            </w:pPr>
          </w:p>
        </w:tc>
        <w:tc>
          <w:tcPr>
            <w:tcW w:w="4677" w:type="dxa"/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 xml:space="preserve">Ինժինիրինգային կենտրոնի առաջարկները՝ անդամ պետությունների արդյունաբերական </w:t>
            </w:r>
            <w:r w:rsidR="00A33D76" w:rsidRPr="000E0CDA">
              <w:rPr>
                <w:rStyle w:val="Bodytext212pt"/>
                <w:rFonts w:ascii="Sylfaen" w:hAnsi="Sylfaen"/>
              </w:rPr>
              <w:t>արտադրությունների օժանդակությանն</w:t>
            </w:r>
            <w:r w:rsidRPr="000E0CDA">
              <w:rPr>
                <w:rStyle w:val="Bodytext212pt"/>
                <w:rFonts w:ascii="Sylfaen" w:hAnsi="Sylfaen"/>
              </w:rPr>
              <w:t xml:space="preserve"> ուղղված միջոցառումների ծրագրում ընդգրկելու համար (այդ թվում՝ այնպիսի գործիքների օգտագործման հաշվին, ինչպիսիք են պետական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կորպորատիվ գնումները, երկարաժամկետ պայմանագրերի </w:t>
            </w:r>
            <w:r w:rsidRPr="000E0CDA">
              <w:rPr>
                <w:rStyle w:val="Bodytext212pt"/>
                <w:rFonts w:ascii="Sylfaen" w:hAnsi="Sylfaen"/>
              </w:rPr>
              <w:lastRenderedPageBreak/>
              <w:t xml:space="preserve">տեղաբաշխումը, փոխշահավետ արդյունաբերական կոոպերացիայի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սուբկոնտրակտացիայի հեռանկարային ձ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>երի զարգացումը, ֆինանսական օժանդակության տարբեր գործիքները, արդյունաբերական նորարարական ենթակառուցվածքի զարգացումը)</w:t>
            </w:r>
          </w:p>
        </w:tc>
      </w:tr>
      <w:tr w:rsidR="001059C2" w:rsidRPr="000E0CDA" w:rsidTr="00E86ADA">
        <w:tc>
          <w:tcPr>
            <w:tcW w:w="5104" w:type="dxa"/>
            <w:shd w:val="clear" w:color="auto" w:fill="FFFFFF"/>
          </w:tcPr>
          <w:p w:rsidR="00CD5702" w:rsidRPr="000E0CDA" w:rsidRDefault="00CD5702" w:rsidP="005C5B51">
            <w:pPr>
              <w:tabs>
                <w:tab w:val="left" w:pos="558"/>
              </w:tabs>
              <w:spacing w:after="160" w:line="360" w:lineRule="auto"/>
              <w:ind w:left="132"/>
              <w:rPr>
                <w:rFonts w:ascii="Sylfaen" w:hAnsi="Sylfaen"/>
              </w:rPr>
            </w:pPr>
          </w:p>
        </w:tc>
        <w:tc>
          <w:tcPr>
            <w:tcW w:w="5103" w:type="dxa"/>
            <w:shd w:val="clear" w:color="auto" w:fill="FFFFFF"/>
          </w:tcPr>
          <w:p w:rsidR="00CD5702" w:rsidRPr="000E0CDA" w:rsidRDefault="00CD5702" w:rsidP="00E86ADA">
            <w:pPr>
              <w:spacing w:after="160" w:line="360" w:lineRule="auto"/>
              <w:ind w:left="132"/>
              <w:rPr>
                <w:rFonts w:ascii="Sylfaen" w:hAnsi="Sylfaen"/>
              </w:rPr>
            </w:pPr>
          </w:p>
        </w:tc>
        <w:tc>
          <w:tcPr>
            <w:tcW w:w="4677" w:type="dxa"/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>Եվրասիական տնտեսական հանձնաժողովի կամ անդամ պետությունների հարցմամբ նախապատրաստված՝ Եվրասիական տնտեսական միության միասնական մաքսային սակագնի ներմուծման մաքսատուրքերի դրույքաչափերի փոփոխման նպատակահարմարության վերաբերյալ եզրակացությունների թիվը</w:t>
            </w:r>
          </w:p>
        </w:tc>
      </w:tr>
      <w:tr w:rsidR="001059C2" w:rsidRPr="000E0CDA" w:rsidTr="00E86ADA">
        <w:tc>
          <w:tcPr>
            <w:tcW w:w="5104" w:type="dxa"/>
            <w:vMerge w:val="restart"/>
            <w:shd w:val="clear" w:color="auto" w:fill="FFFFFF"/>
          </w:tcPr>
          <w:p w:rsidR="00CD5702" w:rsidRPr="000E0CDA" w:rsidRDefault="00CE3AA2" w:rsidP="005C5B51">
            <w:pPr>
              <w:pStyle w:val="Bodytext20"/>
              <w:numPr>
                <w:ilvl w:val="0"/>
                <w:numId w:val="3"/>
              </w:numPr>
              <w:shd w:val="clear" w:color="auto" w:fill="auto"/>
              <w:tabs>
                <w:tab w:val="left" w:pos="558"/>
              </w:tabs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 xml:space="preserve">Անդամ պետությունների </w:t>
            </w:r>
            <w:r w:rsidRPr="000E0CDA">
              <w:rPr>
                <w:rStyle w:val="Bodytext212pt"/>
                <w:rFonts w:ascii="Sylfaen" w:hAnsi="Sylfaen"/>
              </w:rPr>
              <w:lastRenderedPageBreak/>
              <w:t>մեքենաշինական ձեռնարկությունների արդիականացման</w:t>
            </w:r>
            <w:r w:rsidR="001F10F7">
              <w:rPr>
                <w:rStyle w:val="Bodytext212pt"/>
                <w:rFonts w:ascii="Sylfaen" w:hAnsi="Sylfaen"/>
              </w:rPr>
              <w:t xml:space="preserve"> </w:t>
            </w:r>
            <w:r w:rsidRPr="000E0CDA">
              <w:rPr>
                <w:rStyle w:val="Bodytext212pt"/>
                <w:rFonts w:ascii="Sylfaen" w:hAnsi="Sylfaen"/>
              </w:rPr>
              <w:t xml:space="preserve">համատեղ կոոպերացիոն նախագծերի իրագործում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երրորդ երկրներից</w:t>
            </w:r>
            <w:r w:rsidR="001F10F7">
              <w:rPr>
                <w:rStyle w:val="Bodytext212pt"/>
                <w:rFonts w:ascii="Sylfaen" w:hAnsi="Sylfaen"/>
              </w:rPr>
              <w:t xml:space="preserve"> </w:t>
            </w:r>
            <w:r w:rsidRPr="000E0CDA">
              <w:rPr>
                <w:rStyle w:val="Bodytext212pt"/>
                <w:rFonts w:ascii="Sylfaen" w:hAnsi="Sylfaen"/>
              </w:rPr>
              <w:t xml:space="preserve">ու անդամ պետությունների տարածքներում ժամանակակից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նորարարական տեխնոլոգիաների տրանսֆերտին աջակցում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lastRenderedPageBreak/>
              <w:t xml:space="preserve">բարձր տեխնոլոգիական արտադրանքի </w:t>
            </w:r>
            <w:r w:rsidRPr="000E0CDA">
              <w:rPr>
                <w:rStyle w:val="Bodytext212pt"/>
                <w:rFonts w:ascii="Sylfaen" w:hAnsi="Sylfaen"/>
              </w:rPr>
              <w:lastRenderedPageBreak/>
              <w:t xml:space="preserve">արտադրության ռացիոնալ կոոպերացիոն շղթաների մշակում՝ նորարարական ենթակառուցվածքի օբյեկտների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զարգացման ինստիտուտների հետ փոխգործակցության ժամանակ մեքենաշինական ձեռնարկությունների ներուժի հաշվառմամբ</w:t>
            </w:r>
          </w:p>
        </w:tc>
        <w:tc>
          <w:tcPr>
            <w:tcW w:w="4677" w:type="dxa"/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lastRenderedPageBreak/>
              <w:t xml:space="preserve">մեքենաշինական ձեռնարկությունների </w:t>
            </w:r>
            <w:r w:rsidRPr="000E0CDA">
              <w:rPr>
                <w:rStyle w:val="Bodytext212pt"/>
                <w:rFonts w:ascii="Sylfaen" w:hAnsi="Sylfaen"/>
              </w:rPr>
              <w:lastRenderedPageBreak/>
              <w:t>արդիականացմանն ուղղված համատեղ իրագործված նախագծերի թիվը</w:t>
            </w:r>
          </w:p>
        </w:tc>
      </w:tr>
      <w:tr w:rsidR="001059C2" w:rsidRPr="000E0CDA" w:rsidTr="00E86ADA">
        <w:tc>
          <w:tcPr>
            <w:tcW w:w="5104" w:type="dxa"/>
            <w:vMerge/>
            <w:shd w:val="clear" w:color="auto" w:fill="FFFFFF"/>
          </w:tcPr>
          <w:p w:rsidR="00CD5702" w:rsidRPr="000E0CDA" w:rsidRDefault="00CD5702" w:rsidP="005C5B51">
            <w:pPr>
              <w:tabs>
                <w:tab w:val="left" w:pos="558"/>
              </w:tabs>
              <w:spacing w:after="160" w:line="360" w:lineRule="auto"/>
              <w:ind w:left="132"/>
              <w:rPr>
                <w:rFonts w:ascii="Sylfaen" w:hAnsi="Sylfaen"/>
              </w:rPr>
            </w:pPr>
          </w:p>
        </w:tc>
        <w:tc>
          <w:tcPr>
            <w:tcW w:w="5103" w:type="dxa"/>
            <w:vMerge/>
            <w:shd w:val="clear" w:color="auto" w:fill="FFFFFF"/>
          </w:tcPr>
          <w:p w:rsidR="00CD5702" w:rsidRPr="000E0CDA" w:rsidRDefault="00CD5702" w:rsidP="00E86ADA">
            <w:pPr>
              <w:spacing w:after="160" w:line="360" w:lineRule="auto"/>
              <w:ind w:left="132"/>
              <w:rPr>
                <w:rFonts w:ascii="Sylfaen" w:hAnsi="Sylfaen"/>
              </w:rPr>
            </w:pPr>
          </w:p>
        </w:tc>
        <w:tc>
          <w:tcPr>
            <w:tcW w:w="4677" w:type="dxa"/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>մեքենաշինական ձեռնարկությունների արդիականացման հետ կապված ծախսերի աճ</w:t>
            </w:r>
          </w:p>
        </w:tc>
      </w:tr>
      <w:tr w:rsidR="001059C2" w:rsidRPr="000E0CDA" w:rsidTr="00E86ADA">
        <w:tc>
          <w:tcPr>
            <w:tcW w:w="5104" w:type="dxa"/>
            <w:vMerge/>
            <w:shd w:val="clear" w:color="auto" w:fill="FFFFFF"/>
          </w:tcPr>
          <w:p w:rsidR="00CD5702" w:rsidRPr="000E0CDA" w:rsidRDefault="00CD5702" w:rsidP="005C5B51">
            <w:pPr>
              <w:tabs>
                <w:tab w:val="left" w:pos="558"/>
              </w:tabs>
              <w:spacing w:after="160" w:line="360" w:lineRule="auto"/>
              <w:ind w:left="132"/>
              <w:rPr>
                <w:rFonts w:ascii="Sylfaen" w:hAnsi="Sylfaen"/>
              </w:rPr>
            </w:pPr>
          </w:p>
        </w:tc>
        <w:tc>
          <w:tcPr>
            <w:tcW w:w="5103" w:type="dxa"/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>արդյունաբերական արտադրանքի սուբկոնտրակտացիայի համակարգի զարգացմանն աջակցում</w:t>
            </w:r>
          </w:p>
        </w:tc>
        <w:tc>
          <w:tcPr>
            <w:tcW w:w="4677" w:type="dxa"/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Style w:val="Bodytext212pt"/>
                <w:rFonts w:ascii="Sylfaen" w:hAnsi="Sylfaen"/>
              </w:rPr>
            </w:pPr>
            <w:r w:rsidRPr="000E0CDA">
              <w:rPr>
                <w:rStyle w:val="Bodytext212pt"/>
                <w:rFonts w:ascii="Sylfaen" w:hAnsi="Sylfaen"/>
              </w:rPr>
              <w:t>սուբկոնտրակտացիայի համակարգն օգտագործող մեքենաշինական ձեռնարկությունների թվի աճ</w:t>
            </w:r>
          </w:p>
          <w:p w:rsidR="001059C2" w:rsidRPr="000E0CDA" w:rsidRDefault="001059C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>սուբկոնտրակտացիայի համակարգի շրջանակներում կնքվող պայմանագրերի ծավալների դինամիկա</w:t>
            </w:r>
          </w:p>
        </w:tc>
      </w:tr>
      <w:tr w:rsidR="001059C2" w:rsidRPr="000E0CDA" w:rsidTr="00E86ADA">
        <w:tc>
          <w:tcPr>
            <w:tcW w:w="5104" w:type="dxa"/>
            <w:shd w:val="clear" w:color="auto" w:fill="FFFFFF"/>
          </w:tcPr>
          <w:p w:rsidR="00CD5702" w:rsidRPr="000E0CDA" w:rsidRDefault="00CE3AA2" w:rsidP="005C5B51">
            <w:pPr>
              <w:pStyle w:val="Bodytext20"/>
              <w:numPr>
                <w:ilvl w:val="0"/>
                <w:numId w:val="3"/>
              </w:numPr>
              <w:shd w:val="clear" w:color="auto" w:fill="auto"/>
              <w:tabs>
                <w:tab w:val="left" w:pos="558"/>
              </w:tabs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 xml:space="preserve">Մեքենաշինության ճյուղի համար անդամ պետությունների ձեռնարկությունների համատեղ արտադրած արտադրության </w:t>
            </w:r>
            <w:r w:rsidRPr="000E0CDA">
              <w:rPr>
                <w:rStyle w:val="Bodytext212pt"/>
                <w:rFonts w:ascii="Sylfaen" w:hAnsi="Sylfaen"/>
              </w:rPr>
              <w:lastRenderedPageBreak/>
              <w:t>միջոցների որակի որոշման նկատմամբ մոտեցումների կատարելագործումը</w:t>
            </w:r>
          </w:p>
        </w:tc>
        <w:tc>
          <w:tcPr>
            <w:tcW w:w="5103" w:type="dxa"/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lastRenderedPageBreak/>
              <w:t xml:space="preserve">հաստոցաշինության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դրա հարակից ճյուղերում օգտագործվող բաղադրամասային բազան արտադրող </w:t>
            </w:r>
            <w:r w:rsidRPr="000E0CDA">
              <w:rPr>
                <w:rStyle w:val="Bodytext212pt"/>
                <w:rFonts w:ascii="Sylfaen" w:hAnsi="Sylfaen"/>
              </w:rPr>
              <w:lastRenderedPageBreak/>
              <w:t>կազմակերպությունների համար որակի կառավարման ստանդարտի մշակումն ու ներդրումը՝</w:t>
            </w:r>
            <w:r w:rsidR="001F10F7">
              <w:rPr>
                <w:rStyle w:val="Bodytext212pt"/>
                <w:rFonts w:ascii="Sylfaen" w:hAnsi="Sylfaen"/>
              </w:rPr>
              <w:t xml:space="preserve"> </w:t>
            </w:r>
            <w:r w:rsidRPr="000E0CDA">
              <w:rPr>
                <w:rStyle w:val="Bodytext212pt"/>
                <w:rFonts w:ascii="Sylfaen" w:hAnsi="Sylfaen"/>
              </w:rPr>
              <w:t xml:space="preserve">ծրագրային կառավարման կորպորատիվ ստանդարտների ներդրման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գիտահետազոտական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փորձարարա– կոնստրուկտորական մշակումների իրագործման ռիսկերի կառավարման հաշվառմամբ</w:t>
            </w:r>
          </w:p>
        </w:tc>
        <w:tc>
          <w:tcPr>
            <w:tcW w:w="4677" w:type="dxa"/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lastRenderedPageBreak/>
              <w:t>կամավոր հավաստագրման համակարգ</w:t>
            </w:r>
          </w:p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 xml:space="preserve">հավաստագրված մեքենաշինական արտադրությունների (տրամադրված </w:t>
            </w:r>
            <w:r w:rsidRPr="000E0CDA">
              <w:rPr>
                <w:rStyle w:val="Bodytext212pt"/>
                <w:rFonts w:ascii="Sylfaen" w:hAnsi="Sylfaen"/>
              </w:rPr>
              <w:lastRenderedPageBreak/>
              <w:t>հավաստագրերի) թիվը</w:t>
            </w:r>
          </w:p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>հավաստագրերի տրամադրման համար ձեռնարկությունների դիմումների թիվը</w:t>
            </w:r>
          </w:p>
        </w:tc>
      </w:tr>
      <w:tr w:rsidR="001059C2" w:rsidRPr="000E0CDA" w:rsidTr="00E86ADA">
        <w:tc>
          <w:tcPr>
            <w:tcW w:w="5104" w:type="dxa"/>
            <w:shd w:val="clear" w:color="auto" w:fill="FFFFFF"/>
          </w:tcPr>
          <w:p w:rsidR="00CD5702" w:rsidRPr="000E0CDA" w:rsidRDefault="00CE3AA2" w:rsidP="005C5B51">
            <w:pPr>
              <w:pStyle w:val="Bodytext20"/>
              <w:numPr>
                <w:ilvl w:val="0"/>
                <w:numId w:val="3"/>
              </w:numPr>
              <w:shd w:val="clear" w:color="auto" w:fill="auto"/>
              <w:tabs>
                <w:tab w:val="left" w:pos="558"/>
              </w:tabs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lastRenderedPageBreak/>
              <w:t>Համատեղ արտադրված բարձր տեխնոլոգիական արտադրանքի արտահանման ներուժի զարգացում (անդամ պետությունների տարածքներում արտադրության մրցունակ միջոցների ստեղծում)</w:t>
            </w:r>
          </w:p>
        </w:tc>
        <w:tc>
          <w:tcPr>
            <w:tcW w:w="5103" w:type="dxa"/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 xml:space="preserve">համատեղ արտադրված արտադրանքի արտահանման համար առաջխաղացման նպատակով զարգացման ինստիտուտների գործիքների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մեխանիզմների, այդ թվում՝</w:t>
            </w:r>
            <w:r w:rsidR="001F10F7">
              <w:rPr>
                <w:rStyle w:val="Bodytext212pt"/>
                <w:rFonts w:ascii="Sylfaen" w:hAnsi="Sylfaen"/>
              </w:rPr>
              <w:t xml:space="preserve"> </w:t>
            </w:r>
            <w:r w:rsidRPr="000E0CDA">
              <w:rPr>
                <w:rStyle w:val="Bodytext212pt"/>
                <w:rFonts w:ascii="Sylfaen" w:hAnsi="Sylfaen"/>
              </w:rPr>
              <w:t xml:space="preserve">լիզինգային գործառնությունների ֆինանսավորման, արժութային ռիսկերի ապահովագրման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նվազեցման գործիքների օգտագործում</w:t>
            </w:r>
          </w:p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 xml:space="preserve">երրորդ երկրներում </w:t>
            </w:r>
            <w:r w:rsidRPr="000E0CDA">
              <w:rPr>
                <w:rStyle w:val="Bodytext212pt"/>
                <w:rFonts w:ascii="Sylfaen" w:hAnsi="Sylfaen"/>
              </w:rPr>
              <w:lastRenderedPageBreak/>
              <w:t xml:space="preserve">ցուցահանդեսատոնավաճառային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էքսպոզիցիոն գործունեությանը, մարքետինգային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իմիջի բարձրացմանն ուղղված միջոցառումներին մասնակցություն </w:t>
            </w:r>
          </w:p>
        </w:tc>
        <w:tc>
          <w:tcPr>
            <w:tcW w:w="4677" w:type="dxa"/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lastRenderedPageBreak/>
              <w:t>զարգացման ինստիտուտների կողմից հավանության արժանացած նախագծերի թիվը</w:t>
            </w:r>
          </w:p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 xml:space="preserve">երրորդ երկրներում ցուցահանդեսների, տոնավաճառների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այլ միջոցառումների թիվը</w:t>
            </w:r>
          </w:p>
        </w:tc>
      </w:tr>
      <w:tr w:rsidR="001059C2" w:rsidRPr="000E0CDA" w:rsidTr="00E86ADA">
        <w:tc>
          <w:tcPr>
            <w:tcW w:w="5104" w:type="dxa"/>
            <w:shd w:val="clear" w:color="auto" w:fill="FFFFFF"/>
          </w:tcPr>
          <w:p w:rsidR="00CD5702" w:rsidRPr="000E0CDA" w:rsidRDefault="00CE3AA2" w:rsidP="005C5B51">
            <w:pPr>
              <w:pStyle w:val="Bodytext20"/>
              <w:numPr>
                <w:ilvl w:val="0"/>
                <w:numId w:val="3"/>
              </w:numPr>
              <w:shd w:val="clear" w:color="auto" w:fill="auto"/>
              <w:tabs>
                <w:tab w:val="left" w:pos="558"/>
              </w:tabs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lastRenderedPageBreak/>
              <w:t xml:space="preserve">Հաստոցաշինության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դրա հարակից ճյուղերում կադրային ներուժի զարգացմանն աջակցում</w:t>
            </w:r>
          </w:p>
        </w:tc>
        <w:tc>
          <w:tcPr>
            <w:tcW w:w="5103" w:type="dxa"/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>հաստոցաշինության ու դրա հարակից ճյուղերի ձեռնարկությունների ու մեքենաշինության համար կադրերի պատրաստումն իրականացնող տեխնիկական կրթական հաստատությունների արդյունավետ համագործակցության վերաբերյալ առաջարկների մշակում, այդ թվում՝ մասնագիտական ստանդարտների ձ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>ավորում</w:t>
            </w:r>
          </w:p>
        </w:tc>
        <w:tc>
          <w:tcPr>
            <w:tcW w:w="4677" w:type="dxa"/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>համագործակցության վերաբերյալ կնքված համաձայնագրերի թիվը</w:t>
            </w:r>
          </w:p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 xml:space="preserve">կրթական հաստատություններում նախապատրաստում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վերապատրաստում անցած անձնակազմի թիվը</w:t>
            </w:r>
          </w:p>
          <w:p w:rsidR="001059C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Style w:val="Bodytext212pt"/>
                <w:rFonts w:ascii="Sylfaen" w:hAnsi="Sylfaen"/>
              </w:rPr>
            </w:pPr>
            <w:r w:rsidRPr="000E0CDA">
              <w:rPr>
                <w:rStyle w:val="Bodytext212pt"/>
                <w:rFonts w:ascii="Sylfaen" w:hAnsi="Sylfaen"/>
              </w:rPr>
              <w:t xml:space="preserve">հաստոցաշինության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դրա հարակից ճյուղերում աշխատանքի արտադրողականության դինամիկա</w:t>
            </w:r>
          </w:p>
          <w:p w:rsidR="00CD5702" w:rsidRPr="000E0CDA" w:rsidRDefault="001059C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>արդիականացված ձեռնարկություններում աշխատանքի արտադրողականության դինամիկա</w:t>
            </w:r>
          </w:p>
        </w:tc>
      </w:tr>
      <w:tr w:rsidR="001059C2" w:rsidRPr="000E0CDA" w:rsidTr="00E86ADA">
        <w:tc>
          <w:tcPr>
            <w:tcW w:w="5104" w:type="dxa"/>
            <w:shd w:val="clear" w:color="auto" w:fill="FFFFFF"/>
          </w:tcPr>
          <w:p w:rsidR="00CD5702" w:rsidRPr="000E0CDA" w:rsidRDefault="00CD5702" w:rsidP="005C5B51">
            <w:pPr>
              <w:tabs>
                <w:tab w:val="left" w:pos="558"/>
              </w:tabs>
              <w:spacing w:after="160" w:line="360" w:lineRule="auto"/>
              <w:ind w:left="132"/>
              <w:rPr>
                <w:rFonts w:ascii="Sylfaen" w:hAnsi="Sylfaen"/>
              </w:rPr>
            </w:pPr>
          </w:p>
        </w:tc>
        <w:tc>
          <w:tcPr>
            <w:tcW w:w="5103" w:type="dxa"/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>«WorldSkills» շարժման զարգացմանն աջակցում</w:t>
            </w:r>
          </w:p>
        </w:tc>
        <w:tc>
          <w:tcPr>
            <w:tcW w:w="4677" w:type="dxa"/>
            <w:shd w:val="clear" w:color="auto" w:fill="FFFFFF"/>
          </w:tcPr>
          <w:p w:rsidR="001059C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Style w:val="Bodytext212pt"/>
                <w:rFonts w:ascii="Sylfaen" w:hAnsi="Sylfaen"/>
              </w:rPr>
            </w:pPr>
            <w:r w:rsidRPr="000E0CDA">
              <w:rPr>
                <w:rStyle w:val="Bodytext212pt"/>
                <w:rFonts w:ascii="Sylfaen" w:hAnsi="Sylfaen"/>
              </w:rPr>
              <w:t>միասնականացված մասնագիտական, այդ թվում՝ միջազգային ստանդարտների թիվը</w:t>
            </w:r>
          </w:p>
          <w:p w:rsidR="00CD5702" w:rsidRPr="000E0CDA" w:rsidRDefault="001059C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>«WorldSkills» շարժման մասնակիցների թիվը</w:t>
            </w:r>
          </w:p>
        </w:tc>
      </w:tr>
      <w:tr w:rsidR="00CD5702" w:rsidRPr="000E0CDA" w:rsidTr="00E86ADA">
        <w:tc>
          <w:tcPr>
            <w:tcW w:w="5104" w:type="dxa"/>
            <w:shd w:val="clear" w:color="auto" w:fill="FFFFFF"/>
          </w:tcPr>
          <w:p w:rsidR="00CD5702" w:rsidRPr="000E0CDA" w:rsidRDefault="00CE3AA2" w:rsidP="005C5B51">
            <w:pPr>
              <w:pStyle w:val="Bodytext20"/>
              <w:numPr>
                <w:ilvl w:val="0"/>
                <w:numId w:val="3"/>
              </w:numPr>
              <w:shd w:val="clear" w:color="auto" w:fill="auto"/>
              <w:tabs>
                <w:tab w:val="left" w:pos="558"/>
              </w:tabs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>Արտադրանքի կենսական ցիկլի</w:t>
            </w:r>
            <w:r w:rsidR="001F10F7">
              <w:rPr>
                <w:rStyle w:val="Bodytext212pt"/>
                <w:rFonts w:ascii="Sylfaen" w:hAnsi="Sylfaen"/>
              </w:rPr>
              <w:t xml:space="preserve"> </w:t>
            </w:r>
            <w:r w:rsidRPr="000E0CDA">
              <w:rPr>
                <w:rStyle w:val="Bodytext212pt"/>
                <w:rFonts w:ascii="Sylfaen" w:hAnsi="Sylfaen"/>
              </w:rPr>
              <w:t>սպասարկման ուղղվածությամբ մոդելի ձ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>ավորում</w:t>
            </w:r>
          </w:p>
        </w:tc>
        <w:tc>
          <w:tcPr>
            <w:tcW w:w="5103" w:type="dxa"/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 xml:space="preserve">արտադրության մշակվող միջոցների համար բաղադրամասային բազայի միասնականացում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հարմարեցում թողարկվող սարքավորումներին</w:t>
            </w:r>
          </w:p>
        </w:tc>
        <w:tc>
          <w:tcPr>
            <w:tcW w:w="4677" w:type="dxa"/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>միասնականացված կոմպլեկտավորողների</w:t>
            </w:r>
            <w:r w:rsidR="001F10F7">
              <w:rPr>
                <w:rStyle w:val="Bodytext212pt"/>
                <w:rFonts w:ascii="Sylfaen" w:hAnsi="Sylfaen"/>
              </w:rPr>
              <w:t xml:space="preserve"> </w:t>
            </w:r>
            <w:r w:rsidRPr="000E0CDA">
              <w:rPr>
                <w:rStyle w:val="Bodytext212pt"/>
                <w:rFonts w:ascii="Sylfaen" w:hAnsi="Sylfaen"/>
              </w:rPr>
              <w:t>ցանկը</w:t>
            </w:r>
          </w:p>
        </w:tc>
      </w:tr>
      <w:tr w:rsidR="00CD5702" w:rsidRPr="000E0CDA" w:rsidTr="00E86ADA">
        <w:tc>
          <w:tcPr>
            <w:tcW w:w="5104" w:type="dxa"/>
            <w:shd w:val="clear" w:color="auto" w:fill="FFFFFF"/>
          </w:tcPr>
          <w:p w:rsidR="00CD5702" w:rsidRPr="000E0CDA" w:rsidRDefault="00CD5702" w:rsidP="005C5B51">
            <w:pPr>
              <w:tabs>
                <w:tab w:val="left" w:pos="558"/>
              </w:tabs>
              <w:spacing w:after="160" w:line="360" w:lineRule="auto"/>
              <w:ind w:left="132"/>
              <w:rPr>
                <w:rFonts w:ascii="Sylfaen" w:hAnsi="Sylfaen"/>
              </w:rPr>
            </w:pPr>
          </w:p>
        </w:tc>
        <w:tc>
          <w:tcPr>
            <w:tcW w:w="5103" w:type="dxa"/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>արտադրության միջոցների համար բաղադրամասային բազայի արտադրության տեղայնացման մեխանիզմների օգտագործում</w:t>
            </w:r>
          </w:p>
        </w:tc>
        <w:tc>
          <w:tcPr>
            <w:tcW w:w="4677" w:type="dxa"/>
            <w:shd w:val="clear" w:color="auto" w:fill="FFFFFF"/>
          </w:tcPr>
          <w:p w:rsidR="00CD5702" w:rsidRPr="000E0CDA" w:rsidRDefault="00CD5702" w:rsidP="00E86ADA">
            <w:pPr>
              <w:spacing w:after="160" w:line="360" w:lineRule="auto"/>
              <w:ind w:left="132"/>
              <w:rPr>
                <w:rFonts w:ascii="Sylfaen" w:hAnsi="Sylfaen"/>
              </w:rPr>
            </w:pPr>
          </w:p>
        </w:tc>
      </w:tr>
      <w:tr w:rsidR="00CD5702" w:rsidRPr="000E0CDA" w:rsidTr="00E86ADA">
        <w:tc>
          <w:tcPr>
            <w:tcW w:w="5104" w:type="dxa"/>
            <w:shd w:val="clear" w:color="auto" w:fill="FFFFFF"/>
          </w:tcPr>
          <w:p w:rsidR="00CD5702" w:rsidRPr="000E0CDA" w:rsidRDefault="00CD5702" w:rsidP="005C5B51">
            <w:pPr>
              <w:tabs>
                <w:tab w:val="left" w:pos="558"/>
              </w:tabs>
              <w:spacing w:after="160" w:line="360" w:lineRule="auto"/>
              <w:ind w:left="132"/>
              <w:rPr>
                <w:rFonts w:ascii="Sylfaen" w:hAnsi="Sylfaen"/>
              </w:rPr>
            </w:pPr>
          </w:p>
        </w:tc>
        <w:tc>
          <w:tcPr>
            <w:tcW w:w="5103" w:type="dxa"/>
            <w:shd w:val="clear" w:color="auto" w:fill="FFFFFF"/>
          </w:tcPr>
          <w:p w:rsidR="00CD5702" w:rsidRPr="000E0CDA" w:rsidRDefault="00CE3AA2" w:rsidP="005C5B51">
            <w:pPr>
              <w:pStyle w:val="Bodytext20"/>
              <w:shd w:val="clear" w:color="auto" w:fill="auto"/>
              <w:spacing w:before="0" w:after="160" w:line="240" w:lineRule="auto"/>
              <w:ind w:left="1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>սպասարկման ծառայությունների հեռավար մատուցում</w:t>
            </w:r>
          </w:p>
        </w:tc>
        <w:tc>
          <w:tcPr>
            <w:tcW w:w="4677" w:type="dxa"/>
            <w:shd w:val="clear" w:color="auto" w:fill="FFFFFF"/>
          </w:tcPr>
          <w:p w:rsidR="00CD5702" w:rsidRPr="000E0CDA" w:rsidRDefault="00CE3AA2" w:rsidP="005C5B51">
            <w:pPr>
              <w:pStyle w:val="Bodytext20"/>
              <w:shd w:val="clear" w:color="auto" w:fill="auto"/>
              <w:spacing w:before="0" w:after="160" w:line="240" w:lineRule="auto"/>
              <w:ind w:left="13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>հեռավար</w:t>
            </w:r>
            <w:r w:rsidR="001F10F7">
              <w:rPr>
                <w:rStyle w:val="Bodytext212pt"/>
                <w:rFonts w:ascii="Sylfaen" w:hAnsi="Sylfaen"/>
              </w:rPr>
              <w:t xml:space="preserve"> </w:t>
            </w:r>
            <w:r w:rsidRPr="000E0CDA">
              <w:rPr>
                <w:rStyle w:val="Bodytext212pt"/>
                <w:rFonts w:ascii="Sylfaen" w:hAnsi="Sylfaen"/>
              </w:rPr>
              <w:t>մատուցված ծառայությունների թիվը</w:t>
            </w:r>
          </w:p>
        </w:tc>
      </w:tr>
      <w:tr w:rsidR="00CD5702" w:rsidRPr="000E0CDA" w:rsidTr="00E86ADA">
        <w:tc>
          <w:tcPr>
            <w:tcW w:w="5104" w:type="dxa"/>
            <w:shd w:val="clear" w:color="auto" w:fill="FFFFFF"/>
          </w:tcPr>
          <w:p w:rsidR="00CD5702" w:rsidRPr="000E0CDA" w:rsidRDefault="00CD5702" w:rsidP="005C5B51">
            <w:pPr>
              <w:tabs>
                <w:tab w:val="left" w:pos="558"/>
              </w:tabs>
              <w:spacing w:after="160" w:line="360" w:lineRule="auto"/>
              <w:ind w:left="132"/>
              <w:rPr>
                <w:rFonts w:ascii="Sylfaen" w:hAnsi="Sylfaen"/>
              </w:rPr>
            </w:pPr>
          </w:p>
        </w:tc>
        <w:tc>
          <w:tcPr>
            <w:tcW w:w="5103" w:type="dxa"/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 xml:space="preserve">արտադրության միջոցների սպասարկման </w:t>
            </w:r>
            <w:r w:rsidRPr="000E0CDA">
              <w:rPr>
                <w:rStyle w:val="Bodytext212pt"/>
                <w:rFonts w:ascii="Sylfaen" w:hAnsi="Sylfaen"/>
              </w:rPr>
              <w:lastRenderedPageBreak/>
              <w:t>ծառայության ցանցի զարգացում</w:t>
            </w:r>
          </w:p>
        </w:tc>
        <w:tc>
          <w:tcPr>
            <w:tcW w:w="4677" w:type="dxa"/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lastRenderedPageBreak/>
              <w:t xml:space="preserve">սպասարկման կենտրոնների թիվը </w:t>
            </w:r>
            <w:r w:rsidRPr="000E0CDA">
              <w:rPr>
                <w:rStyle w:val="Bodytext212pt"/>
                <w:rFonts w:ascii="Sylfaen" w:hAnsi="Sylfaen"/>
              </w:rPr>
              <w:lastRenderedPageBreak/>
              <w:t>(սպասարկման ցանցի զարգացածությունը)</w:t>
            </w:r>
          </w:p>
        </w:tc>
      </w:tr>
      <w:tr w:rsidR="00CD5702" w:rsidRPr="000E0CDA" w:rsidTr="00E86ADA">
        <w:tc>
          <w:tcPr>
            <w:tcW w:w="5104" w:type="dxa"/>
            <w:shd w:val="clear" w:color="auto" w:fill="FFFFFF"/>
          </w:tcPr>
          <w:p w:rsidR="00CD5702" w:rsidRPr="000E0CDA" w:rsidRDefault="00CD5702" w:rsidP="005C5B51">
            <w:pPr>
              <w:tabs>
                <w:tab w:val="left" w:pos="558"/>
              </w:tabs>
              <w:spacing w:after="160" w:line="360" w:lineRule="auto"/>
              <w:ind w:left="132"/>
              <w:rPr>
                <w:rFonts w:ascii="Sylfaen" w:hAnsi="Sylfaen"/>
              </w:rPr>
            </w:pPr>
          </w:p>
        </w:tc>
        <w:tc>
          <w:tcPr>
            <w:tcW w:w="5103" w:type="dxa"/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 xml:space="preserve">միասնական ծրագրային միջավայրի </w:t>
            </w:r>
            <w:r w:rsidR="00C56AEF">
              <w:rPr>
                <w:rStyle w:val="Bodytext212pt"/>
                <w:rFonts w:ascii="Sylfaen" w:hAnsi="Sylfaen"/>
              </w:rPr>
              <w:t>եւ</w:t>
            </w:r>
            <w:r w:rsidRPr="000E0CDA">
              <w:rPr>
                <w:rStyle w:val="Bodytext212pt"/>
                <w:rFonts w:ascii="Sylfaen" w:hAnsi="Sylfaen"/>
              </w:rPr>
              <w:t xml:space="preserve"> միասնականացված ծրագրային ապահովման</w:t>
            </w:r>
            <w:r w:rsidR="001F10F7">
              <w:rPr>
                <w:rStyle w:val="Bodytext212pt"/>
                <w:rFonts w:ascii="Sylfaen" w:hAnsi="Sylfaen"/>
              </w:rPr>
              <w:t xml:space="preserve"> </w:t>
            </w:r>
            <w:r w:rsidRPr="000E0CDA">
              <w:rPr>
                <w:rStyle w:val="Bodytext212pt"/>
                <w:rFonts w:ascii="Sylfaen" w:hAnsi="Sylfaen"/>
              </w:rPr>
              <w:t>ստեղծում</w:t>
            </w:r>
          </w:p>
        </w:tc>
        <w:tc>
          <w:tcPr>
            <w:tcW w:w="4677" w:type="dxa"/>
            <w:shd w:val="clear" w:color="auto" w:fill="FFFFFF"/>
          </w:tcPr>
          <w:p w:rsidR="00CD5702" w:rsidRPr="000E0CDA" w:rsidRDefault="00CE3AA2" w:rsidP="00E86ADA">
            <w:pPr>
              <w:pStyle w:val="Bodytext20"/>
              <w:shd w:val="clear" w:color="auto" w:fill="auto"/>
              <w:spacing w:before="0" w:after="160" w:line="360" w:lineRule="auto"/>
              <w:ind w:left="132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0E0CDA">
              <w:rPr>
                <w:rStyle w:val="Bodytext212pt"/>
                <w:rFonts w:ascii="Sylfaen" w:hAnsi="Sylfaen"/>
              </w:rPr>
              <w:t>միասնականացված</w:t>
            </w:r>
            <w:r w:rsidR="001F10F7">
              <w:rPr>
                <w:rStyle w:val="Bodytext212pt"/>
                <w:rFonts w:ascii="Sylfaen" w:hAnsi="Sylfaen"/>
              </w:rPr>
              <w:t xml:space="preserve"> </w:t>
            </w:r>
            <w:r w:rsidRPr="000E0CDA">
              <w:rPr>
                <w:rStyle w:val="Bodytext212pt"/>
                <w:rFonts w:ascii="Sylfaen" w:hAnsi="Sylfaen"/>
              </w:rPr>
              <w:t>ծրագրային ապահովման ցանկը</w:t>
            </w:r>
          </w:p>
        </w:tc>
      </w:tr>
    </w:tbl>
    <w:p w:rsidR="000E0CDA" w:rsidRPr="00F65B33" w:rsidRDefault="000E0CDA" w:rsidP="00E86ADA">
      <w:pPr>
        <w:tabs>
          <w:tab w:val="left" w:pos="2085"/>
        </w:tabs>
        <w:spacing w:after="160" w:line="360" w:lineRule="auto"/>
        <w:jc w:val="both"/>
        <w:rPr>
          <w:rFonts w:ascii="Sylfaen" w:hAnsi="Sylfaen"/>
          <w:lang w:val="en-US"/>
        </w:rPr>
      </w:pPr>
    </w:p>
    <w:sectPr w:rsidR="000E0CDA" w:rsidRPr="00F65B33" w:rsidSect="00F65B33">
      <w:footerReference w:type="default" r:id="rId10"/>
      <w:pgSz w:w="16839" w:h="11907" w:orient="landscape" w:code="9"/>
      <w:pgMar w:top="1418" w:right="1418" w:bottom="1418" w:left="1418" w:header="0" w:footer="432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1E" w:rsidRDefault="00B9181E" w:rsidP="00CD5702">
      <w:r>
        <w:separator/>
      </w:r>
    </w:p>
  </w:endnote>
  <w:endnote w:type="continuationSeparator" w:id="0">
    <w:p w:rsidR="00B9181E" w:rsidRDefault="00B9181E" w:rsidP="00CD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ylfaen" w:hAnsi="Sylfaen"/>
      </w:rPr>
      <w:id w:val="10680529"/>
      <w:docPartObj>
        <w:docPartGallery w:val="Page Numbers (Bottom of Page)"/>
        <w:docPartUnique/>
      </w:docPartObj>
    </w:sdtPr>
    <w:sdtEndPr/>
    <w:sdtContent>
      <w:p w:rsidR="00B46786" w:rsidRPr="00F65B33" w:rsidRDefault="00BE449D" w:rsidP="00F65B33">
        <w:pPr>
          <w:pStyle w:val="Footer"/>
          <w:jc w:val="center"/>
          <w:rPr>
            <w:rFonts w:ascii="Sylfaen" w:hAnsi="Sylfaen"/>
          </w:rPr>
        </w:pPr>
        <w:r w:rsidRPr="00E522F9">
          <w:rPr>
            <w:rFonts w:ascii="Sylfaen" w:hAnsi="Sylfaen"/>
          </w:rPr>
          <w:fldChar w:fldCharType="begin"/>
        </w:r>
        <w:r w:rsidR="00E522F9" w:rsidRPr="00E522F9">
          <w:rPr>
            <w:rFonts w:ascii="Sylfaen" w:hAnsi="Sylfaen"/>
          </w:rPr>
          <w:instrText xml:space="preserve"> PAGE   \* MERGEFORMAT </w:instrText>
        </w:r>
        <w:r w:rsidRPr="00E522F9">
          <w:rPr>
            <w:rFonts w:ascii="Sylfaen" w:hAnsi="Sylfaen"/>
          </w:rPr>
          <w:fldChar w:fldCharType="separate"/>
        </w:r>
        <w:r w:rsidR="00761E7E">
          <w:rPr>
            <w:rFonts w:ascii="Sylfaen" w:hAnsi="Sylfaen"/>
            <w:noProof/>
          </w:rPr>
          <w:t>14</w:t>
        </w:r>
        <w:r w:rsidRPr="00E522F9">
          <w:rPr>
            <w:rFonts w:ascii="Sylfaen" w:hAnsi="Sylfae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F9" w:rsidRPr="00F65B33" w:rsidRDefault="00761E7E" w:rsidP="00F65B3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1E" w:rsidRDefault="00B9181E"/>
  </w:footnote>
  <w:footnote w:type="continuationSeparator" w:id="0">
    <w:p w:rsidR="00B9181E" w:rsidRDefault="00B918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4365"/>
    <w:multiLevelType w:val="multilevel"/>
    <w:tmpl w:val="06625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F86846"/>
    <w:multiLevelType w:val="multilevel"/>
    <w:tmpl w:val="02FE444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1C250F"/>
    <w:multiLevelType w:val="hybridMultilevel"/>
    <w:tmpl w:val="6FF46280"/>
    <w:lvl w:ilvl="0" w:tplc="7DFED97E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02"/>
    <w:rsid w:val="00004829"/>
    <w:rsid w:val="00041D69"/>
    <w:rsid w:val="000A580F"/>
    <w:rsid w:val="000B11D3"/>
    <w:rsid w:val="000B39D5"/>
    <w:rsid w:val="000E0CDA"/>
    <w:rsid w:val="0010572E"/>
    <w:rsid w:val="001059C2"/>
    <w:rsid w:val="00106248"/>
    <w:rsid w:val="0016417B"/>
    <w:rsid w:val="00174E8B"/>
    <w:rsid w:val="001E6866"/>
    <w:rsid w:val="001F10F7"/>
    <w:rsid w:val="00234BC8"/>
    <w:rsid w:val="002628A0"/>
    <w:rsid w:val="00281DEC"/>
    <w:rsid w:val="00290E5E"/>
    <w:rsid w:val="00296853"/>
    <w:rsid w:val="002977A4"/>
    <w:rsid w:val="002C6DC7"/>
    <w:rsid w:val="002E6078"/>
    <w:rsid w:val="00327661"/>
    <w:rsid w:val="0038698A"/>
    <w:rsid w:val="003A7672"/>
    <w:rsid w:val="003B02E2"/>
    <w:rsid w:val="003B1BC5"/>
    <w:rsid w:val="003B67FE"/>
    <w:rsid w:val="00445B3A"/>
    <w:rsid w:val="00461DDB"/>
    <w:rsid w:val="004F4CA5"/>
    <w:rsid w:val="005C5B51"/>
    <w:rsid w:val="005D6CB1"/>
    <w:rsid w:val="005F6AD0"/>
    <w:rsid w:val="006957C4"/>
    <w:rsid w:val="0072418B"/>
    <w:rsid w:val="0073690F"/>
    <w:rsid w:val="00761E7E"/>
    <w:rsid w:val="008903CF"/>
    <w:rsid w:val="008C3454"/>
    <w:rsid w:val="008E3C49"/>
    <w:rsid w:val="008F3197"/>
    <w:rsid w:val="009238D4"/>
    <w:rsid w:val="00951004"/>
    <w:rsid w:val="00966667"/>
    <w:rsid w:val="00987185"/>
    <w:rsid w:val="009903DE"/>
    <w:rsid w:val="009A1940"/>
    <w:rsid w:val="009B3318"/>
    <w:rsid w:val="009E0925"/>
    <w:rsid w:val="00A33D76"/>
    <w:rsid w:val="00A3743F"/>
    <w:rsid w:val="00A43B42"/>
    <w:rsid w:val="00A634E9"/>
    <w:rsid w:val="00A644C9"/>
    <w:rsid w:val="00A84505"/>
    <w:rsid w:val="00AB0D94"/>
    <w:rsid w:val="00AC48E1"/>
    <w:rsid w:val="00AE000F"/>
    <w:rsid w:val="00AE3E68"/>
    <w:rsid w:val="00AF59DD"/>
    <w:rsid w:val="00B214E7"/>
    <w:rsid w:val="00B46786"/>
    <w:rsid w:val="00B56014"/>
    <w:rsid w:val="00B9181E"/>
    <w:rsid w:val="00BE449D"/>
    <w:rsid w:val="00C320F0"/>
    <w:rsid w:val="00C56AEF"/>
    <w:rsid w:val="00CA677C"/>
    <w:rsid w:val="00CD5702"/>
    <w:rsid w:val="00CE3AA2"/>
    <w:rsid w:val="00CF64F7"/>
    <w:rsid w:val="00D66A3F"/>
    <w:rsid w:val="00DB2BCB"/>
    <w:rsid w:val="00DD5579"/>
    <w:rsid w:val="00E522F9"/>
    <w:rsid w:val="00E86ADA"/>
    <w:rsid w:val="00EA6872"/>
    <w:rsid w:val="00ED3C0C"/>
    <w:rsid w:val="00EF5D93"/>
    <w:rsid w:val="00F12583"/>
    <w:rsid w:val="00F27A77"/>
    <w:rsid w:val="00F313FD"/>
    <w:rsid w:val="00F42B01"/>
    <w:rsid w:val="00F50337"/>
    <w:rsid w:val="00F65B33"/>
    <w:rsid w:val="00F8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570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5702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CD5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sid w:val="00CD57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CD5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3pt">
    <w:name w:val="Body text (2) + 13 pt"/>
    <w:aliases w:val="Bold1"/>
    <w:basedOn w:val="Bodytext2"/>
    <w:rsid w:val="00CD5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CD5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D5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1Spacing2pt">
    <w:name w:val="Heading #1 + Spacing 2 pt"/>
    <w:basedOn w:val="Heading1"/>
    <w:rsid w:val="00CD5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CD57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paragraph" w:customStyle="1" w:styleId="Heading10">
    <w:name w:val="Heading #1"/>
    <w:basedOn w:val="Normal"/>
    <w:link w:val="Heading1"/>
    <w:rsid w:val="00CD5702"/>
    <w:pPr>
      <w:shd w:val="clear" w:color="auto" w:fill="FFFFFF"/>
      <w:spacing w:before="180" w:after="1020" w:line="0" w:lineRule="atLeast"/>
      <w:ind w:hanging="16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D5702"/>
    <w:pPr>
      <w:shd w:val="clear" w:color="auto" w:fill="FFFFFF"/>
      <w:spacing w:before="420" w:after="420" w:line="0" w:lineRule="atLeast"/>
      <w:ind w:hanging="6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CD57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29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D5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5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57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579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F64F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4F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F64F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4F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570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5702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CD5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sid w:val="00CD57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CD5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3pt">
    <w:name w:val="Body text (2) + 13 pt"/>
    <w:aliases w:val="Bold1"/>
    <w:basedOn w:val="Bodytext2"/>
    <w:rsid w:val="00CD5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CD5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CD5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1Spacing2pt">
    <w:name w:val="Heading #1 + Spacing 2 pt"/>
    <w:basedOn w:val="Heading1"/>
    <w:rsid w:val="00CD57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CD57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paragraph" w:customStyle="1" w:styleId="Heading10">
    <w:name w:val="Heading #1"/>
    <w:basedOn w:val="Normal"/>
    <w:link w:val="Heading1"/>
    <w:rsid w:val="00CD5702"/>
    <w:pPr>
      <w:shd w:val="clear" w:color="auto" w:fill="FFFFFF"/>
      <w:spacing w:before="180" w:after="1020" w:line="0" w:lineRule="atLeast"/>
      <w:ind w:hanging="16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CD5702"/>
    <w:pPr>
      <w:shd w:val="clear" w:color="auto" w:fill="FFFFFF"/>
      <w:spacing w:before="420" w:after="420" w:line="0" w:lineRule="atLeast"/>
      <w:ind w:hanging="6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CD57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29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D5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5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57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579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F64F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4F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F64F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4F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4B47D-9BF1-4FC5-A7CB-8B5CA293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4014</Words>
  <Characters>22884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Vahagn Karamyan</cp:lastModifiedBy>
  <cp:revision>2</cp:revision>
  <dcterms:created xsi:type="dcterms:W3CDTF">2017-05-25T07:56:00Z</dcterms:created>
  <dcterms:modified xsi:type="dcterms:W3CDTF">2017-05-25T07:56:00Z</dcterms:modified>
</cp:coreProperties>
</file>