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1F" w:rsidRPr="00742157" w:rsidRDefault="00707DCE" w:rsidP="00B803B1">
      <w:pPr>
        <w:pStyle w:val="Bodytext30"/>
        <w:shd w:val="clear" w:color="auto" w:fill="auto"/>
        <w:spacing w:after="160" w:line="360" w:lineRule="auto"/>
        <w:ind w:left="4536" w:right="-8"/>
        <w:rPr>
          <w:rFonts w:ascii="Sylfaen" w:hAnsi="Sylfaen"/>
          <w:b w:val="0"/>
          <w:sz w:val="24"/>
          <w:szCs w:val="24"/>
        </w:rPr>
      </w:pPr>
      <w:r w:rsidRPr="00742157">
        <w:rPr>
          <w:rStyle w:val="Bodytext215pt"/>
          <w:rFonts w:ascii="Sylfaen" w:hAnsi="Sylfaen"/>
          <w:b w:val="0"/>
          <w:sz w:val="24"/>
          <w:szCs w:val="24"/>
        </w:rPr>
        <w:t>ՀԱՍՏԱՏՎԱԾ Է</w:t>
      </w:r>
    </w:p>
    <w:p w:rsidR="00314C1F" w:rsidRPr="00742157" w:rsidRDefault="00707DCE" w:rsidP="00B803B1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742157">
        <w:rPr>
          <w:rStyle w:val="Bodytext215pt"/>
          <w:rFonts w:ascii="Sylfaen" w:hAnsi="Sylfaen"/>
          <w:sz w:val="24"/>
          <w:szCs w:val="24"/>
        </w:rPr>
        <w:t>Եվրասիական տնտեսական հանձնաժողովի խորհրդի 2016 թվականի ապրիլի 6-ի թիվ 24 որոշմամբ</w:t>
      </w:r>
    </w:p>
    <w:p w:rsidR="00034B08" w:rsidRPr="00742157" w:rsidRDefault="00034B08" w:rsidP="00742157">
      <w:pPr>
        <w:pStyle w:val="Bodytext30"/>
        <w:shd w:val="clear" w:color="auto" w:fill="auto"/>
        <w:spacing w:after="160" w:line="360" w:lineRule="auto"/>
        <w:ind w:right="-8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</w:p>
    <w:p w:rsidR="00314C1F" w:rsidRPr="00742157" w:rsidRDefault="00707DCE" w:rsidP="00921C12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742157">
        <w:rPr>
          <w:rStyle w:val="Bodytext315pt1"/>
          <w:rFonts w:ascii="Sylfaen" w:hAnsi="Sylfaen"/>
          <w:b/>
          <w:spacing w:val="0"/>
          <w:sz w:val="24"/>
          <w:szCs w:val="24"/>
        </w:rPr>
        <w:t>ՑԱՆԿ</w:t>
      </w:r>
    </w:p>
    <w:p w:rsidR="00314C1F" w:rsidRPr="00742157" w:rsidRDefault="00707DCE" w:rsidP="00921C12">
      <w:pPr>
        <w:pStyle w:val="Bodytext30"/>
        <w:shd w:val="clear" w:color="auto" w:fill="auto"/>
        <w:spacing w:after="160" w:line="360" w:lineRule="auto"/>
        <w:ind w:left="567" w:right="559"/>
        <w:rPr>
          <w:rStyle w:val="Bodytext315pt0"/>
          <w:rFonts w:ascii="Sylfaen" w:hAnsi="Sylfaen"/>
          <w:b/>
          <w:bCs/>
          <w:sz w:val="24"/>
          <w:szCs w:val="24"/>
        </w:rPr>
      </w:pPr>
      <w:r w:rsidRPr="00742157">
        <w:rPr>
          <w:rStyle w:val="Bodytext315pt0"/>
          <w:rFonts w:ascii="Sylfaen" w:hAnsi="Sylfaen"/>
          <w:b/>
          <w:sz w:val="24"/>
          <w:szCs w:val="24"/>
        </w:rPr>
        <w:t>Իրան-Հայաստան էլեկտրահաղորդման երրորդ գծի կառուցման նպատակով Հայաստանի Հանրապետության տարածք ներմուծող</w:t>
      </w:r>
      <w:r w:rsidR="00921C12">
        <w:rPr>
          <w:rStyle w:val="Bodytext315pt0"/>
          <w:rFonts w:ascii="Sylfaen" w:hAnsi="Sylfaen"/>
          <w:b/>
          <w:sz w:val="24"/>
          <w:szCs w:val="24"/>
        </w:rPr>
        <w:t> </w:t>
      </w:r>
      <w:r w:rsidRPr="00742157">
        <w:rPr>
          <w:rStyle w:val="Bodytext315pt0"/>
          <w:rFonts w:ascii="Sylfaen" w:hAnsi="Sylfaen"/>
          <w:b/>
          <w:sz w:val="24"/>
          <w:szCs w:val="24"/>
        </w:rPr>
        <w:t>ապրանքների</w:t>
      </w:r>
    </w:p>
    <w:p w:rsidR="00034B08" w:rsidRPr="00742157" w:rsidRDefault="00034B08" w:rsidP="00742157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</w:p>
    <w:tbl>
      <w:tblPr>
        <w:tblOverlap w:val="never"/>
        <w:tblW w:w="95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8009"/>
      </w:tblGrid>
      <w:tr w:rsidR="00314C1F" w:rsidRPr="00742157" w:rsidTr="00921C1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C1F" w:rsidRPr="00742157" w:rsidRDefault="00707DCE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Ծածկագիրը</w:t>
            </w:r>
          </w:p>
          <w:p w:rsidR="00314C1F" w:rsidRPr="00742157" w:rsidRDefault="00707DCE" w:rsidP="00742157">
            <w:pPr>
              <w:pStyle w:val="Bodytext20"/>
              <w:shd w:val="clear" w:color="auto" w:fill="auto"/>
              <w:spacing w:before="0" w:after="160" w:line="360" w:lineRule="auto"/>
              <w:ind w:left="26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20pt"/>
                <w:rFonts w:ascii="Sylfaen" w:hAnsi="Sylfaen"/>
                <w:sz w:val="24"/>
                <w:szCs w:val="24"/>
              </w:rPr>
              <w:t>ԱՏԳ ԱԱ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C1F" w:rsidRPr="00742157" w:rsidRDefault="00707DCE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Դիրքի անվանումը</w:t>
            </w:r>
          </w:p>
        </w:tc>
      </w:tr>
      <w:tr w:rsidR="00314C1F" w:rsidRPr="00742157" w:rsidTr="00921C12">
        <w:trPr>
          <w:jc w:val="center"/>
        </w:trPr>
        <w:tc>
          <w:tcPr>
            <w:tcW w:w="1548" w:type="dxa"/>
            <w:tcBorders>
              <w:top w:val="single" w:sz="4" w:space="0" w:color="auto"/>
            </w:tcBorders>
            <w:shd w:val="clear" w:color="auto" w:fill="FFFFFF"/>
          </w:tcPr>
          <w:p w:rsidR="00314C1F" w:rsidRPr="00742157" w:rsidRDefault="00707DCE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7308</w:t>
            </w:r>
          </w:p>
        </w:tc>
        <w:tc>
          <w:tcPr>
            <w:tcW w:w="80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4C1F" w:rsidRPr="00742157" w:rsidRDefault="00707DCE" w:rsidP="00742157">
            <w:pPr>
              <w:pStyle w:val="Bodytext20"/>
              <w:shd w:val="clear" w:color="auto" w:fill="auto"/>
              <w:spacing w:before="0" w:after="160" w:line="36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Մետաղակոնստրուկցիաներ</w:t>
            </w:r>
            <w:r w:rsidR="00D03567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ս</w:t>
            </w:r>
            <w:bookmarkStart w:id="0" w:name="_GoBack"/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bookmarkEnd w:id="0"/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մետաղներից (բացի 9406 ապրանքային դիրքի հավաքովի շինարարական կոնստրուկցիաներից)</w:t>
            </w:r>
            <w:r w:rsidR="00D03567" w:rsidRPr="00742157">
              <w:rPr>
                <w:rStyle w:val="Bodytext215pt"/>
                <w:rFonts w:ascii="Sylfaen" w:hAnsi="Sylfaen"/>
                <w:sz w:val="24"/>
                <w:szCs w:val="24"/>
              </w:rPr>
              <w:t>,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դրանց մասերը (օրինակ՝ կամուրջներ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դրանց սեկցիաները, ջրարգելակների դարպասներ, աշտարակներ, վանդակավոր կայմեր, ծածկեր</w:t>
            </w:r>
            <w:r w:rsidR="00D03567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տանիքների համար, շինարարական ֆերմաներ, դռներ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պատուհաններ ու դրանց շրջանակները, դռան շեմքեր, շերտափեղկեր, ճաղաշարքեր, հենարաններ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դրանց հենասյունները). մետաղակոնստրուկցիաների մեջ օգտագործման համար նախատեսված թիթեղաթերթեր, ձողեր, անկյունակներ, ձ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ավոր տրամատներ (պրոֆիլներ), խողովակներ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նույնանման արտադրատեսակներ</w:t>
            </w:r>
            <w:r w:rsidR="00D03567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ս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մետաղներից</w:t>
            </w:r>
          </w:p>
        </w:tc>
      </w:tr>
      <w:tr w:rsidR="00314C1F" w:rsidRPr="00742157" w:rsidTr="00921C12">
        <w:trPr>
          <w:jc w:val="center"/>
        </w:trPr>
        <w:tc>
          <w:tcPr>
            <w:tcW w:w="1548" w:type="dxa"/>
            <w:shd w:val="clear" w:color="auto" w:fill="FFFFFF"/>
          </w:tcPr>
          <w:p w:rsidR="00314C1F" w:rsidRPr="00742157" w:rsidRDefault="00707DCE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7312</w:t>
            </w:r>
          </w:p>
        </w:tc>
        <w:tc>
          <w:tcPr>
            <w:tcW w:w="8009" w:type="dxa"/>
            <w:shd w:val="clear" w:color="auto" w:fill="FFFFFF"/>
            <w:vAlign w:val="bottom"/>
          </w:tcPr>
          <w:p w:rsidR="00314C1F" w:rsidRPr="00742157" w:rsidRDefault="00707DCE" w:rsidP="00742157">
            <w:pPr>
              <w:pStyle w:val="Bodytext20"/>
              <w:shd w:val="clear" w:color="auto" w:fill="auto"/>
              <w:spacing w:before="0" w:after="160" w:line="36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Ոլորված մետաղալար, մետաղաճոպաններ, մետաղապարաններ, հյուսված քուղեր, առասաններ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նույնանման արտադրատեսակներ</w:t>
            </w:r>
            <w:r w:rsidR="00D03567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ս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մետաղներից՝ առանց էլեկտրական մեկուսացման</w:t>
            </w:r>
          </w:p>
        </w:tc>
      </w:tr>
      <w:tr w:rsidR="00314C1F" w:rsidRPr="00742157" w:rsidTr="00921C12">
        <w:trPr>
          <w:jc w:val="center"/>
        </w:trPr>
        <w:tc>
          <w:tcPr>
            <w:tcW w:w="1548" w:type="dxa"/>
            <w:shd w:val="clear" w:color="auto" w:fill="FFFFFF"/>
            <w:vAlign w:val="center"/>
          </w:tcPr>
          <w:p w:rsidR="00314C1F" w:rsidRPr="00742157" w:rsidRDefault="00707DCE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7326</w:t>
            </w:r>
          </w:p>
        </w:tc>
        <w:tc>
          <w:tcPr>
            <w:tcW w:w="8009" w:type="dxa"/>
            <w:shd w:val="clear" w:color="auto" w:fill="FFFFFF"/>
            <w:vAlign w:val="center"/>
          </w:tcPr>
          <w:p w:rsidR="00314C1F" w:rsidRPr="00742157" w:rsidRDefault="00707DCE" w:rsidP="00742157">
            <w:pPr>
              <w:pStyle w:val="Bodytext20"/>
              <w:shd w:val="clear" w:color="auto" w:fill="auto"/>
              <w:spacing w:before="0" w:after="160" w:line="36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Այլ արտադրատեսակներ՝ ս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մետաղներից</w:t>
            </w:r>
          </w:p>
        </w:tc>
      </w:tr>
      <w:tr w:rsidR="00314C1F" w:rsidRPr="00742157" w:rsidTr="00921C12">
        <w:trPr>
          <w:jc w:val="center"/>
        </w:trPr>
        <w:tc>
          <w:tcPr>
            <w:tcW w:w="1548" w:type="dxa"/>
            <w:shd w:val="clear" w:color="auto" w:fill="FFFFFF"/>
            <w:vAlign w:val="bottom"/>
          </w:tcPr>
          <w:p w:rsidR="00314C1F" w:rsidRPr="00742157" w:rsidRDefault="00707DCE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7408</w:t>
            </w:r>
          </w:p>
        </w:tc>
        <w:tc>
          <w:tcPr>
            <w:tcW w:w="8009" w:type="dxa"/>
            <w:shd w:val="clear" w:color="auto" w:fill="FFFFFF"/>
            <w:vAlign w:val="bottom"/>
          </w:tcPr>
          <w:p w:rsidR="00314C1F" w:rsidRPr="00742157" w:rsidRDefault="00707DCE" w:rsidP="00742157">
            <w:pPr>
              <w:pStyle w:val="Bodytext20"/>
              <w:shd w:val="clear" w:color="auto" w:fill="auto"/>
              <w:spacing w:before="0" w:after="160" w:line="36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Պղնձալար</w:t>
            </w:r>
          </w:p>
        </w:tc>
      </w:tr>
      <w:tr w:rsidR="00314C1F" w:rsidRPr="00742157" w:rsidTr="00921C12">
        <w:trPr>
          <w:jc w:val="center"/>
        </w:trPr>
        <w:tc>
          <w:tcPr>
            <w:tcW w:w="1548" w:type="dxa"/>
            <w:shd w:val="clear" w:color="auto" w:fill="FFFFFF"/>
            <w:vAlign w:val="bottom"/>
          </w:tcPr>
          <w:p w:rsidR="00314C1F" w:rsidRPr="00742157" w:rsidRDefault="00707DCE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7608</w:t>
            </w:r>
          </w:p>
        </w:tc>
        <w:tc>
          <w:tcPr>
            <w:tcW w:w="8009" w:type="dxa"/>
            <w:shd w:val="clear" w:color="auto" w:fill="FFFFFF"/>
            <w:vAlign w:val="bottom"/>
          </w:tcPr>
          <w:p w:rsidR="00314C1F" w:rsidRPr="00742157" w:rsidRDefault="00707DCE" w:rsidP="00742157">
            <w:pPr>
              <w:pStyle w:val="Bodytext20"/>
              <w:shd w:val="clear" w:color="auto" w:fill="auto"/>
              <w:spacing w:before="0" w:after="160" w:line="36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Ալյումինե խողովակներ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փողակներ</w:t>
            </w:r>
          </w:p>
        </w:tc>
      </w:tr>
      <w:tr w:rsidR="00314C1F" w:rsidRPr="00742157" w:rsidTr="00921C12">
        <w:trPr>
          <w:jc w:val="center"/>
        </w:trPr>
        <w:tc>
          <w:tcPr>
            <w:tcW w:w="1548" w:type="dxa"/>
            <w:shd w:val="clear" w:color="auto" w:fill="FFFFFF"/>
          </w:tcPr>
          <w:p w:rsidR="00314C1F" w:rsidRPr="00742157" w:rsidRDefault="00707DCE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7614</w:t>
            </w:r>
          </w:p>
        </w:tc>
        <w:tc>
          <w:tcPr>
            <w:tcW w:w="8009" w:type="dxa"/>
            <w:shd w:val="clear" w:color="auto" w:fill="FFFFFF"/>
            <w:vAlign w:val="bottom"/>
          </w:tcPr>
          <w:p w:rsidR="00314C1F" w:rsidRPr="00742157" w:rsidRDefault="00707DCE" w:rsidP="00742157">
            <w:pPr>
              <w:pStyle w:val="Bodytext20"/>
              <w:shd w:val="clear" w:color="auto" w:fill="auto"/>
              <w:spacing w:before="0" w:after="160" w:line="36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Ոլորված մետաղալարեր, մետաղաճոպաններ, հյուսված քուղեր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ալյումինե նույնանման արտադրատեսակներ՝ առանց էլեկտրական մեկուսացման</w:t>
            </w:r>
          </w:p>
        </w:tc>
      </w:tr>
      <w:tr w:rsidR="00314C1F" w:rsidRPr="00742157" w:rsidTr="00921C12">
        <w:trPr>
          <w:jc w:val="center"/>
        </w:trPr>
        <w:tc>
          <w:tcPr>
            <w:tcW w:w="1548" w:type="dxa"/>
            <w:shd w:val="clear" w:color="auto" w:fill="FFFFFF"/>
          </w:tcPr>
          <w:p w:rsidR="00314C1F" w:rsidRPr="00742157" w:rsidRDefault="00707DCE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8414</w:t>
            </w:r>
          </w:p>
        </w:tc>
        <w:tc>
          <w:tcPr>
            <w:tcW w:w="8009" w:type="dxa"/>
            <w:shd w:val="clear" w:color="auto" w:fill="FFFFFF"/>
            <w:vAlign w:val="bottom"/>
          </w:tcPr>
          <w:p w:rsidR="00314C1F" w:rsidRPr="00742157" w:rsidRDefault="00707DCE" w:rsidP="00742157">
            <w:pPr>
              <w:pStyle w:val="Bodytext20"/>
              <w:shd w:val="clear" w:color="auto" w:fill="auto"/>
              <w:spacing w:before="0" w:after="160" w:line="36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Պոմպեր</w:t>
            </w:r>
            <w:r w:rsidR="00D03567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օդային կամ վակուումային, օդային կամ գազային կոմպրեսորներ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օդափոխիչներ</w:t>
            </w:r>
            <w:r w:rsidR="00131341" w:rsidRPr="00742157">
              <w:rPr>
                <w:rStyle w:val="Bodytext215pt"/>
                <w:rFonts w:ascii="Sylfaen" w:hAnsi="Sylfaen"/>
                <w:sz w:val="24"/>
                <w:szCs w:val="24"/>
              </w:rPr>
              <w:t>.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օդափոխիչ կամ վերաշրջանառու օդաքաշ թասակներ կամ պահարաններ` օդափոխիչներով, ֆիլտրերով կամ առանց ֆիլտրերի</w:t>
            </w:r>
          </w:p>
        </w:tc>
      </w:tr>
      <w:tr w:rsidR="00314C1F" w:rsidRPr="00742157" w:rsidTr="00921C12">
        <w:trPr>
          <w:jc w:val="center"/>
        </w:trPr>
        <w:tc>
          <w:tcPr>
            <w:tcW w:w="1548" w:type="dxa"/>
            <w:shd w:val="clear" w:color="auto" w:fill="FFFFFF"/>
          </w:tcPr>
          <w:p w:rsidR="00314C1F" w:rsidRPr="00742157" w:rsidRDefault="00707DCE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8471</w:t>
            </w:r>
          </w:p>
        </w:tc>
        <w:tc>
          <w:tcPr>
            <w:tcW w:w="8009" w:type="dxa"/>
            <w:shd w:val="clear" w:color="auto" w:fill="FFFFFF"/>
          </w:tcPr>
          <w:p w:rsidR="00314C1F" w:rsidRPr="00742157" w:rsidRDefault="00707DCE" w:rsidP="00742157">
            <w:pPr>
              <w:pStyle w:val="Bodytext20"/>
              <w:shd w:val="clear" w:color="auto" w:fill="auto"/>
              <w:spacing w:before="0" w:after="160" w:line="36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Հաշվողական մեքենաներ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դրանց բլոկները. մագնիսական կամ օպտիկական հաշվարկման սարքեր, մեքենաներ՝ տեղեկատվության տվյալները կրիչների վրա ծածկագրված ձ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ով փոխադրելու համար</w:t>
            </w:r>
            <w:r w:rsidR="00D03567" w:rsidRPr="00742157">
              <w:rPr>
                <w:rStyle w:val="Bodytext215pt"/>
                <w:rFonts w:ascii="Sylfaen" w:hAnsi="Sylfaen"/>
                <w:sz w:val="24"/>
                <w:szCs w:val="24"/>
              </w:rPr>
              <w:t>,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մեքենաներ՝ նման տեղեկատվությունը մշակելու համար, այլ տեղում չնշված կամ չընդգրկված</w:t>
            </w:r>
          </w:p>
        </w:tc>
      </w:tr>
      <w:tr w:rsidR="00034B08" w:rsidRPr="00742157" w:rsidTr="00921C12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742157" w:rsidRDefault="00034B08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8504</w:t>
            </w:r>
          </w:p>
        </w:tc>
        <w:tc>
          <w:tcPr>
            <w:tcW w:w="8009" w:type="dxa"/>
            <w:shd w:val="clear" w:color="auto" w:fill="FFFFFF"/>
            <w:vAlign w:val="center"/>
          </w:tcPr>
          <w:p w:rsidR="00034B08" w:rsidRPr="00742157" w:rsidRDefault="00034B08" w:rsidP="00742157">
            <w:pPr>
              <w:pStyle w:val="Bodytext20"/>
              <w:shd w:val="clear" w:color="auto" w:fill="auto"/>
              <w:spacing w:before="0" w:after="160" w:line="360" w:lineRule="auto"/>
              <w:ind w:left="16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Տրանսֆորմատորներ էլեկտրական, ստատիկ էլեկտրական կերպափոխիչներ (օրինակ`ուղղիչներ), ինդուկտիվության կոճեր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դրոսելներ</w:t>
            </w:r>
          </w:p>
        </w:tc>
      </w:tr>
      <w:tr w:rsidR="00034B08" w:rsidRPr="00742157" w:rsidTr="00921C12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742157" w:rsidRDefault="00034B08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8517</w:t>
            </w:r>
          </w:p>
        </w:tc>
        <w:tc>
          <w:tcPr>
            <w:tcW w:w="8009" w:type="dxa"/>
            <w:shd w:val="clear" w:color="auto" w:fill="FFFFFF"/>
          </w:tcPr>
          <w:p w:rsidR="00034B08" w:rsidRPr="00742157" w:rsidRDefault="00034B08" w:rsidP="00742157">
            <w:pPr>
              <w:pStyle w:val="Bodytext20"/>
              <w:shd w:val="clear" w:color="auto" w:fill="auto"/>
              <w:spacing w:before="0" w:after="160" w:line="360" w:lineRule="auto"/>
              <w:ind w:left="16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Հեռախոսային ապարատներ</w:t>
            </w:r>
            <w:r w:rsidR="00D03567" w:rsidRPr="00742157">
              <w:rPr>
                <w:rStyle w:val="Bodytext215pt"/>
                <w:rFonts w:ascii="Sylfaen" w:hAnsi="Sylfaen"/>
                <w:sz w:val="24"/>
                <w:szCs w:val="24"/>
              </w:rPr>
              <w:t>,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ներառյալ</w:t>
            </w:r>
            <w:r w:rsidR="00D03567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հեռախոսային ապարատները բջջային կապի ցանցերի կամ այլ</w:t>
            </w:r>
            <w:r w:rsidR="00D03567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առանց հաղորդալարի կապի ցանցերի համար</w:t>
            </w:r>
            <w:r w:rsidR="00131341" w:rsidRPr="00742157">
              <w:rPr>
                <w:rStyle w:val="Bodytext215pt"/>
                <w:rFonts w:ascii="Sylfaen" w:hAnsi="Sylfaen"/>
                <w:sz w:val="24"/>
                <w:szCs w:val="24"/>
              </w:rPr>
              <w:t>.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այլ ապարատուրա՝ ձայնի, պատկերի կամ այլ տվյալների հաղորդման կամ ընդունման համար</w:t>
            </w:r>
            <w:r w:rsidR="00D03567" w:rsidRPr="00742157">
              <w:rPr>
                <w:rStyle w:val="Bodytext215pt"/>
                <w:rFonts w:ascii="Sylfaen" w:hAnsi="Sylfaen"/>
                <w:sz w:val="24"/>
                <w:szCs w:val="24"/>
              </w:rPr>
              <w:t>,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ներառյալ</w:t>
            </w:r>
            <w:r w:rsidR="00D03567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հաղորդալարային կամ առանց հաղորդալարի ցանցում (օրինակ՝ կապի  լոկալ կամ գլոբալ ցանց</w:t>
            </w:r>
            <w:r w:rsidR="00131341" w:rsidRPr="00742157">
              <w:rPr>
                <w:rStyle w:val="Bodytext215pt"/>
                <w:rFonts w:ascii="Sylfaen" w:hAnsi="Sylfaen"/>
                <w:sz w:val="24"/>
                <w:szCs w:val="24"/>
              </w:rPr>
              <w:t>ում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) հաղորդակցման համար ապարատուրան՝ բացառությամբ 8443, 8525, 8527 կամ 8528 ապրանքային դիրքերում գտնվող հաղորդող կամ ընդունող ապարատուրայի</w:t>
            </w:r>
          </w:p>
        </w:tc>
      </w:tr>
      <w:tr w:rsidR="00034B08" w:rsidRPr="00742157" w:rsidTr="00921C12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742157" w:rsidRDefault="00034B08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8531</w:t>
            </w:r>
          </w:p>
        </w:tc>
        <w:tc>
          <w:tcPr>
            <w:tcW w:w="8009" w:type="dxa"/>
            <w:shd w:val="clear" w:color="auto" w:fill="FFFFFF"/>
            <w:vAlign w:val="bottom"/>
          </w:tcPr>
          <w:p w:rsidR="00034B08" w:rsidRPr="00742157" w:rsidRDefault="00034B08" w:rsidP="00742157">
            <w:pPr>
              <w:pStyle w:val="Bodytext20"/>
              <w:shd w:val="clear" w:color="auto" w:fill="auto"/>
              <w:spacing w:before="0" w:after="160" w:line="360" w:lineRule="auto"/>
              <w:ind w:left="16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Էլեկտրասարքավորումներ՝ ձայնային կամ տեսողական ազդանշանային (օրինակ`զանգեր, շչակներ, ինդիկատորային վահանակներ, պահպանության ազդանշանային սարքվածքներ կամ հրդեհի ազդանշանային սարքվածքներ)</w:t>
            </w:r>
            <w:r w:rsidR="00D03567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բացի 8512 կամ 8530 ապրանքային դիրքերում ընդգրկված սարքավորումներից</w:t>
            </w:r>
          </w:p>
        </w:tc>
      </w:tr>
      <w:tr w:rsidR="00034B08" w:rsidRPr="00742157" w:rsidTr="00921C12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742157" w:rsidRDefault="00034B08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8535</w:t>
            </w:r>
          </w:p>
        </w:tc>
        <w:tc>
          <w:tcPr>
            <w:tcW w:w="8009" w:type="dxa"/>
            <w:shd w:val="clear" w:color="auto" w:fill="FFFFFF"/>
            <w:vAlign w:val="bottom"/>
          </w:tcPr>
          <w:p w:rsidR="00034B08" w:rsidRPr="00742157" w:rsidRDefault="00034B08" w:rsidP="00742157">
            <w:pPr>
              <w:pStyle w:val="Bodytext20"/>
              <w:shd w:val="clear" w:color="auto" w:fill="auto"/>
              <w:spacing w:before="0" w:after="160" w:line="360" w:lineRule="auto"/>
              <w:ind w:left="16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Էլեկտրական ապարատուրա</w:t>
            </w:r>
            <w:r w:rsidR="00D03567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կոմուտացիայի կամ էլեկտրական շղթաների պահպանման համար կամ էլեկտրական շղթաներին կամ էլեկտրական շղթաներում միացնելու համար (օրինակ`անջատիչներ, փոխարկիչներ, ընդհատիչներ, հալուն ապահովիչներ, շանթարգելներ, լարման սահմանափակիչներ, լարման ցատկերի մարիչներ, հոսանքընդունիչներ, հոսանքահաններ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այլ միակցիչներ, միակցման տուփեր) 1000 Վ-ից ավելի լարման </w:t>
            </w:r>
            <w:r w:rsidR="001B2B8F" w:rsidRPr="00742157">
              <w:rPr>
                <w:rStyle w:val="Bodytext215pt"/>
                <w:rFonts w:ascii="Sylfaen" w:hAnsi="Sylfaen"/>
                <w:sz w:val="24"/>
                <w:szCs w:val="24"/>
              </w:rPr>
              <w:t>դեպքում</w:t>
            </w:r>
          </w:p>
        </w:tc>
      </w:tr>
      <w:tr w:rsidR="00034B08" w:rsidRPr="00742157" w:rsidTr="00921C12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742157" w:rsidRDefault="00034B08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8536</w:t>
            </w:r>
          </w:p>
        </w:tc>
        <w:tc>
          <w:tcPr>
            <w:tcW w:w="8009" w:type="dxa"/>
            <w:shd w:val="clear" w:color="auto" w:fill="FFFFFF"/>
          </w:tcPr>
          <w:p w:rsidR="00034B08" w:rsidRPr="00742157" w:rsidRDefault="00034B08" w:rsidP="00742157">
            <w:pPr>
              <w:pStyle w:val="Bodytext20"/>
              <w:shd w:val="clear" w:color="auto" w:fill="auto"/>
              <w:spacing w:before="0" w:after="160" w:line="360" w:lineRule="auto"/>
              <w:ind w:left="16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Էլեկտրական ապարատուրա</w:t>
            </w:r>
            <w:r w:rsidR="00D03567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կոմուտացիայի կամ էլեկտրական շղթաների պահպանման համար կամ էլեկտրական շղթաներին կամ էլեկտրական շղթաներում միացնելու համար (օրինակ`անջատիչներ, փոխարկիչներ, ընդհատիչներ, ռելե, հալուն ապահովիչներ, լարման թռիչքների մարիչներ, խրոցակների եղանիկներ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վարդակներ, էլեկտրական լամպերի կոթառներ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այլ միակցիչներ, միակցման տուփեր) 1000 Վ-ից </w:t>
            </w:r>
            <w:r w:rsidR="001B2B8F"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ոչ 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ավելի լարման </w:t>
            </w:r>
            <w:r w:rsidR="001B2B8F" w:rsidRPr="00742157">
              <w:rPr>
                <w:rStyle w:val="Bodytext215pt"/>
                <w:rFonts w:ascii="Sylfaen" w:hAnsi="Sylfaen"/>
                <w:sz w:val="24"/>
                <w:szCs w:val="24"/>
              </w:rPr>
              <w:t>դեպքում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. </w:t>
            </w:r>
            <w:r w:rsidR="000C5F0B" w:rsidRPr="00742157">
              <w:rPr>
                <w:rStyle w:val="Bodytext215pt"/>
                <w:rFonts w:ascii="Sylfaen" w:hAnsi="Sylfaen"/>
                <w:sz w:val="24"/>
                <w:szCs w:val="24"/>
              </w:rPr>
              <w:t>Մ</w:t>
            </w:r>
            <w:r w:rsidR="001B2B8F" w:rsidRPr="00742157">
              <w:rPr>
                <w:rStyle w:val="Bodytext215pt"/>
                <w:rFonts w:ascii="Sylfaen" w:hAnsi="Sylfaen"/>
                <w:sz w:val="24"/>
                <w:szCs w:val="24"/>
              </w:rPr>
              <w:t>իակցիչներ</w:t>
            </w:r>
            <w:r w:rsidR="000C5F0B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="001B2B8F"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օպտիկական մանրաթելերի, թելքաօպտիկական լարանների կամ մալուխների համար</w:t>
            </w:r>
          </w:p>
        </w:tc>
      </w:tr>
      <w:tr w:rsidR="00034B08" w:rsidRPr="00742157" w:rsidTr="00921C12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742157" w:rsidRDefault="00034B08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8537</w:t>
            </w:r>
          </w:p>
        </w:tc>
        <w:tc>
          <w:tcPr>
            <w:tcW w:w="8009" w:type="dxa"/>
            <w:shd w:val="clear" w:color="auto" w:fill="FFFFFF"/>
            <w:vAlign w:val="bottom"/>
          </w:tcPr>
          <w:p w:rsidR="00034B08" w:rsidRPr="00742157" w:rsidRDefault="00034B08" w:rsidP="00742157">
            <w:pPr>
              <w:pStyle w:val="Bodytext20"/>
              <w:shd w:val="clear" w:color="auto" w:fill="auto"/>
              <w:spacing w:before="0" w:after="160" w:line="36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Պուլտեր, վահանակներ, բարձակներ, սեղաններ, բաշխիչ վահաններ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այլ հիմքեր</w:t>
            </w:r>
            <w:r w:rsidR="000C5F0B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էլեկտրական ապարատուրայի համար՝ սարքավորված 8535 կամ 8536 ապրանքային դիրքում ընդգրկված երկու կամ ավելի սարքվածքներով` էլեկտրական հոսանքի ղեկավարման կամ բաշխման համար, այդ թվում` իրենց մեջ 90-րդ խմբի սարքերը կամ սարքվածքները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թվային ղեկավարման ապարատներն ընդգրկող</w:t>
            </w:r>
            <w:r w:rsidR="000C5F0B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բացի 8517 ապրանքային դիրքի կոմուտացիոն սարքվածքներից</w:t>
            </w:r>
          </w:p>
        </w:tc>
      </w:tr>
      <w:tr w:rsidR="00034B08" w:rsidRPr="00742157" w:rsidTr="00921C12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742157" w:rsidRDefault="00034B08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8544</w:t>
            </w:r>
          </w:p>
        </w:tc>
        <w:tc>
          <w:tcPr>
            <w:tcW w:w="8009" w:type="dxa"/>
            <w:shd w:val="clear" w:color="auto" w:fill="FFFFFF"/>
            <w:vAlign w:val="bottom"/>
          </w:tcPr>
          <w:p w:rsidR="00034B08" w:rsidRPr="00742157" w:rsidRDefault="00034B08" w:rsidP="00742157">
            <w:pPr>
              <w:pStyle w:val="Bodytext20"/>
              <w:shd w:val="clear" w:color="auto" w:fill="auto"/>
              <w:spacing w:before="0" w:after="160" w:line="36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Հաղորդալարեր մեկուսացված (ներառյալ</w:t>
            </w:r>
            <w:r w:rsidR="000C5F0B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արծնապատները կամ անոդավորվածները), մալուխներ (ներառյալ</w:t>
            </w:r>
            <w:r w:rsidR="000C5F0B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համառանցքային մալուխները)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այլ մեկուսացված էլեկտրական հաղորդիչներ՝ միացնող հարմարանքներով կամ առանց դրանց. մալուխներ թելքաօպտիկական</w:t>
            </w:r>
            <w:r w:rsidR="007D21F7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անհատական կորպուսներով մանրաթելից կազմված</w:t>
            </w:r>
            <w:r w:rsidR="007D21F7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անկախ նրանից՝ դրանք հավաքված են էլեկտրահաղորդիչների կամ միացնող հարմարանքների հետ, թե</w:t>
            </w:r>
            <w:r w:rsidR="000C5F0B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ոչ</w:t>
            </w:r>
          </w:p>
        </w:tc>
      </w:tr>
      <w:tr w:rsidR="00034B08" w:rsidRPr="00742157" w:rsidTr="00921C12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742157" w:rsidRDefault="00034B08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8546</w:t>
            </w:r>
          </w:p>
        </w:tc>
        <w:tc>
          <w:tcPr>
            <w:tcW w:w="8009" w:type="dxa"/>
            <w:shd w:val="clear" w:color="auto" w:fill="FFFFFF"/>
          </w:tcPr>
          <w:p w:rsidR="00034B08" w:rsidRPr="00742157" w:rsidRDefault="008F6F8B" w:rsidP="00742157">
            <w:pPr>
              <w:pStyle w:val="Bodytext20"/>
              <w:shd w:val="clear" w:color="auto" w:fill="auto"/>
              <w:spacing w:before="0" w:after="160" w:line="36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Էլեկտրական մեկուսիչներ</w:t>
            </w:r>
            <w:r w:rsidR="000C5F0B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ց</w:t>
            </w:r>
            <w:r w:rsidR="00034B08"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անկացած նյութից </w:t>
            </w:r>
          </w:p>
        </w:tc>
      </w:tr>
      <w:tr w:rsidR="00034B08" w:rsidRPr="00742157" w:rsidTr="00921C12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742157" w:rsidRDefault="00034B08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9030</w:t>
            </w:r>
          </w:p>
        </w:tc>
        <w:tc>
          <w:tcPr>
            <w:tcW w:w="8009" w:type="dxa"/>
            <w:shd w:val="clear" w:color="auto" w:fill="FFFFFF"/>
            <w:vAlign w:val="bottom"/>
          </w:tcPr>
          <w:p w:rsidR="00034B08" w:rsidRPr="00742157" w:rsidRDefault="00034B08" w:rsidP="00742157">
            <w:pPr>
              <w:pStyle w:val="Bodytext20"/>
              <w:shd w:val="clear" w:color="auto" w:fill="auto"/>
              <w:spacing w:before="0" w:after="160" w:line="36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Օսցիլոսկոպներ, սպեկտրաանալիզատորներ, այլ սարքեր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ապարատուրա` էլեկտրական մեծությունների չափման կամ հսկման համար՝ բացի 9028 ապրանքային դիրքում նշված չափիչ սարքերից. սարքեր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ապարատուրա` ալֆա, բետա, գամմա, ռենտգենյան, տիեզերական կամ այլ իոնացնող ճառագայթումները հայտնաբերելու կամ չափելու համար</w:t>
            </w:r>
          </w:p>
        </w:tc>
      </w:tr>
      <w:tr w:rsidR="00034B08" w:rsidRPr="00742157" w:rsidTr="00921C12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742157" w:rsidRDefault="00034B08" w:rsidP="0074215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>9405</w:t>
            </w:r>
          </w:p>
        </w:tc>
        <w:tc>
          <w:tcPr>
            <w:tcW w:w="8009" w:type="dxa"/>
            <w:shd w:val="clear" w:color="auto" w:fill="FFFFFF"/>
            <w:vAlign w:val="bottom"/>
          </w:tcPr>
          <w:p w:rsidR="00034B08" w:rsidRPr="00742157" w:rsidRDefault="00034B08" w:rsidP="00742157">
            <w:pPr>
              <w:pStyle w:val="Bodytext20"/>
              <w:shd w:val="clear" w:color="auto" w:fill="auto"/>
              <w:spacing w:before="0" w:after="160" w:line="36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Լամպեր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լուսավորման սարքավորումներ</w:t>
            </w:r>
            <w:r w:rsidR="000C5F0B" w:rsidRPr="00742157">
              <w:rPr>
                <w:rStyle w:val="Bodytext215pt"/>
                <w:rFonts w:ascii="Sylfaen" w:hAnsi="Sylfaen"/>
                <w:sz w:val="24"/>
                <w:szCs w:val="24"/>
              </w:rPr>
              <w:t>,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ներառյալ</w:t>
            </w:r>
            <w:r w:rsidR="000C5F0B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լուսարձակները, լամպեր</w:t>
            </w:r>
            <w:r w:rsidR="000C5F0B" w:rsidRPr="00742157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լույսի նեղ ուղղվածությամբ, ցոլալապտերներ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դրանց մասերը՝ այլ տեղում չնշված կամ չներառված. լուսային ցուցանակներ, լուսային ցուցատախտակներ՝ անունով կամ անվան</w:t>
            </w:r>
            <w:r w:rsidR="000C5F0B" w:rsidRPr="00742157">
              <w:rPr>
                <w:rStyle w:val="Bodytext215pt"/>
                <w:rFonts w:ascii="Sylfaen" w:hAnsi="Sylfaen"/>
                <w:sz w:val="24"/>
                <w:szCs w:val="24"/>
              </w:rPr>
              <w:t>ումով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կամ հասցեով,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նույնանման արտադրատեսակներ՝ ներկառուցված լույսի աղբյուր ունեցող, </w:t>
            </w:r>
            <w:r w:rsidR="008E6935">
              <w:rPr>
                <w:rStyle w:val="Bodytext215pt"/>
                <w:rFonts w:ascii="Sylfaen" w:hAnsi="Sylfaen"/>
                <w:sz w:val="24"/>
                <w:szCs w:val="24"/>
              </w:rPr>
              <w:t>և</w:t>
            </w:r>
            <w:r w:rsidRPr="00742157">
              <w:rPr>
                <w:rStyle w:val="Bodytext215pt"/>
                <w:rFonts w:ascii="Sylfaen" w:hAnsi="Sylfaen"/>
                <w:sz w:val="24"/>
                <w:szCs w:val="24"/>
              </w:rPr>
              <w:t xml:space="preserve"> դրանց մասերը՝ այլ տեղում չնշված կամ չներառված</w:t>
            </w:r>
          </w:p>
        </w:tc>
      </w:tr>
    </w:tbl>
    <w:p w:rsidR="00314C1F" w:rsidRPr="00742157" w:rsidRDefault="00314C1F" w:rsidP="00742157">
      <w:pPr>
        <w:spacing w:after="160" w:line="360" w:lineRule="auto"/>
        <w:ind w:right="-8"/>
      </w:pPr>
    </w:p>
    <w:sectPr w:rsidR="00314C1F" w:rsidRPr="00742157" w:rsidSect="0056281A">
      <w:footerReference w:type="default" r:id="rId8"/>
      <w:pgSz w:w="11900" w:h="16840" w:code="9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59" w:rsidRDefault="00166559" w:rsidP="00314C1F">
      <w:r>
        <w:separator/>
      </w:r>
    </w:p>
  </w:endnote>
  <w:endnote w:type="continuationSeparator" w:id="0">
    <w:p w:rsidR="00166559" w:rsidRDefault="00166559" w:rsidP="0031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83115"/>
      <w:docPartObj>
        <w:docPartGallery w:val="Page Numbers (Bottom of Page)"/>
        <w:docPartUnique/>
      </w:docPartObj>
    </w:sdtPr>
    <w:sdtEndPr/>
    <w:sdtContent>
      <w:p w:rsidR="00921C12" w:rsidRDefault="001665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9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1C12" w:rsidRDefault="00921C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59" w:rsidRDefault="00166559"/>
  </w:footnote>
  <w:footnote w:type="continuationSeparator" w:id="0">
    <w:p w:rsidR="00166559" w:rsidRDefault="001665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B3AD9"/>
    <w:multiLevelType w:val="multilevel"/>
    <w:tmpl w:val="31A87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14C1F"/>
    <w:rsid w:val="00034B08"/>
    <w:rsid w:val="000C5F0B"/>
    <w:rsid w:val="00131341"/>
    <w:rsid w:val="00166559"/>
    <w:rsid w:val="001B2B8F"/>
    <w:rsid w:val="002918B4"/>
    <w:rsid w:val="002C3BDA"/>
    <w:rsid w:val="002D39B8"/>
    <w:rsid w:val="002F0879"/>
    <w:rsid w:val="00314C1F"/>
    <w:rsid w:val="003F01B9"/>
    <w:rsid w:val="0040574F"/>
    <w:rsid w:val="00445CDC"/>
    <w:rsid w:val="004A1F8B"/>
    <w:rsid w:val="004C76E2"/>
    <w:rsid w:val="004F764B"/>
    <w:rsid w:val="0056281A"/>
    <w:rsid w:val="00707DCE"/>
    <w:rsid w:val="00742157"/>
    <w:rsid w:val="007D21F7"/>
    <w:rsid w:val="00815043"/>
    <w:rsid w:val="008822E3"/>
    <w:rsid w:val="008E6935"/>
    <w:rsid w:val="008F6F8B"/>
    <w:rsid w:val="00902EB1"/>
    <w:rsid w:val="00921C12"/>
    <w:rsid w:val="00941030"/>
    <w:rsid w:val="00975F99"/>
    <w:rsid w:val="009A7EDD"/>
    <w:rsid w:val="009D6898"/>
    <w:rsid w:val="00B803B1"/>
    <w:rsid w:val="00D03567"/>
    <w:rsid w:val="00D61892"/>
    <w:rsid w:val="00D74598"/>
    <w:rsid w:val="00E85673"/>
    <w:rsid w:val="00EE1503"/>
    <w:rsid w:val="00F44351"/>
    <w:rsid w:val="00FA2D12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4C1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4C1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1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15pt">
    <w:name w:val="Body text (3) + 15 pt"/>
    <w:aliases w:val="Small Caps"/>
    <w:basedOn w:val="Bodytext3"/>
    <w:rsid w:val="00314C1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31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31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1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14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314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31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15pt0">
    <w:name w:val="Body text (3) + 15 pt"/>
    <w:basedOn w:val="Bodytext3"/>
    <w:rsid w:val="0031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0">
    <w:name w:val="Body text (2) + 15 pt"/>
    <w:aliases w:val="Bold,Spacing 2 pt,Body text (2) + Sylfaen,14 pt,Body text (2) + Arial Unicode MS,10.5 pt"/>
    <w:basedOn w:val="Bodytext2"/>
    <w:rsid w:val="0031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15pt1">
    <w:name w:val="Body text (3) + 15 pt"/>
    <w:aliases w:val="Spacing 2 pt"/>
    <w:basedOn w:val="Bodytext3"/>
    <w:rsid w:val="0031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314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14C1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120">
    <w:name w:val="Heading #1 (2)"/>
    <w:basedOn w:val="Normal"/>
    <w:link w:val="Heading12"/>
    <w:rsid w:val="00314C1F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14C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14C1F"/>
    <w:pPr>
      <w:shd w:val="clear" w:color="auto" w:fill="FFFFFF"/>
      <w:spacing w:before="420" w:after="780" w:line="0" w:lineRule="atLeast"/>
      <w:ind w:hanging="12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BDA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1C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C1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21C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C1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16</cp:revision>
  <dcterms:created xsi:type="dcterms:W3CDTF">2017-03-06T08:49:00Z</dcterms:created>
  <dcterms:modified xsi:type="dcterms:W3CDTF">2017-05-25T08:02:00Z</dcterms:modified>
</cp:coreProperties>
</file>