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9A" w:rsidRPr="00611BD4" w:rsidRDefault="004F3C9A" w:rsidP="004F3C9A">
      <w:pPr>
        <w:pStyle w:val="Bodytext20"/>
        <w:shd w:val="clear" w:color="auto" w:fill="auto"/>
        <w:spacing w:after="160" w:line="360" w:lineRule="auto"/>
        <w:ind w:left="5103" w:firstLine="0"/>
        <w:jc w:val="center"/>
        <w:rPr>
          <w:color w:val="auto"/>
          <w:sz w:val="24"/>
          <w:szCs w:val="24"/>
        </w:rPr>
      </w:pPr>
      <w:bookmarkStart w:id="0" w:name="_GoBack"/>
      <w:bookmarkEnd w:id="0"/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ՀԱՍՏԱՏՎԱԾ Է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br/>
      </w:r>
      <w:r w:rsidRPr="00611BD4">
        <w:rPr>
          <w:color w:val="auto"/>
          <w:sz w:val="24"/>
          <w:szCs w:val="24"/>
        </w:rPr>
        <w:t xml:space="preserve">Եվրասիական տնտեսական հանձնաժողովի խորհրդի </w:t>
      </w:r>
      <w:r w:rsidRPr="00611BD4">
        <w:rPr>
          <w:color w:val="auto"/>
          <w:sz w:val="24"/>
          <w:szCs w:val="24"/>
        </w:rPr>
        <w:br/>
        <w:t xml:space="preserve">«___» _______-ի 2015 թվականի </w:t>
      </w:r>
      <w:r w:rsidRPr="00611BD4">
        <w:rPr>
          <w:color w:val="auto"/>
          <w:sz w:val="24"/>
          <w:szCs w:val="24"/>
        </w:rPr>
        <w:br/>
        <w:t>թիվ __________ որոշմամբ</w:t>
      </w:r>
    </w:p>
    <w:p w:rsidR="004F3C9A" w:rsidRPr="00611BD4" w:rsidRDefault="004F3C9A" w:rsidP="0090094A">
      <w:pPr>
        <w:pStyle w:val="Bodytext60"/>
        <w:shd w:val="clear" w:color="auto" w:fill="auto"/>
        <w:spacing w:before="0" w:after="160" w:line="360" w:lineRule="auto"/>
        <w:ind w:left="200"/>
        <w:rPr>
          <w:rStyle w:val="Bodytext6Spacing2pt"/>
          <w:rFonts w:ascii="Sylfaen" w:hAnsi="Sylfaen"/>
          <w:b/>
          <w:color w:val="auto"/>
          <w:spacing w:val="0"/>
          <w:sz w:val="24"/>
          <w:szCs w:val="24"/>
        </w:rPr>
      </w:pPr>
    </w:p>
    <w:p w:rsidR="00AC36B2" w:rsidRPr="00611BD4" w:rsidRDefault="00CA6244" w:rsidP="0090094A">
      <w:pPr>
        <w:pStyle w:val="Bodytext60"/>
        <w:shd w:val="clear" w:color="auto" w:fill="auto"/>
        <w:spacing w:before="0" w:after="160" w:line="360" w:lineRule="auto"/>
        <w:ind w:left="200"/>
        <w:rPr>
          <w:rFonts w:ascii="Sylfaen" w:hAnsi="Sylfaen"/>
          <w:color w:val="auto"/>
          <w:sz w:val="24"/>
          <w:szCs w:val="24"/>
        </w:rPr>
      </w:pPr>
      <w:r w:rsidRPr="00611BD4">
        <w:rPr>
          <w:rStyle w:val="Bodytext6Spacing2pt"/>
          <w:rFonts w:ascii="Sylfaen" w:hAnsi="Sylfaen"/>
          <w:b/>
          <w:color w:val="auto"/>
          <w:spacing w:val="0"/>
          <w:sz w:val="24"/>
          <w:szCs w:val="24"/>
        </w:rPr>
        <w:t>ԿԱՐԳ</w:t>
      </w:r>
    </w:p>
    <w:p w:rsidR="00AC36B2" w:rsidRPr="00611BD4" w:rsidRDefault="00CA6244" w:rsidP="004F3C9A">
      <w:pPr>
        <w:pStyle w:val="Bodytext30"/>
        <w:shd w:val="clear" w:color="auto" w:fill="auto"/>
        <w:spacing w:after="160" w:line="360" w:lineRule="auto"/>
        <w:ind w:left="284" w:right="275"/>
        <w:rPr>
          <w:color w:val="auto"/>
          <w:sz w:val="24"/>
          <w:szCs w:val="24"/>
        </w:rPr>
      </w:pPr>
      <w:r w:rsidRPr="00611BD4">
        <w:rPr>
          <w:rStyle w:val="Bodytext3TimesNewRoman0"/>
          <w:rFonts w:ascii="Sylfaen" w:eastAsia="Sylfaen" w:hAnsi="Sylfaen"/>
          <w:b/>
          <w:color w:val="auto"/>
          <w:sz w:val="24"/>
          <w:szCs w:val="24"/>
        </w:rPr>
        <w:t>Եվրասիական տնտեսական միության</w:t>
      </w:r>
      <w:r w:rsidR="00463A1B" w:rsidRPr="00611BD4">
        <w:rPr>
          <w:rStyle w:val="Bodytext3TimesNewRoman0"/>
          <w:rFonts w:ascii="Sylfaen" w:eastAsia="Sylfaen" w:hAnsi="Sylfaen"/>
          <w:b/>
          <w:color w:val="auto"/>
          <w:sz w:val="24"/>
          <w:szCs w:val="24"/>
        </w:rPr>
        <w:t>՝</w:t>
      </w:r>
      <w:r w:rsidRPr="00611BD4">
        <w:rPr>
          <w:rStyle w:val="Bodytext3TimesNewRoman0"/>
          <w:rFonts w:ascii="Sylfaen" w:eastAsia="Sylfaen" w:hAnsi="Sylfaen"/>
          <w:b/>
          <w:color w:val="auto"/>
          <w:sz w:val="24"/>
          <w:szCs w:val="24"/>
        </w:rPr>
        <w:t xml:space="preserve"> դեղագործական </w:t>
      </w:r>
      <w:r w:rsidR="00B912C2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գործունեությամբ զբաղվող</w:t>
      </w:r>
      <w:r w:rsidR="00B912C2" w:rsidRPr="00611BD4">
        <w:rPr>
          <w:rStyle w:val="Bodytext3TimesNewRoman0"/>
          <w:rFonts w:ascii="Sylfaen" w:eastAsia="Sylfaen" w:hAnsi="Sylfaen"/>
          <w:b/>
          <w:color w:val="auto"/>
          <w:sz w:val="24"/>
          <w:szCs w:val="24"/>
        </w:rPr>
        <w:t xml:space="preserve"> </w:t>
      </w:r>
      <w:r w:rsidRPr="00611BD4">
        <w:rPr>
          <w:rStyle w:val="Bodytext3TimesNewRoman0"/>
          <w:rFonts w:ascii="Sylfaen" w:eastAsia="Sylfaen" w:hAnsi="Sylfaen"/>
          <w:b/>
          <w:color w:val="auto"/>
          <w:sz w:val="24"/>
          <w:szCs w:val="24"/>
        </w:rPr>
        <w:t>տեսուչների միասնական ռեեստրի ձ</w:t>
      </w:r>
      <w:r w:rsidR="001B461C" w:rsidRPr="00611BD4">
        <w:rPr>
          <w:rStyle w:val="Bodytext3TimesNewRoman0"/>
          <w:rFonts w:ascii="Sylfaen" w:eastAsia="Sylfaen" w:hAnsi="Sylfaen"/>
          <w:b/>
          <w:color w:val="auto"/>
          <w:sz w:val="24"/>
          <w:szCs w:val="24"/>
        </w:rPr>
        <w:t>եւ</w:t>
      </w:r>
      <w:r w:rsidRPr="00611BD4">
        <w:rPr>
          <w:rStyle w:val="Bodytext3TimesNewRoman0"/>
          <w:rFonts w:ascii="Sylfaen" w:eastAsia="Sylfaen" w:hAnsi="Sylfaen"/>
          <w:b/>
          <w:color w:val="auto"/>
          <w:sz w:val="24"/>
          <w:szCs w:val="24"/>
        </w:rPr>
        <w:t>ավորման ու վարման</w:t>
      </w:r>
    </w:p>
    <w:p w:rsidR="00C45EDF" w:rsidRPr="00611BD4" w:rsidRDefault="00C45EDF" w:rsidP="0090094A">
      <w:pPr>
        <w:pStyle w:val="Bodytext20"/>
        <w:shd w:val="clear" w:color="auto" w:fill="auto"/>
        <w:spacing w:after="160" w:line="360" w:lineRule="auto"/>
        <w:ind w:left="200" w:firstLine="0"/>
        <w:jc w:val="center"/>
        <w:rPr>
          <w:rStyle w:val="Bodytext2TimesNewRoman"/>
          <w:rFonts w:ascii="Sylfaen" w:eastAsia="Sylfaen" w:hAnsi="Sylfaen"/>
          <w:color w:val="auto"/>
          <w:sz w:val="24"/>
          <w:szCs w:val="24"/>
        </w:rPr>
      </w:pPr>
    </w:p>
    <w:p w:rsidR="00AC36B2" w:rsidRPr="00611BD4" w:rsidRDefault="00CA6244" w:rsidP="0090094A">
      <w:pPr>
        <w:pStyle w:val="Bodytext20"/>
        <w:shd w:val="clear" w:color="auto" w:fill="auto"/>
        <w:spacing w:after="160" w:line="360" w:lineRule="auto"/>
        <w:ind w:left="200" w:firstLine="0"/>
        <w:jc w:val="center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I. Ընդհանուր դրույթներ</w:t>
      </w:r>
    </w:p>
    <w:p w:rsidR="00AC36B2" w:rsidRPr="00611BD4" w:rsidRDefault="004F3C9A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1.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="00C45EDF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Սույն Կարգը մշակված է «Եվրասիական տնտեսական միության մասին» 2014 թվականի մայիսի 29</w:t>
      </w:r>
      <w:r w:rsidR="00762BC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-</w:t>
      </w:r>
      <w:r w:rsidR="00C45EDF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ի </w:t>
      </w:r>
      <w:r w:rsidR="00B912C2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պայմանագրի </w:t>
      </w:r>
      <w:r w:rsidR="00C45EDF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30</w:t>
      </w:r>
      <w:r w:rsidR="00762BC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-</w:t>
      </w:r>
      <w:r w:rsidR="00C45EDF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րդ հոդվածի 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="00C45EDF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«Եվրասիական տնտեսական միության շրջանակներում դեղամիջոցների շրջանառության միասնական սկզբունքների 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="00C45EDF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կանոնների մասին» 2014 թվականի դեկտեմբերի 23</w:t>
      </w:r>
      <w:r w:rsidR="00762BC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-</w:t>
      </w:r>
      <w:r w:rsidR="00C45EDF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ի համաձայնագրի 10</w:t>
      </w:r>
      <w:r w:rsidR="00762BC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-</w:t>
      </w:r>
      <w:r w:rsidR="00C45EDF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րդ հոդվածի 4</w:t>
      </w:r>
      <w:r w:rsidR="00762BC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-</w:t>
      </w:r>
      <w:r w:rsidR="00C45EDF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րդ կետի իրագործման նպատակով 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="00C45EDF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սահմանում է Եվրասիական տնտեսական միության</w:t>
      </w:r>
      <w:r w:rsidR="00463A1B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="00C45EDF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դեղագործական </w:t>
      </w:r>
      <w:r w:rsidR="00B912C2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գործունեությամբ զբաղվող </w:t>
      </w:r>
      <w:r w:rsidR="00C45EDF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տեսուչների միասնական ռեեստրի ձ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="00C45EDF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ավորման 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="00C45EDF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վարման կանոնները։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color w:val="auto"/>
          <w:sz w:val="24"/>
          <w:szCs w:val="24"/>
        </w:rPr>
        <w:t>2.</w:t>
      </w:r>
      <w:r w:rsidR="004F3C9A" w:rsidRPr="00611BD4">
        <w:rPr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Սույն Կարգում օգտագործվող հասկացություններն ունեն հետ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յալ իմաստը՝</w:t>
      </w:r>
    </w:p>
    <w:p w:rsidR="00AC36B2" w:rsidRPr="00611BD4" w:rsidRDefault="00CA6244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«ռեեստր»՝ ընդհանուր տեղեկատվական ռեսուրս, որը պարունակում է տեղեկություններ Եվրասիական տնտեսական միության անդամ պետությունների</w:t>
      </w:r>
      <w:r w:rsidR="00463A1B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դեղագործական </w:t>
      </w:r>
      <w:r w:rsidR="00B912C2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գործունեությամբ զբաղվող 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տեսուչների միասնական ռեեստրի վերաբերյալ 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ձ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ավորվում է Եվրասիական տնտեսական միության ինտեգրված տեղեկատվական համակարգի </w:t>
      </w:r>
      <w:r w:rsidR="00231A5F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կիրառմամբ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՝ Եվրասիական տնտեսական միության անդամ պետությունների 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Եվրասիական տնտեսական հանձնաժողովի 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lastRenderedPageBreak/>
        <w:t>տեղեկատվական փոխգործակցության հիման վրա.</w:t>
      </w:r>
    </w:p>
    <w:p w:rsidR="00AC36B2" w:rsidRPr="00611BD4" w:rsidRDefault="00CA6244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«դեղագործական </w:t>
      </w:r>
      <w:r w:rsidR="009506DD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գործունեությամբ զբաղվող 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տեսուչ»՝ դեղագործական տեսչական ստուգում իրականացնելու լիազորություն ունեցող անձ։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3.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Ռեեստրի ձ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ավորման 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վարման նպատակն է դեղագործական </w:t>
      </w:r>
      <w:r w:rsidR="009506DD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գործունեությամբ զբաղվող 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տեսուչների վերաբերյալ տեղեկությունների հաշվառումը 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համակարգումը։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color w:val="auto"/>
          <w:sz w:val="24"/>
          <w:szCs w:val="24"/>
        </w:rPr>
        <w:t>4.</w:t>
      </w:r>
      <w:r w:rsidR="004F3C9A" w:rsidRPr="00611BD4">
        <w:rPr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Ռեեստրը ձ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ավորվում 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վարվում է Եվրասիական տնտեսական հանձնաժողովի կողմից</w:t>
      </w:r>
      <w:r w:rsidR="00362C08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(այսուհետ՝ Հանձնաժողով)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՝ Եվրասիական տնտեսական միության անդամ պետությունների՝ դեղամիջոցների շրջանառության ոլորտի լիազոր</w:t>
      </w:r>
      <w:r w:rsidR="003604BD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մարմինների (դեղագործական տեսչությունների) կողմից (այսուհետ՝ համապատասխանաբար, Միություն, անդամ պետություններ, լիազոր</w:t>
      </w:r>
      <w:r w:rsidR="003604BD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մարմիններ</w:t>
      </w:r>
      <w:r w:rsidR="009506DD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(դեղագործական տեսչություններ)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362C08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էլեկտրոնային տեսքով Հանձնաժողով ներկայացված տեղեկությունների հիման վրա։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color w:val="auto"/>
          <w:sz w:val="24"/>
          <w:szCs w:val="24"/>
        </w:rPr>
        <w:t>5.</w:t>
      </w:r>
      <w:r w:rsidR="004F3C9A" w:rsidRPr="00611BD4">
        <w:rPr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Լիազոր</w:t>
      </w:r>
      <w:r w:rsidR="002853A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մարմինների (դեղագործական տեսչությունների) 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Հանձնաժողովի միջ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տեղեկատվական փոխգործակցությունը ռեեստրի ձ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ավորման 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վարման գործընթացում իրականացվում է Միության շրջանակներում Միության ինտեգրված տեղեկատվական համակարգի (այսուհետ՝ ինտեգրված համակարգ) միջոցների ընդհանուր գործընթացի իրագործման միջոցով։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color w:val="auto"/>
          <w:sz w:val="24"/>
          <w:szCs w:val="24"/>
        </w:rPr>
        <w:t>6.</w:t>
      </w:r>
      <w:r w:rsidR="004F3C9A" w:rsidRPr="00611BD4">
        <w:rPr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Ռեեստրի ձ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ավորումը 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վարումը ներառում են լիազոր</w:t>
      </w:r>
      <w:r w:rsidR="003604BD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մարմիններից (դեղագործական տեսչություններից) Հանձնաժողովի՝ դեղագործական </w:t>
      </w:r>
      <w:r w:rsidR="009506DD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գործունեությամբ զբաղվող 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տեսուչների վերաբերյալ արդիական տեղեկությունների ստացումը, պահպանումը, ռեեստրի տեղեկությունների հրապարակումը </w:t>
      </w:r>
      <w:r w:rsidR="003604BD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«Ինտերնետ» տեղեկատվական-հեռահաղորդակցական ցանցում՝ 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Միության տեղեկատվական պորտալում, ինչպես նա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շահագրգիռ լիազոր</w:t>
      </w:r>
      <w:r w:rsidR="003604BD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մարմիններին (դեղագործական տեսչություններին) ռեեստրի տեղեկություններին </w:t>
      </w:r>
      <w:r w:rsidR="003604BD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հասանելիության 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տրամադրումը՝ ինտեգրված համակարգի միջոցների օգտագործմամբ։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color w:val="auto"/>
          <w:sz w:val="24"/>
          <w:szCs w:val="24"/>
        </w:rPr>
        <w:lastRenderedPageBreak/>
        <w:t>7.</w:t>
      </w:r>
      <w:r w:rsidR="004F3C9A" w:rsidRPr="00611BD4">
        <w:rPr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Լիազոր</w:t>
      </w:r>
      <w:r w:rsidR="003604BD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մարմինները (դեղագործական տեսչությունները) պատասխանատվություն են կրում դեղագործական </w:t>
      </w:r>
      <w:r w:rsidR="009506DD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գործունեությամբ զբաղվող 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տեսուչների վերաբերյալ ռեեստրում ներառ</w:t>
      </w:r>
      <w:r w:rsidR="003604BD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վելու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համար ներկայացվող տեղեկությունների հավաստիության համար։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Style w:val="Bodytext2TimesNewRoman"/>
          <w:rFonts w:ascii="Sylfaen" w:eastAsia="Sylfaen" w:hAnsi="Sylfaen"/>
          <w:color w:val="auto"/>
          <w:sz w:val="24"/>
          <w:szCs w:val="24"/>
        </w:rPr>
      </w:pPr>
      <w:r w:rsidRPr="00611BD4">
        <w:rPr>
          <w:color w:val="auto"/>
          <w:sz w:val="24"/>
          <w:szCs w:val="24"/>
        </w:rPr>
        <w:t>8.</w:t>
      </w:r>
      <w:r w:rsidR="004F3C9A" w:rsidRPr="00611BD4">
        <w:rPr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Ռեեստրի վարումն իրականացվում է ռուսերենով։</w:t>
      </w:r>
    </w:p>
    <w:p w:rsidR="00C45EDF" w:rsidRPr="00611BD4" w:rsidRDefault="00C45EDF" w:rsidP="00A540A3">
      <w:pPr>
        <w:pStyle w:val="Bodytext20"/>
        <w:shd w:val="clear" w:color="auto" w:fill="auto"/>
        <w:spacing w:after="160" w:line="360" w:lineRule="auto"/>
        <w:ind w:right="-8" w:firstLine="567"/>
        <w:jc w:val="center"/>
        <w:rPr>
          <w:rStyle w:val="Bodytext2TimesNewRoman"/>
          <w:rFonts w:ascii="Sylfaen" w:eastAsia="Sylfaen" w:hAnsi="Sylfaen"/>
          <w:color w:val="auto"/>
          <w:sz w:val="24"/>
          <w:szCs w:val="24"/>
        </w:rPr>
      </w:pPr>
    </w:p>
    <w:p w:rsidR="00AC36B2" w:rsidRPr="00611BD4" w:rsidRDefault="00C45EDF" w:rsidP="0090094A">
      <w:pPr>
        <w:pStyle w:val="Bodytext20"/>
        <w:shd w:val="clear" w:color="auto" w:fill="auto"/>
        <w:spacing w:after="160" w:line="360" w:lineRule="auto"/>
        <w:ind w:firstLine="567"/>
        <w:jc w:val="center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II. Ռեեստրում պարունակվող տեղեկությունների կազմը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color w:val="auto"/>
          <w:sz w:val="24"/>
          <w:szCs w:val="24"/>
        </w:rPr>
        <w:t>9.</w:t>
      </w:r>
      <w:r w:rsidR="004F3C9A" w:rsidRPr="00611BD4">
        <w:rPr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Ռեեստրը պարունակում </w:t>
      </w:r>
      <w:r w:rsidR="003604BD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է 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դեղագործական </w:t>
      </w:r>
      <w:r w:rsidR="009506DD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գործունեությամբ զբաղվող 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տեսուչների վերաբերյալ</w:t>
      </w:r>
      <w:r w:rsidR="00362C08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հրապարակման ենթակա հետ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յալ տեղեկությունները՝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ա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տեղեկությունները ռեեստրում ներառած անդամ պետության անվանումը,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բ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ազգանուն</w:t>
      </w:r>
      <w:r w:rsidR="00314F4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ը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, անուն</w:t>
      </w:r>
      <w:r w:rsidR="00314F4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ը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, հայրանուն</w:t>
      </w:r>
      <w:r w:rsidR="00314F4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ը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(առկայության դեպքում),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գ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կոնտակտային տեղեկություններ՝ հեռախոսի համարը 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էլեկտրոնային փոստի հասցեն (առկայության դեպքում),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դ)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բարձրագույն մասնագիտական կրթության առկայության վերաբերյալ տեղեկություններ,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ե)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մասնագիտության անվանումը՝ կրթության </w:t>
      </w:r>
      <w:r w:rsidR="00314F4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վերաբերյալ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դիպլոմին համապատասխան,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զ)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գիտական աստիճանի վերաբերյալ տեղեկություններ (առկայության դեպքում),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է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աշխատանքի վայրի վերաբերյալ տեղեկություններ՝</w:t>
      </w:r>
    </w:p>
    <w:p w:rsidR="00AC36B2" w:rsidRPr="00611BD4" w:rsidRDefault="00CA6244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իրավաբանական անձի լրիվ 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կրճատ անվանումները՝ անդամ պետության իրավաբանական անձանց ռեեստրում իրավաբանական անձի կազմակերպաիրավական ձ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ի 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եզակի նույնա</w:t>
      </w:r>
      <w:r w:rsidR="003604BD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կանա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ցուցչի նշմամբ,</w:t>
      </w:r>
    </w:p>
    <w:p w:rsidR="00AC36B2" w:rsidRPr="00611BD4" w:rsidRDefault="00CA6244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իրավաբանական անձի գտնվելու վայրը (հասցեն),</w:t>
      </w:r>
    </w:p>
    <w:p w:rsidR="004823B6" w:rsidRPr="00611BD4" w:rsidRDefault="00767164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lastRenderedPageBreak/>
        <w:t xml:space="preserve">կոնտակտային տեղեկություններ՝ իրավաբանական անձի հեռախոսի 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ֆաքսի համարները,</w:t>
      </w:r>
      <w:r w:rsidR="00314F4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</w:t>
      </w:r>
      <w:r w:rsidR="00CA624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էլեկտրոնային փոստի հասցեն (առկայության դեպքում),</w:t>
      </w:r>
    </w:p>
    <w:p w:rsidR="00AC36B2" w:rsidRPr="00611BD4" w:rsidRDefault="00CA6244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պաշտոնի անվանումը,</w:t>
      </w:r>
    </w:p>
    <w:p w:rsidR="00AC36B2" w:rsidRPr="00611BD4" w:rsidRDefault="00CA6244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ը)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դեղագործական տեսչական ստուգումների անցկացման հետ կապված գործունեության իրականացման մեկնարկի ամսաթիվը,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թ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դեղագործական տեսչական ստուգումների անցկացման հետ կապված գործունեության իրականացման ավարտի ամսաթիվը։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10</w:t>
      </w:r>
      <w:r w:rsidR="00314F4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.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Ռեեստրը պարունակում է դեղագործական </w:t>
      </w:r>
      <w:r w:rsidR="009506DD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գործունեությամբ զբաղվող 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տեսուչների վերաբերյալ</w:t>
      </w:r>
      <w:r w:rsidR="00314F4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հրապարակման ոչ ենթակա հետ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յալ տեղեկությունները, որոնք հասանելի են միայն լիազոր</w:t>
      </w:r>
      <w:r w:rsidR="003604BD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մարմիններին (դեղագործական տեսչություններին)՝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ա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ծննդյան ամսաթիվ</w:t>
      </w:r>
      <w:r w:rsidR="00314F4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ը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,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բ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քաղաքացիություն</w:t>
      </w:r>
      <w:r w:rsidR="00314F4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ը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,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գ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բնակության վայր</w:t>
      </w:r>
      <w:r w:rsidR="00314F4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ը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,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դ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բարձրագույն մասնագիտական կրթության վերաբերյալ տեղեկություններ՝ ուսումնական հաստատության անվանումը, ուսման սկիզբը 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ավարտը (ամսաթիվ), որակավորումը (աստիճան), բարձրագույն մասնագիտական կրթության վերաբերյալ փաստաթղթի անվանումը, սերիան 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համարը,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cs="Times New Roman"/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ե)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լրացուցիչ կրթության վերաբերյալ տեղեկություններ՝ </w:t>
      </w:r>
    </w:p>
    <w:p w:rsidR="00AC36B2" w:rsidRPr="00611BD4" w:rsidRDefault="00CA6244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ուսումնական հաստատության անվանումը, ուսման սկիզբը 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ավարտը (ամսաթիվ), մասնագիտության անվանումը՝ լրացուցիչ կրթության վերաբերյալ փաստաթղթին համապատասխան, որակավորում</w:t>
      </w:r>
      <w:r w:rsidR="00314F4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ը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(աստիճան), լրացուցիչ կրթության վերաբերյալ փաստաթղթի անվանումը, սերիան 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համարը,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զ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մասնագիտացում</w:t>
      </w:r>
      <w:r w:rsidR="00314F4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ը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՝ նշելով պատշաճ դեղագործական գործելակերպերը, որոնց համապատասխան դեղագործական </w:t>
      </w:r>
      <w:r w:rsidR="009506DD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գործունեությամբ զբաղվող 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տեսուչը լիազորված է անցկացնել տեսչական ստուգում</w:t>
      </w:r>
      <w:r w:rsidR="00314F4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,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lastRenderedPageBreak/>
        <w:t>է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վերջին պաշտոնի աշխատանքային գործունեության վերաբերյալ տեղեկություններ՝</w:t>
      </w:r>
    </w:p>
    <w:p w:rsidR="00AC36B2" w:rsidRPr="00611BD4" w:rsidRDefault="00CA6244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աշխատանքի ընդունման ամսաթիվը,</w:t>
      </w:r>
    </w:p>
    <w:p w:rsidR="00AC36B2" w:rsidRPr="00611BD4" w:rsidRDefault="00683A2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ազատման </w:t>
      </w:r>
      <w:r w:rsidR="00CA624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ամսաթիվը,</w:t>
      </w:r>
    </w:p>
    <w:p w:rsidR="00AC36B2" w:rsidRPr="00611BD4" w:rsidRDefault="00CA6244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ը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դեղամիջոցների շրջանառության ոլորտում գործող կազմակերպությունների (այդ թվում</w:t>
      </w:r>
      <w:r w:rsidR="00314F4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առողջապահական կազմակերպությունների) գնահատման բնագավառում աշխատանքային փորձ</w:t>
      </w:r>
      <w:r w:rsidR="00314F4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ը</w:t>
      </w:r>
      <w:r w:rsidR="00884DB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պատշաճ դեղագործական գործելակերպերի պահանջներին դրանց համապատասխանությ</w:t>
      </w:r>
      <w:r w:rsidR="00884DB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ու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ն</w:t>
      </w:r>
      <w:r w:rsidR="00884DB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ը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որոշ</w:t>
      </w:r>
      <w:r w:rsidR="00884DB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ելու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նպատակով։</w:t>
      </w:r>
    </w:p>
    <w:p w:rsidR="00C45EDF" w:rsidRPr="00611BD4" w:rsidRDefault="00C45EDF" w:rsidP="00A540A3">
      <w:pPr>
        <w:pStyle w:val="Bodytext20"/>
        <w:shd w:val="clear" w:color="auto" w:fill="auto"/>
        <w:spacing w:after="160" w:line="360" w:lineRule="auto"/>
        <w:ind w:right="-8" w:firstLine="567"/>
        <w:jc w:val="center"/>
        <w:rPr>
          <w:rStyle w:val="Bodytext2TimesNewRoman"/>
          <w:rFonts w:ascii="Sylfaen" w:eastAsia="Sylfaen" w:hAnsi="Sylfaen"/>
          <w:color w:val="auto"/>
          <w:sz w:val="24"/>
          <w:szCs w:val="24"/>
        </w:rPr>
      </w:pPr>
    </w:p>
    <w:p w:rsidR="00AC36B2" w:rsidRPr="00611BD4" w:rsidRDefault="00CA6244" w:rsidP="0090094A">
      <w:pPr>
        <w:pStyle w:val="Bodytext20"/>
        <w:shd w:val="clear" w:color="auto" w:fill="auto"/>
        <w:spacing w:after="160" w:line="360" w:lineRule="auto"/>
        <w:ind w:firstLine="567"/>
        <w:jc w:val="center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III. Ռեեստր</w:t>
      </w:r>
      <w:r w:rsidR="00884DB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ը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վար</w:t>
      </w:r>
      <w:r w:rsidR="00884DB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ելու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կարգը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11</w:t>
      </w:r>
      <w:r w:rsidR="00314F4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.</w:t>
      </w:r>
      <w:r w:rsidR="004F3C9A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Լիազոր</w:t>
      </w:r>
      <w:r w:rsidR="002853A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մարմնի (դեղագործական տեսչության) կողմից անձին դեղագործական </w:t>
      </w:r>
      <w:r w:rsidR="000B6533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գործունեությամբ զբաղվող 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տեսուչ նշանակելու վերաբերյալ որոշման կայացումից հետո այդ անձի վերաբերյալ տեղեկությունները լիազոր</w:t>
      </w:r>
      <w:r w:rsidR="00884DB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մարմնի (դեղագործական տեսչության) կողմից փոխանցվում են Հանձնաժողով՝ ռեեստրում ընդգրկելու համար։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color w:val="auto"/>
          <w:sz w:val="24"/>
          <w:szCs w:val="24"/>
        </w:rPr>
        <w:t>12.</w:t>
      </w:r>
      <w:r w:rsidR="004F3C9A" w:rsidRPr="00611BD4">
        <w:rPr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Դեղագործական </w:t>
      </w:r>
      <w:r w:rsidR="000B6533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գործունեությամբ զբաղվող 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տեսուչի վերաբերյալ</w:t>
      </w:r>
      <w:r w:rsidR="000B32D1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ռեեստրում ընդգրկման ենթակա տեղեկությունների փոփոխման դեպքում դրանք դեղագործական </w:t>
      </w:r>
      <w:r w:rsidR="000B6533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գործունեությամբ զբաղվող 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տեսուչի վերաբերյալ տեղեկությունները ռեեստրում ներառելու մասին որոշում կայացրած լիազոր</w:t>
      </w:r>
      <w:r w:rsidR="00884DB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մարմնի (դեղագործական տեսչության) կողմից փոխանցվում են Հանձնաժողով ռեեստրի արդիականացման նպատակով՝ ինտեգրված համակարգի միջոցների օգտագործմամբ։ Ընդ որում</w:t>
      </w:r>
      <w:r w:rsidR="006837A8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,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արդիականությունը կորցրած տեղեկությունները ենթակա են արխիվային պահպանման՝ լիազոր</w:t>
      </w:r>
      <w:r w:rsidR="002853A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մարմիններին (դեղագործական տեսչություններին) </w:t>
      </w:r>
      <w:r w:rsidR="006837A8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դրանց 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հասանելիության ապահովմամբ</w:t>
      </w:r>
      <w:r w:rsidR="006837A8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10 տարվա ընթացքում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։</w:t>
      </w:r>
    </w:p>
    <w:p w:rsidR="00AC36B2" w:rsidRPr="00611BD4" w:rsidRDefault="004F3C9A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13.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="00C45EDF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Դեղագործական </w:t>
      </w:r>
      <w:r w:rsidR="000B6533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գործունեությամբ զբաղվող </w:t>
      </w:r>
      <w:r w:rsidR="00C45EDF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տեսուչի գործունեության </w:t>
      </w:r>
      <w:r w:rsidR="00C45EDF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lastRenderedPageBreak/>
        <w:t>դադարեցման վերաբերյալ տեղեկությունները փոխանցվում են լիազոր</w:t>
      </w:r>
      <w:r w:rsidR="002853A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="00C45EDF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մարմնի (դեղագործական տեսչության) կողմից Հանձնաժողով՝ ռեեստրից 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="00C45EDF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հետագա արխիվային պահպանումից բացառելու համար՝ լիազոր</w:t>
      </w:r>
      <w:r w:rsidR="002853A4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="00C45EDF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մարմինների</w:t>
      </w:r>
      <w:r w:rsidR="006837A8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ն</w:t>
      </w:r>
      <w:r w:rsidR="00C45EDF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(դեղագործական տեսչությունների</w:t>
      </w:r>
      <w:r w:rsidR="006837A8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ն</w:t>
      </w:r>
      <w:r w:rsidR="00C45EDF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) </w:t>
      </w:r>
      <w:r w:rsidR="006837A8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դրանց հասանելիության ապահովմամբ </w:t>
      </w:r>
      <w:r w:rsidR="00C45EDF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10 տարվա ընթացքում։</w:t>
      </w:r>
    </w:p>
    <w:p w:rsidR="00C45EDF" w:rsidRPr="00611BD4" w:rsidRDefault="00C45EDF" w:rsidP="0090094A">
      <w:pPr>
        <w:pStyle w:val="Bodytext20"/>
        <w:shd w:val="clear" w:color="auto" w:fill="auto"/>
        <w:spacing w:after="160" w:line="360" w:lineRule="auto"/>
        <w:ind w:left="140" w:firstLine="0"/>
        <w:jc w:val="center"/>
        <w:rPr>
          <w:rStyle w:val="Bodytext2TimesNewRoman"/>
          <w:rFonts w:ascii="Sylfaen" w:eastAsia="Sylfaen" w:hAnsi="Sylfaen"/>
          <w:color w:val="auto"/>
          <w:sz w:val="24"/>
          <w:szCs w:val="24"/>
        </w:rPr>
      </w:pPr>
    </w:p>
    <w:p w:rsidR="00AC36B2" w:rsidRPr="00611BD4" w:rsidRDefault="00CA6244" w:rsidP="0090094A">
      <w:pPr>
        <w:pStyle w:val="Bodytext20"/>
        <w:shd w:val="clear" w:color="auto" w:fill="auto"/>
        <w:spacing w:after="160" w:line="360" w:lineRule="auto"/>
        <w:ind w:left="140" w:firstLine="567"/>
        <w:jc w:val="center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IV. Ռեեստրում պարունակվող տեղեկությունների նկատմամբ հասանելիությունը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color w:val="auto"/>
          <w:sz w:val="24"/>
          <w:szCs w:val="24"/>
        </w:rPr>
        <w:t>14.</w:t>
      </w:r>
      <w:r w:rsidR="004F3C9A" w:rsidRPr="00611BD4">
        <w:rPr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Դեղագործական </w:t>
      </w:r>
      <w:r w:rsidR="000B6533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գործունեությամբ զբաղվող 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տեսուչի վերաբերյալ</w:t>
      </w:r>
      <w:r w:rsidR="006837A8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հրապարակման ենթակա տեղեկությունների նկատմամբ շահագրգիռ անձանց հասանելիությունն իրականացվում է </w:t>
      </w:r>
      <w:r w:rsidR="00E36B0D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«Ինտերնետ» տեղեկատվական-</w:t>
      </w:r>
      <w:r w:rsidR="006837A8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հեռա</w:t>
      </w:r>
      <w:r w:rsidR="00E36B0D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հաղորդակցական ցանցում՝ 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Միության տեղեկատվական պորտալի միջոցների օգտագործմամբ։</w:t>
      </w:r>
    </w:p>
    <w:p w:rsidR="00AC36B2" w:rsidRPr="00611BD4" w:rsidRDefault="00CA6244" w:rsidP="00A540A3">
      <w:pPr>
        <w:pStyle w:val="Bodytext20"/>
        <w:shd w:val="clear" w:color="auto" w:fill="auto"/>
        <w:tabs>
          <w:tab w:val="left" w:pos="0"/>
          <w:tab w:val="left" w:pos="851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Այդպիսի մուտքը տրամադրվում է անհատույց, շուրջօրյա ռեժիմով՝ տեխնոլոգիական պրոֆիլակտիկ ընդհատումների 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կանոնակարգային աշխատանքների անցկացման ընդհատումների հաշվառմամբ։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0"/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color w:val="auto"/>
          <w:sz w:val="24"/>
          <w:szCs w:val="24"/>
        </w:rPr>
        <w:t>15.</w:t>
      </w:r>
      <w:r w:rsidR="004F3C9A" w:rsidRPr="00611BD4">
        <w:rPr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Դեղագործական տեսուչի վերաբերյալ</w:t>
      </w:r>
      <w:r w:rsidR="009F18D9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հրապարակման ոչ ենթակա տեղեկությունների տրամադրումը շահագրգիռ անձանց իրականացվում է լիազոր</w:t>
      </w:r>
      <w:r w:rsidR="00F70297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մարմնի (դեղագործական տեսչության) կողմից անդամ պետության օրենսդրությամբ սահմանված կարգով, այդ թվում՝ անձնական տվյալների 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գաղտնի տեղեկատվության պաշտպանության ոլորտում։</w:t>
      </w:r>
    </w:p>
    <w:p w:rsidR="00AC36B2" w:rsidRPr="00611BD4" w:rsidRDefault="00C45EDF" w:rsidP="00A540A3">
      <w:pPr>
        <w:pStyle w:val="Bodytext20"/>
        <w:shd w:val="clear" w:color="auto" w:fill="auto"/>
        <w:tabs>
          <w:tab w:val="left" w:pos="0"/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611BD4">
        <w:rPr>
          <w:color w:val="auto"/>
          <w:sz w:val="24"/>
          <w:szCs w:val="24"/>
        </w:rPr>
        <w:t>16.</w:t>
      </w:r>
      <w:r w:rsidR="004F3C9A" w:rsidRPr="00611BD4">
        <w:rPr>
          <w:color w:val="auto"/>
          <w:sz w:val="24"/>
          <w:szCs w:val="24"/>
        </w:rPr>
        <w:tab/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Հանձնաժողովը ռեեստրի ձ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ավորման </w:t>
      </w:r>
      <w:r w:rsidR="001B461C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եւ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վարման շրջանակներում ապահովում է դեղագործական տեսուչի վերաբերյալ</w:t>
      </w:r>
      <w:r w:rsidR="009F18D9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հրապարակման ոչ ենթակա տեղեկությունների պաշտպանությունը </w:t>
      </w:r>
      <w:r w:rsidR="00994A1E"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չարտոնված </w:t>
      </w:r>
      <w:r w:rsidRPr="00611BD4">
        <w:rPr>
          <w:rStyle w:val="Bodytext2TimesNewRoman"/>
          <w:rFonts w:ascii="Sylfaen" w:eastAsia="Sylfaen" w:hAnsi="Sylfaen"/>
          <w:color w:val="auto"/>
          <w:sz w:val="24"/>
          <w:szCs w:val="24"/>
        </w:rPr>
        <w:t>մուտքից։</w:t>
      </w:r>
    </w:p>
    <w:sectPr w:rsidR="00AC36B2" w:rsidRPr="00611BD4" w:rsidSect="00A540A3">
      <w:headerReference w:type="even" r:id="rId8"/>
      <w:headerReference w:type="default" r:id="rId9"/>
      <w:pgSz w:w="11900" w:h="16840" w:code="9"/>
      <w:pgMar w:top="1418" w:right="1418" w:bottom="1418" w:left="1418" w:header="426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043" w:rsidRDefault="001D6043" w:rsidP="00AC36B2">
      <w:r>
        <w:separator/>
      </w:r>
    </w:p>
  </w:endnote>
  <w:endnote w:type="continuationSeparator" w:id="0">
    <w:p w:rsidR="001D6043" w:rsidRDefault="001D6043" w:rsidP="00AC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043" w:rsidRDefault="001D6043"/>
  </w:footnote>
  <w:footnote w:type="continuationSeparator" w:id="0">
    <w:p w:rsidR="001D6043" w:rsidRDefault="001D60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0692"/>
      <w:docPartObj>
        <w:docPartGallery w:val="Page Numbers (Top of Page)"/>
        <w:docPartUnique/>
      </w:docPartObj>
    </w:sdtPr>
    <w:sdtEndPr/>
    <w:sdtContent>
      <w:p w:rsidR="008D2A0F" w:rsidRDefault="001D60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2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D2A0F" w:rsidRDefault="008D2A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0693"/>
      <w:docPartObj>
        <w:docPartGallery w:val="Page Numbers (Top of Page)"/>
        <w:docPartUnique/>
      </w:docPartObj>
    </w:sdtPr>
    <w:sdtEndPr/>
    <w:sdtContent>
      <w:p w:rsidR="008D2A0F" w:rsidRDefault="001D60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2B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D2A0F" w:rsidRPr="00973208" w:rsidRDefault="008D2A0F" w:rsidP="009732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5D90"/>
    <w:multiLevelType w:val="multilevel"/>
    <w:tmpl w:val="66A2D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5E0A41"/>
    <w:multiLevelType w:val="multilevel"/>
    <w:tmpl w:val="2124A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C36B2"/>
    <w:rsid w:val="00041E37"/>
    <w:rsid w:val="0007068B"/>
    <w:rsid w:val="000B32D1"/>
    <w:rsid w:val="000B6533"/>
    <w:rsid w:val="000C6354"/>
    <w:rsid w:val="00122459"/>
    <w:rsid w:val="00143C6A"/>
    <w:rsid w:val="00156553"/>
    <w:rsid w:val="00164002"/>
    <w:rsid w:val="00181E53"/>
    <w:rsid w:val="001B461C"/>
    <w:rsid w:val="001D6043"/>
    <w:rsid w:val="00231A5F"/>
    <w:rsid w:val="00261093"/>
    <w:rsid w:val="002853A4"/>
    <w:rsid w:val="0029337F"/>
    <w:rsid w:val="002A417E"/>
    <w:rsid w:val="00314F44"/>
    <w:rsid w:val="00333DBF"/>
    <w:rsid w:val="00346F2C"/>
    <w:rsid w:val="003604BD"/>
    <w:rsid w:val="00362C08"/>
    <w:rsid w:val="00376812"/>
    <w:rsid w:val="003958A5"/>
    <w:rsid w:val="00463A1B"/>
    <w:rsid w:val="004823B6"/>
    <w:rsid w:val="004F1D79"/>
    <w:rsid w:val="004F3C9A"/>
    <w:rsid w:val="005D22B9"/>
    <w:rsid w:val="005D68AC"/>
    <w:rsid w:val="005F6B22"/>
    <w:rsid w:val="00611BD4"/>
    <w:rsid w:val="00663C28"/>
    <w:rsid w:val="006837A8"/>
    <w:rsid w:val="00683A2F"/>
    <w:rsid w:val="0068768F"/>
    <w:rsid w:val="00753E83"/>
    <w:rsid w:val="00762BC4"/>
    <w:rsid w:val="00767164"/>
    <w:rsid w:val="007A0923"/>
    <w:rsid w:val="00884DB4"/>
    <w:rsid w:val="008D2A0F"/>
    <w:rsid w:val="0090094A"/>
    <w:rsid w:val="00922DAB"/>
    <w:rsid w:val="00926B39"/>
    <w:rsid w:val="009506DD"/>
    <w:rsid w:val="00973208"/>
    <w:rsid w:val="00994A1E"/>
    <w:rsid w:val="009E48AD"/>
    <w:rsid w:val="009F18D9"/>
    <w:rsid w:val="00A02AD5"/>
    <w:rsid w:val="00A50FC8"/>
    <w:rsid w:val="00A540A3"/>
    <w:rsid w:val="00A7211F"/>
    <w:rsid w:val="00A876E6"/>
    <w:rsid w:val="00A92211"/>
    <w:rsid w:val="00AC36B2"/>
    <w:rsid w:val="00AF15BC"/>
    <w:rsid w:val="00B12FA8"/>
    <w:rsid w:val="00B912C2"/>
    <w:rsid w:val="00C1023C"/>
    <w:rsid w:val="00C433BB"/>
    <w:rsid w:val="00C45EDF"/>
    <w:rsid w:val="00C53AFB"/>
    <w:rsid w:val="00CA6244"/>
    <w:rsid w:val="00CA645D"/>
    <w:rsid w:val="00D13C49"/>
    <w:rsid w:val="00D56EE4"/>
    <w:rsid w:val="00D74EFB"/>
    <w:rsid w:val="00D75B89"/>
    <w:rsid w:val="00DA614F"/>
    <w:rsid w:val="00DC5DFE"/>
    <w:rsid w:val="00DE610D"/>
    <w:rsid w:val="00E36B0D"/>
    <w:rsid w:val="00ED5FCA"/>
    <w:rsid w:val="00F07BDB"/>
    <w:rsid w:val="00F535E9"/>
    <w:rsid w:val="00F7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36B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36B2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C36B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TimesNewRoman">
    <w:name w:val="Body text (3) + Times New Roman"/>
    <w:aliases w:val="Small Caps"/>
    <w:basedOn w:val="Bodytext3"/>
    <w:rsid w:val="00AC36B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AC36B2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TimesNewRoman">
    <w:name w:val="Heading #1 + Times New Roman"/>
    <w:aliases w:val="18 pt,Bold"/>
    <w:basedOn w:val="Heading1"/>
    <w:rsid w:val="00AC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AC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AC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C36B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TimesNewRoman">
    <w:name w:val="Body text (2) + Times New Roman"/>
    <w:aliases w:val="15 pt"/>
    <w:basedOn w:val="Bodytext2"/>
    <w:rsid w:val="00AC3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enturyGothic">
    <w:name w:val="Body text (2) + Century Gothic"/>
    <w:aliases w:val="13 pt,Bold"/>
    <w:basedOn w:val="Bodytext2"/>
    <w:rsid w:val="00AC36B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TimesNewRoman0">
    <w:name w:val="Body text (2) + Times New Roman"/>
    <w:basedOn w:val="Bodytext2"/>
    <w:rsid w:val="00AC3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TimesNewRoman0">
    <w:name w:val="Body text (3) + Times New Roman"/>
    <w:basedOn w:val="Bodytext3"/>
    <w:rsid w:val="00AC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Impact">
    <w:name w:val="Body text (2) + Impact"/>
    <w:aliases w:val="16 pt,Spacing -1 pt"/>
    <w:basedOn w:val="Bodytext2"/>
    <w:rsid w:val="00AC36B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</w:rPr>
  </w:style>
  <w:style w:type="character" w:customStyle="1" w:styleId="Bodytext2TimesNewRoman1">
    <w:name w:val="Body text (2) + Times New Roman"/>
    <w:aliases w:val="15 pt,Spacing 2 pt"/>
    <w:basedOn w:val="Bodytext2"/>
    <w:rsid w:val="00AC3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Verdana">
    <w:name w:val="Body text (2) + Verdana"/>
    <w:aliases w:val="8.5 pt,Bold"/>
    <w:basedOn w:val="Bodytext2"/>
    <w:rsid w:val="00AC36B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AC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TimesNewRoman2">
    <w:name w:val="Body text (2) + Times New Roman"/>
    <w:aliases w:val="13 pt,Bold"/>
    <w:basedOn w:val="Bodytext2"/>
    <w:rsid w:val="00AC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AC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Spacing2pt">
    <w:name w:val="Body text (6) + Spacing 2 pt"/>
    <w:basedOn w:val="Bodytext6"/>
    <w:rsid w:val="00AC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C36B2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C36B2"/>
    <w:pPr>
      <w:shd w:val="clear" w:color="auto" w:fill="FFFFFF"/>
      <w:spacing w:before="120" w:after="1020" w:line="0" w:lineRule="atLeast"/>
      <w:jc w:val="center"/>
      <w:outlineLvl w:val="0"/>
    </w:pPr>
    <w:rPr>
      <w:sz w:val="38"/>
      <w:szCs w:val="38"/>
    </w:rPr>
  </w:style>
  <w:style w:type="paragraph" w:customStyle="1" w:styleId="Tablecaption20">
    <w:name w:val="Table caption (2)"/>
    <w:basedOn w:val="Normal"/>
    <w:link w:val="Tablecaption2"/>
    <w:rsid w:val="00AC36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C36B2"/>
    <w:pPr>
      <w:shd w:val="clear" w:color="auto" w:fill="FFFFFF"/>
      <w:spacing w:line="0" w:lineRule="atLeast"/>
      <w:ind w:hanging="720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AC36B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60">
    <w:name w:val="Body text (6)"/>
    <w:basedOn w:val="Normal"/>
    <w:link w:val="Bodytext6"/>
    <w:rsid w:val="00AC36B2"/>
    <w:pPr>
      <w:shd w:val="clear" w:color="auto" w:fill="FFFFFF"/>
      <w:spacing w:before="1020" w:line="34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59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320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208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97320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20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43</cp:revision>
  <dcterms:created xsi:type="dcterms:W3CDTF">2016-03-21T07:45:00Z</dcterms:created>
  <dcterms:modified xsi:type="dcterms:W3CDTF">2017-01-26T06:09:00Z</dcterms:modified>
</cp:coreProperties>
</file>