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CC" w:rsidRDefault="009E2ACC" w:rsidP="009E2ACC">
      <w:pPr>
        <w:pStyle w:val="Bodytext20"/>
        <w:shd w:val="clear" w:color="auto" w:fill="auto"/>
        <w:spacing w:before="0" w:after="160" w:line="360" w:lineRule="auto"/>
        <w:ind w:right="520"/>
        <w:jc w:val="right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Նախագիծ</w:t>
      </w:r>
    </w:p>
    <w:p w:rsidR="009E2ACC" w:rsidRDefault="009E2ACC" w:rsidP="009E2ACC">
      <w:pPr>
        <w:pStyle w:val="Bodytext20"/>
        <w:shd w:val="clear" w:color="auto" w:fill="auto"/>
        <w:spacing w:before="0" w:after="160" w:line="360" w:lineRule="auto"/>
        <w:ind w:right="520"/>
        <w:jc w:val="right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110"/>
        <w:shd w:val="clear" w:color="auto" w:fill="auto"/>
        <w:spacing w:after="160" w:line="360" w:lineRule="auto"/>
        <w:ind w:left="80"/>
        <w:rPr>
          <w:rFonts w:ascii="Sylfaen" w:hAnsi="Sylfaen"/>
          <w:sz w:val="24"/>
          <w:szCs w:val="24"/>
        </w:rPr>
      </w:pPr>
      <w:r w:rsidRPr="00245BE1">
        <w:rPr>
          <w:rStyle w:val="Bodytext11Spacing2pt"/>
          <w:rFonts w:ascii="Sylfaen" w:hAnsi="Sylfaen"/>
          <w:b/>
          <w:sz w:val="24"/>
          <w:szCs w:val="24"/>
        </w:rPr>
        <w:t>ՀԱՄԱՁԱՅՆԱԳԻՐ</w:t>
      </w:r>
    </w:p>
    <w:p w:rsidR="009E2ACC" w:rsidRPr="00245BE1" w:rsidRDefault="009E2ACC" w:rsidP="009E2ACC">
      <w:pPr>
        <w:pStyle w:val="Bodytext110"/>
        <w:shd w:val="clear" w:color="auto" w:fill="auto"/>
        <w:spacing w:after="160" w:line="360" w:lineRule="auto"/>
        <w:ind w:left="80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Ծառայողական ու քաղաքացիական զենքը Եվրասիական տնտեսական միության անդամ պետությունների միջ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տեղափոխելու մասին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left="440" w:right="520" w:firstLine="740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Եվրասիական տնտեսական միության անդամ պետությունները` ի դեմս կառավարությունների, այսուհետ՝ անդամ պետություններ՝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sz w:val="24"/>
          <w:szCs w:val="24"/>
        </w:rPr>
        <w:t>հիմնվելով</w:t>
      </w:r>
      <w:proofErr w:type="gramEnd"/>
      <w:r w:rsidRPr="00245BE1">
        <w:rPr>
          <w:rFonts w:ascii="Sylfaen" w:hAnsi="Sylfaen"/>
          <w:sz w:val="24"/>
          <w:szCs w:val="24"/>
        </w:rPr>
        <w:t xml:space="preserve"> «Եվրասիական տնտեսական միության մասին» 2014 թվականի մայիսի 29-ի պայմանագրի վրա,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sz w:val="24"/>
          <w:szCs w:val="24"/>
        </w:rPr>
        <w:t>ցանկանալով</w:t>
      </w:r>
      <w:proofErr w:type="gramEnd"/>
      <w:r w:rsidRPr="00245BE1">
        <w:rPr>
          <w:rFonts w:ascii="Sylfaen" w:hAnsi="Sylfaen"/>
          <w:sz w:val="24"/>
          <w:szCs w:val="24"/>
        </w:rPr>
        <w:t xml:space="preserve"> նպաստել համագործակցության տարբեր ոլորտներում հավասարակշռված փոխշահավետ հարաբերությունների զարգացմանը,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sz w:val="24"/>
          <w:szCs w:val="24"/>
        </w:rPr>
        <w:t>ձգտելով</w:t>
      </w:r>
      <w:proofErr w:type="gramEnd"/>
      <w:r w:rsidRPr="00245BE1">
        <w:rPr>
          <w:rFonts w:ascii="Sylfaen" w:hAnsi="Sylfaen"/>
          <w:sz w:val="24"/>
          <w:szCs w:val="24"/>
        </w:rPr>
        <w:t xml:space="preserve"> ստեղծել բարենպաստ պայմաններ Եվրասիական տնտեսական միության (այսուհետ՝ Միություն) արդյունավետ գործունեության համար՝ համաձայնեցին հետ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>յալի մասին.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1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520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Սույն Համաձայնագրի նպատակներով գործածվում են հետ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>յալ հասկացությունները՝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b/>
          <w:sz w:val="24"/>
          <w:szCs w:val="24"/>
        </w:rPr>
        <w:t>ներքին</w:t>
      </w:r>
      <w:proofErr w:type="gramEnd"/>
      <w:r w:rsidRPr="00245BE1">
        <w:rPr>
          <w:rFonts w:ascii="Sylfaen" w:hAnsi="Sylfaen"/>
          <w:b/>
          <w:sz w:val="24"/>
          <w:szCs w:val="24"/>
        </w:rPr>
        <w:t xml:space="preserve"> տարանցում</w:t>
      </w:r>
      <w:r w:rsidRPr="00245BE1">
        <w:rPr>
          <w:rFonts w:ascii="Sylfaen" w:hAnsi="Sylfaen"/>
          <w:sz w:val="24"/>
          <w:szCs w:val="24"/>
        </w:rPr>
        <w:t xml:space="preserve">՝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ներմուծում (արտահանում) մեկ անդամ պետության տարածք այլ անդամ պետության տարածքից երրորդ անդամ պետության տարածքով, ինչպես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ներմուծում (արտահանում) մեկ անդամ պետության տարածքի մի մասից մյուսը այլ անդամ պետության տարածքով.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b/>
          <w:sz w:val="24"/>
          <w:szCs w:val="24"/>
        </w:rPr>
        <w:lastRenderedPageBreak/>
        <w:t>հայտատու</w:t>
      </w:r>
      <w:proofErr w:type="gramEnd"/>
      <w:r w:rsidRPr="00245BE1">
        <w:rPr>
          <w:rFonts w:ascii="Sylfaen" w:hAnsi="Sylfaen"/>
          <w:sz w:val="24"/>
          <w:szCs w:val="24"/>
        </w:rPr>
        <w:t>՝ թույլատրագիր ստանալու դիմում ներկայացրած իրավաբանական անձ կամ ֆիզիկական անձ, այդ թվում՝ որպես անհատ ձեռնարկատեր գրանցված.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b/>
          <w:sz w:val="24"/>
          <w:szCs w:val="24"/>
        </w:rPr>
        <w:t>իրավասու</w:t>
      </w:r>
      <w:proofErr w:type="gramEnd"/>
      <w:r w:rsidRPr="00245BE1">
        <w:rPr>
          <w:rFonts w:ascii="Sylfaen" w:hAnsi="Sylfaen"/>
          <w:b/>
          <w:sz w:val="24"/>
          <w:szCs w:val="24"/>
        </w:rPr>
        <w:t xml:space="preserve"> մարմին</w:t>
      </w:r>
      <w:r w:rsidRPr="00245BE1">
        <w:rPr>
          <w:rFonts w:ascii="Sylfaen" w:hAnsi="Sylfaen"/>
          <w:sz w:val="24"/>
          <w:szCs w:val="24"/>
        </w:rPr>
        <w:t>՝ տվյալ պետության օրենսդրությանը համապատասխան թույլատրագրեր տրամադրելու համար լիազորված՝ անդամ պետության մարմին.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b/>
          <w:sz w:val="24"/>
          <w:szCs w:val="24"/>
        </w:rPr>
        <w:t>տեղափոխում</w:t>
      </w:r>
      <w:proofErr w:type="gramEnd"/>
      <w:r w:rsidRPr="00245BE1">
        <w:rPr>
          <w:rFonts w:ascii="Sylfaen" w:hAnsi="Sylfaen"/>
          <w:sz w:val="24"/>
          <w:szCs w:val="24"/>
        </w:rPr>
        <w:t xml:space="preserve">՝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ներմուծում (արտահանում) մեկ անդամ պետության տարածք մյուս անդամ պետության տարածքից.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b/>
          <w:sz w:val="24"/>
          <w:szCs w:val="24"/>
        </w:rPr>
        <w:t>թույլատրագիր</w:t>
      </w:r>
      <w:proofErr w:type="gramEnd"/>
      <w:r w:rsidRPr="00245BE1">
        <w:rPr>
          <w:rFonts w:ascii="Sylfaen" w:hAnsi="Sylfaen"/>
          <w:sz w:val="24"/>
          <w:szCs w:val="24"/>
        </w:rPr>
        <w:t xml:space="preserve">՝ անդամ պետության օրենսդրությանը համապատասխան այդ պետության իրավասու մարմնի կողմից տրամադրվող փաստաթուղթ, որով հաստատվում է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տեղափոխման ու ներքին տարանցման իրավունքը.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b/>
          <w:sz w:val="24"/>
          <w:szCs w:val="24"/>
        </w:rPr>
        <w:t xml:space="preserve">ծառայողական </w:t>
      </w:r>
      <w:r>
        <w:rPr>
          <w:rFonts w:ascii="Sylfaen" w:hAnsi="Sylfaen"/>
          <w:b/>
          <w:sz w:val="24"/>
          <w:szCs w:val="24"/>
        </w:rPr>
        <w:t>եւ</w:t>
      </w:r>
      <w:r w:rsidRPr="00245BE1">
        <w:rPr>
          <w:rFonts w:ascii="Sylfaen" w:hAnsi="Sylfaen"/>
          <w:b/>
          <w:sz w:val="24"/>
          <w:szCs w:val="24"/>
        </w:rPr>
        <w:t xml:space="preserve"> (կամ) քաղաքացիական զենք</w:t>
      </w:r>
      <w:r w:rsidRPr="00245BE1">
        <w:rPr>
          <w:rFonts w:ascii="Sylfaen" w:hAnsi="Sylfaen"/>
          <w:sz w:val="24"/>
          <w:szCs w:val="24"/>
        </w:rPr>
        <w:t xml:space="preserve">՝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զենք, դրա հիմնական (բաղկացուցիչ) մասերը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դրա համար նախատեսված փամփուշտները, ինչպես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համապատասխան՝ մշակութային արժեք ունեցող զենքը, որոնք նշված են այն Ապրանքների միասնական ցանկի 1.6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2.22 բաժիններում, որոնց նկատմամբ երրորդ երկրների հետ առ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տրում կիրառվում են ոչ սակագնային կարգավորման միջոցներ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որոնք հաշվառման մեջ են գտնվում անդամ պետություններից մեկում: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Սույն Համաձայնագրում օգտագործվող այլ հասկացություններ կիրառվում են «Եվրասիական տնտեսական միության մասին» 2014 թվականի մայիսի 29-ի պայմանագրով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Միության շրջանակներում կնքված միջազգային պայմանագրերով սահմանված իմաստներով: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left="80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2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567"/>
          <w:tab w:val="left" w:pos="709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Սույն Համաձայնագրով կարգավորվում են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</w:t>
      </w:r>
      <w:r w:rsidRPr="00245BE1">
        <w:rPr>
          <w:rFonts w:ascii="Sylfaen" w:hAnsi="Sylfaen"/>
          <w:sz w:val="24"/>
          <w:szCs w:val="24"/>
        </w:rPr>
        <w:lastRenderedPageBreak/>
        <w:t>քաղաքացիական զենքի տեղափոխման ու ներքին տարանցման հետ կապված հարաբերությունները, ինչպես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այդպիսի տեղափոխման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ներքին տարանցման նկատմամբ պետական հսկողության հետ կապված հարցերի շուրջ իրավասու մարմինների միջ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փոխգործակցությունը: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567"/>
          <w:tab w:val="left" w:pos="709"/>
        </w:tabs>
        <w:spacing w:before="0" w:after="160" w:line="360" w:lineRule="auto"/>
        <w:ind w:right="520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Սույն Համաձայնագիրը չի տարածվում արտահանման հսկողությանը վերաբերող հարաբերությունների վրա: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left="80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left="80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3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sz w:val="24"/>
          <w:szCs w:val="24"/>
        </w:rPr>
        <w:t xml:space="preserve">Սույն Համաձայնագրի գործողությունը տարածվում է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քաղաքացիական զենքի տեղափոխում ու ներքին տարանցում իրականացնող իրավաբանական անձանց վրա.</w:t>
      </w:r>
      <w:proofErr w:type="gramEnd"/>
    </w:p>
    <w:p w:rsidR="009E2ACC" w:rsidRPr="00245BE1" w:rsidRDefault="009E2ACC" w:rsidP="009E2ACC">
      <w:pPr>
        <w:pStyle w:val="Bodytext20"/>
        <w:shd w:val="clear" w:color="auto" w:fill="auto"/>
        <w:tabs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sz w:val="24"/>
          <w:szCs w:val="24"/>
        </w:rPr>
        <w:t>որպես</w:t>
      </w:r>
      <w:proofErr w:type="gramEnd"/>
      <w:r w:rsidRPr="00245BE1">
        <w:rPr>
          <w:rFonts w:ascii="Sylfaen" w:hAnsi="Sylfaen"/>
          <w:sz w:val="24"/>
          <w:szCs w:val="24"/>
        </w:rPr>
        <w:t xml:space="preserve"> ձեռնարկատիրական գործունեության սուբյեկտներ գրանցված ֆիզիկական անձանց վրա, որոնք, իրենց կողմից ձեռնարկատիրական գործունեության իրականացման հետ կապված, իրականացնում են քաղաքացիական զենքի տեղափոխում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ներքին տարանցում, եթե դա նախատեսված է անդամ պետությունների օրենսդրությամբ.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proofErr w:type="gramStart"/>
      <w:r w:rsidRPr="00245BE1">
        <w:rPr>
          <w:rFonts w:ascii="Sylfaen" w:hAnsi="Sylfaen"/>
          <w:sz w:val="24"/>
          <w:szCs w:val="24"/>
        </w:rPr>
        <w:t>քաղաքացիական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զենքի, ինչպես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անդամ պետության օրենսդրությանը համապատասխան պարգ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ատրման փաստաթղթերի հիման վրա ստացված քաղաքացիական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ծառայողական զենքի տեղափոխում ու ներքին տարանցում իրականացնող ֆիզիկական անձանց վրա: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left="80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left="80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4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06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Անդամ պետությունները պետական հսկողություն են իրականացնում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քաղաքացիական զենքի տեղափոխման ու ներքին տարանցման նկատմամբ՝ սույն Համաձայնագրին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անդամ պետության օրենսդրությանը համապատասխան: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lastRenderedPageBreak/>
        <w:t xml:space="preserve">Որպես անհատ ձեռնարկատերեր գրանցված իրավաբանական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ֆիզիկական անձինք կարող են իրականացնել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տեղափոխում ու ներքին տարանցում միայն ապրանքաուղեկից փաստաթղթերի լրակազմում թույլատրագրի բնօրինակի առկայության դեպքում: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Ֆիզիկական անձինք կարող են իրականացնել քաղաքացիական զենքի, ինչպես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անդամ պետության օրենսդրությանը համապատասխան պարգ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>ատրման փաստաթղթերի հիման վրա</w:t>
      </w:r>
      <w:r>
        <w:rPr>
          <w:rFonts w:ascii="Sylfaen" w:hAnsi="Sylfaen"/>
          <w:sz w:val="24"/>
          <w:szCs w:val="24"/>
        </w:rPr>
        <w:t xml:space="preserve"> </w:t>
      </w:r>
      <w:r w:rsidRPr="00245BE1">
        <w:rPr>
          <w:rFonts w:ascii="Sylfaen" w:hAnsi="Sylfaen"/>
          <w:sz w:val="24"/>
          <w:szCs w:val="24"/>
        </w:rPr>
        <w:t xml:space="preserve">ստացված քաղաքացիական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ծառայողական զենքի տեղափոխում ու ներքին տարանցում միայն թույլատրագրի բնօրինակի առկայության դեպքում: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քաղաքացիական զենքի տեղափոխումն ու ներքին տարանցումն առանց թույլատրագրերի չի թույլատրվում: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Ծառայողական կամ քաղաքացիական զենքի ժամանակավոր ներմուծման (ժամանակավոր արտահանման) թույլատրագիրը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հետադարձ արտահանման (ներմուծման) թույլատրագիր է: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5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քաղաքացիական զենքի տեղափոխումն ու ներքին տարանցումը կարող են իրականացվել հետ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>յալ դեպքերում՝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իրավաբանական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անձանց կողմից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ներմուծում մեկ անդամ պետության տարածք մյուս անդամ պետության տարածքից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արտահանում մեկ անդամ պետության տարածքից մյուս անդամ պետության տարածք անդամ պետության օրենսդրությանը համապատասխան հետագա իրացման համար.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ֆիզիկական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անձանց կողմից ֆիզիկական անձի քաղաքացիության պետությունից տարբերվող անդամ պետության տարածքում ձեռք բերված քաղաքացիական զենքի ներմուծում մեկ անդամ պետության տարածք մյուս </w:t>
      </w:r>
      <w:r w:rsidRPr="00245BE1">
        <w:rPr>
          <w:rFonts w:ascii="Sylfaen" w:hAnsi="Sylfaen"/>
          <w:sz w:val="24"/>
          <w:szCs w:val="24"/>
        </w:rPr>
        <w:lastRenderedPageBreak/>
        <w:t xml:space="preserve">անդամ պետության տարածքից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արտահանում մեկ անդամ պետության տարածքից մյուս անդամ պետության տարածք.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ֆիզիկական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անձի քաղաքացիության պետությունից տարբերվող անդամ պետության օրենսդրությանը համապատասխան պարգ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ատրման փաստաթղթերի հիման վրա ստացված քաղաքացիական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ծառայողական զենքի</w:t>
      </w:r>
      <w:r>
        <w:rPr>
          <w:rFonts w:ascii="Sylfaen" w:hAnsi="Sylfaen"/>
          <w:sz w:val="24"/>
          <w:szCs w:val="24"/>
        </w:rPr>
        <w:t xml:space="preserve"> </w:t>
      </w:r>
      <w:r w:rsidRPr="00245BE1">
        <w:rPr>
          <w:rFonts w:ascii="Sylfaen" w:hAnsi="Sylfaen"/>
          <w:sz w:val="24"/>
          <w:szCs w:val="24"/>
        </w:rPr>
        <w:t xml:space="preserve">ներմուծում մեկ անդամ պետության տարածք մյուս անդամ պետության տարածքից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արտահանում մեկ անդամ պետության տարածքից մյուս անդամ պետության տարածք.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իրավաբանական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կամ ֆիզիկական անձանց կողմից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ժամանակավոր ներմուծում մեկ անդամ պետության տարածք մյուս անդամ պետության տարածքից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ժամանակավոր արտահանում մեկ անդամ պետության տարածքից մյուս անդամ պետության տարածք՝ սպորտային կամ մշակութային միջոցառումներին մասնակցելիս օգտագործելու նպատակով, եթե դա նախատեսված է անդամ պետությունների օրենսդրությամբ.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ֆիզիկական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անձանց կողմից քաղաքացիական զենքի ժամանակավոր ներմուծում մեկ անդամ պետության տարածք մյուս անդամ պետության տարածքից՝ որսին մասնակցելիս օգտագործելու նպատակով.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իրավաբանական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անձանց կողմից քաղաքացիական զենքի ժամանակավոր ներմուծում մեկ անդամ պետության տարածք մյուս անդամ պետության տարածքից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ժամանակավոր արտահանում մեկ անդամ պետության տարածքից մյուս անդամ պետության տարածք՝ որսին մասնակցելիս օգտագործելու նպատակով, եթե դա նախատեսված է անդամ պետության օրենսդրությամբ.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ծառայողական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ժամանակավոր ներմուծում մեկ անդամ պետության տարածք մյուս անդամ պետության տարածքից կամ ժամանակավոր արտահանում մեկ անդամ պետության տարածքից մյուս անդամ պետության տարածք՝</w:t>
      </w:r>
      <w:r>
        <w:rPr>
          <w:rFonts w:ascii="Sylfaen" w:hAnsi="Sylfaen"/>
          <w:sz w:val="24"/>
          <w:szCs w:val="24"/>
        </w:rPr>
        <w:t xml:space="preserve"> </w:t>
      </w:r>
      <w:r w:rsidRPr="00245BE1">
        <w:rPr>
          <w:rFonts w:ascii="Sylfaen" w:hAnsi="Sylfaen"/>
          <w:sz w:val="24"/>
          <w:szCs w:val="24"/>
        </w:rPr>
        <w:t xml:space="preserve">վերանորոգման կամ հիմնական (բաղկացուցիչ) մասերի փոխարինման նպատակով՝ այդ զենքի հետագա </w:t>
      </w:r>
      <w:r w:rsidRPr="00245BE1">
        <w:rPr>
          <w:rFonts w:ascii="Sylfaen" w:hAnsi="Sylfaen"/>
          <w:sz w:val="24"/>
          <w:szCs w:val="24"/>
        </w:rPr>
        <w:lastRenderedPageBreak/>
        <w:t>հետադարձ արտահանմամբ կամ ներմուծմամբ.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է)</w:t>
      </w:r>
      <w:r w:rsidRPr="00245BE1">
        <w:rPr>
          <w:rFonts w:ascii="Sylfaen" w:hAnsi="Sylfaen"/>
          <w:sz w:val="24"/>
          <w:szCs w:val="24"/>
        </w:rPr>
        <w:tab/>
        <w:t>այլ անդամ պետություն մշտական բնակության մեկնող ֆիզիկական անձանց կողմից քաղաքացիական զենքի, ինչպես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անդամ պետության օրենսդրությանը համապատասխան պարգ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ատրման փաստաթղթերի հիման վրա ստացված քաղաքացիական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ծառայողական զենքի արտահանում մեկ անդամ պետության տարածքից մյուս անդամ պետության տարածք կամ քաղաքացիական զենքի, ինչպես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այլ անդամ պետությունից մշտական բնակության համար անդամ պետություն մուտք գործող ֆիզիկական անձանց կողմից քաղաքացիական զենքի, ինչպես նա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անդամ պետության օրենսդրությանը համապատասխան պարգ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ատրման փաստաթղթերի հիման վրա ստացված քաղաքացիական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ծառայողական զենքի ներմուծում.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ը)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իրավաբանական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կամ ֆիզիկական անձանց կողմից ծառայողական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ժամանակավոր ներմուծում մեկ անդամ պետության տարածք մյուս անդամ պետության տարածքից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ժամանակավոր արտահանում մեկ անդամ պետության տարածքից մյուս անդամ պետության տարածք՝ ցուցահանդեսներում ցուցադրելու նպատակով.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թ)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իրավաբանական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ֆիզիկական անձանց կողմից մշակութային արժեք ունեցող քաղաքացիական զենքի ժամանակավոր ներմուծում մեկ անդամ պետության տարածք մյուս անդամ պետության տարածքից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ժամանակավոր արտահանում մեկ անդամ պետության տարածքից մյուս անդամ պետության տարածք, եթե դա նախատեսված է անդամ պետությունների օրենսդրությամբ.</w:t>
      </w:r>
    </w:p>
    <w:p w:rsidR="009E2ACC" w:rsidRPr="00245BE1" w:rsidRDefault="009E2ACC" w:rsidP="009E2AC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ժ)</w:t>
      </w:r>
      <w:r w:rsidRPr="00245BE1">
        <w:rPr>
          <w:rFonts w:ascii="Sylfaen" w:hAnsi="Sylfaen"/>
          <w:sz w:val="24"/>
          <w:szCs w:val="24"/>
        </w:rPr>
        <w:tab/>
      </w:r>
      <w:proofErr w:type="gramStart"/>
      <w:r w:rsidRPr="00245BE1">
        <w:rPr>
          <w:rFonts w:ascii="Sylfaen" w:hAnsi="Sylfaen"/>
          <w:sz w:val="24"/>
          <w:szCs w:val="24"/>
        </w:rPr>
        <w:t>ծառայողական</w:t>
      </w:r>
      <w:proofErr w:type="gramEnd"/>
      <w:r w:rsidRPr="00245BE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քաղաքացիական զենքի ժամանակավոր ներմուծում մեկ անդամ պետության տարածք մյուս անդամ պետության տարածքից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ժամանակավոր արտահանում մեկ անդամ պետության տարածքից մյուս անդամ պետության տարածք՝ փորձարկումներ անցկացնելու համար համապատասխանության գնահատման (հաստատման) (սերտիֆիկացման, համապատասխանության հայտարարագրման, բժշկակենսաբանական հետազոտությունների) նպատակներով: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6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Թույլատրագրերը տրամադրվում են անդամ պետությունների իրավասու մարմինների կողմից՝ Եվրասիական տնտեսական հանձնաժողովի կողմից հաստատվող միասնական ձ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>ով: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Թույլատրագրերը հայտատուին տրվում են անդամ պետությունների օրենսդրությամբ սահմանված կարգով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ժամկետներում: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Ծառայողական կամ քաղաքացիական զենքի արտահանման թույլատրագիրը (բացառությամբ ֆիզիկական անձանց կողմից որսին մասնակցելիս օգտագործելու նպատակով իրենց պատկանող քաղաքացիական զենքի արտահանման) տրամադրվում է այն անդամ պետության իրավասու մարմնի կողմից, որտեղից նախատեսվում է ծառայողական կամ քաղաքացիական զենքի արտահանումը, այդպիսի զենքի ներմուծման թույլատրագրի առկայության դեպքում, որը տրամադրվել է այն անդամ պետության իրավասու մարմնի կողմից, ուր նախատեսվում է դրա ներմուծումը: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Ծառայողական կամ քաղաքացիական զենքի ներքին տարանցման թույլատրագիրը (բացառությամբ ֆիզիկական անձանց կողմից որսին մասնակցելիս օգտագործելու նպատակով իրենց պատկանող քաղաքացիական զենքի ներքին տարանցման) տրամադրվում է ներքին տարանցման անդամ պետության իրավասու մարմնի կողմից դրա ներմուծման թույլատրագրի առկայության դեպքում, որը տրամադրված է այն անդամ պետության իրավասու մարմնի կողմից, ուր նախատեսվում է ծառայողական կամ քաղաքացիական զենքի ներմուծումը,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այն անդամ պետության իրավասու մարմնի կողմից ծառայողական կամ քաղաքացիական զենքի արտահանման համար տրամադրված թույլատրագրի առկայության դեպքում, որտեղից նախատեսվում է այդպիսի զենքի արտահանումը: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Ֆիզիկական անձանց կողմից որսին մասնակցելիս օգտագործելու </w:t>
      </w:r>
      <w:r w:rsidRPr="00245BE1">
        <w:rPr>
          <w:rFonts w:ascii="Sylfaen" w:hAnsi="Sylfaen"/>
          <w:sz w:val="24"/>
          <w:szCs w:val="24"/>
        </w:rPr>
        <w:lastRenderedPageBreak/>
        <w:t>նպատակով իրենց պատկանող քաղաքացիական զենքի տեղափոխումը եւ ներքին տարանցումն իրականացվում է այն անդամ պետության իրավասու մարմնի կողմից տրամադրված՝ այդպիսի զենքի ներմուծման թույլատրագրի հիման վրա, որտեղ նշված քաղաքացիական զենքը որսին մասնակցելիս պետք է օգտագործվի: Որսին մասնակցելիս օգտագործելու նպատակով քաղաքացիական զենքի ներմուծման թույլատրագիրը տրամադրվում է ընդունող անդամ պետության իրավաբանական անձին կամ ֆիզիկական անձին: Ֆիզիկական անձանց կողմից որսին մասնակցելիս օգտագործվելու նպատակով քաղաքացիական զենքի արտահանման թույլատրագիր չի պահանջվում: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Սույն հոդվածի հինգերորդ պարբերության մեջ նշված թույլատրագիրը դրա գործողության ժամկետի ընթացքում ճանաչվում է այլ անդամ պետությունների իրավասու մարմինների կողմից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ներքին տարանցման դեպքում այն ներքին տարանցման թույլտվություն է: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Ֆիզիկական անձը որսին մասնակցելիս օգտագործելու նպատակով քաղաքացիական զենքի արտահանումից առնվազն 10 օր առաջ արտահանման մասին գրավոր տեղեկացնում է այն անդամ պետության իրավասու մարմնին, որտեղից նախատեսվում է այդ արտահանումը՝ կցելով անդամ պետության օրենսդրությամբ նախատեսված՝ որսին մասնակցելը հաստատող փաստաթղթի պատճենը (ծառայությունների մատուցման մասին պայմանագիրը կամ հրավերը):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Որսին մասնակցելիս օգտագործելու նպատակով ֆիզիկական անձի կողմից արտահանված քաղաքացիական զենքը պետք է ներմուծվի այն անդամ պետություն, որտեղ գրանցված է նշված քաղաքացիական զենքը՝ մինչ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ներմուծման թույլատրագրի գործողության ժամկետի ավարտը: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Որսին մասնակցելիս օգտագործելու նպատակով քաղաքացիական զենք ներմուծելու համար իրավասու մարմինների կողմից թույլատրագրերի տրամադրման ժամկետը չպետք է գերազանցի 15 օրացուցային օրը: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lastRenderedPageBreak/>
        <w:t>Հոդված 7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Իրավասու մարմինները յուրաքանչյուր եռամսյակը մեկ, հաշվետու եռամսյակին հաջորդող ամսվա 15-ից ոչ ուշ, համաձայնեցված ձ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>ով (այդ թվում՝ էլեկտրոնային կապուղիներով) այլ անդամ պետությունների իրավասու մարմիններ են ուղարկում հաշվետու ժամանակաշրջանում տրամադրված թույլատրագրերի մասին տեղեկություններ: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Անդամ պետությունները սույն Համաձայնագրին համապատասխան ստացված տեղեկատվությունն օգտագործում են բացառապես սույն Համաձայնագրի կատարման նպատակներով։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8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Անդամ պետությունները միմյանց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Եվրասիական տնտեսական հանձնաժողովին տեղեկացնում են իրենց իրավասու մարմինների մասին: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Իրավասու մարմինների փոփոխման դեպքում անդամ պետությունները 30 օրվա ընթացքում դիվանագիտական ուղիներով դրա մասին ծանուցում են միմյանց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Եվրասիական տնտեսական հանձնաժողովին: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9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700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Սույն Համաձայնագրի մեկնաբանման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(կամ) կիրառման հետ կապված վեճերը կարգավորվում են «Եվրասիական տնտեսական միության մասին» 2014 թվականի մայիսի 29-ի պայմանագրի 112-րդ հոդվածով սահմանված կարգով:</w:t>
      </w:r>
    </w:p>
    <w:p w:rsidR="009E2ACC" w:rsidRPr="00245BE1" w:rsidRDefault="009E2ACC" w:rsidP="009E2ACC">
      <w:pPr>
        <w:spacing w:after="160" w:line="360" w:lineRule="auto"/>
        <w:ind w:right="-8"/>
      </w:pPr>
    </w:p>
    <w:p w:rsidR="009E2ACC" w:rsidRPr="00245BE1" w:rsidRDefault="009E2ACC" w:rsidP="009E2ACC">
      <w:pPr>
        <w:spacing w:after="160" w:line="360" w:lineRule="auto"/>
        <w:ind w:right="-8"/>
        <w:jc w:val="center"/>
      </w:pPr>
      <w:r w:rsidRPr="00245BE1">
        <w:rPr>
          <w:rStyle w:val="Headerorfooter0"/>
          <w:rFonts w:eastAsia="Sylfaen"/>
        </w:rPr>
        <w:t>Հոդված 10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 xml:space="preserve">Սույն Համաձայնագիրը Միության շրջանակներում կնքված միջազգային պայմանագիր է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Միության իրավունքի մաս է կազմում։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11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Անդամ պետությունների փոխադարձ համաձայնությամբ սույն Համաձայնագրում կարող են կատարվել փոփոխություններ, որոնք ձ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ակերպվում են առանձին արձանագրություններով </w:t>
      </w:r>
      <w:r>
        <w:rPr>
          <w:rFonts w:ascii="Sylfaen" w:hAnsi="Sylfaen"/>
          <w:sz w:val="24"/>
          <w:szCs w:val="24"/>
        </w:rPr>
        <w:t>եւ</w:t>
      </w:r>
      <w:r w:rsidRPr="00245BE1">
        <w:rPr>
          <w:rFonts w:ascii="Sylfaen" w:hAnsi="Sylfaen"/>
          <w:sz w:val="24"/>
          <w:szCs w:val="24"/>
        </w:rPr>
        <w:t xml:space="preserve"> ուժի մեջ են մտնում սույն Համաձայնագրի 12-րդ հոդվածով սահմանված կարգով։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Հոդված 12</w:t>
      </w:r>
    </w:p>
    <w:p w:rsidR="009E2ACC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Սույն Համաձայնագիրն ուժի մեջ է մտնում սույն Համաձայնագիրն ուժի մեջ մտնելու համար անհրաժեշտ ներպետական ընթացակարգերը անդամ պետությունների կողմից կատարվելու մասին վերջին գրավոր ծանուցումն ավանդապահի կողմից դիվանագիտական ուղիներով ստանալու օրվանից 10 օրացուցային օրը լրանալուց հետո։</w:t>
      </w:r>
    </w:p>
    <w:p w:rsidR="009E2ACC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Կատարված է _____ քաղաքում 20__ թվականի _____ «___»-ին, մեկ օրինակից՝ ռուսերենով։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245BE1">
        <w:rPr>
          <w:rFonts w:ascii="Sylfaen" w:hAnsi="Sylfaen"/>
          <w:sz w:val="24"/>
          <w:szCs w:val="24"/>
        </w:rPr>
        <w:t>Սույն Համաձայնագրի բնօրինակը պահվում է Եվրասիական տնտեսական հանձնաժողովում, որը, որպես սույն Համաձայնագրի ավանդապահ, անդամ պետություններից յուրաքանչյուրին կտրամադրի դրա հաստատված պատճենը։</w:t>
      </w:r>
    </w:p>
    <w:p w:rsidR="009E2ACC" w:rsidRPr="00245BE1" w:rsidRDefault="009E2ACC" w:rsidP="009E2ACC">
      <w:pPr>
        <w:pStyle w:val="Bodytext20"/>
        <w:shd w:val="clear" w:color="auto" w:fill="auto"/>
        <w:spacing w:before="0" w:after="160" w:line="360" w:lineRule="auto"/>
        <w:ind w:right="380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1770" w:type="dxa"/>
        <w:jc w:val="center"/>
        <w:tblInd w:w="-4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409"/>
        <w:gridCol w:w="2552"/>
        <w:gridCol w:w="2414"/>
      </w:tblGrid>
      <w:tr w:rsidR="009E2ACC" w:rsidRPr="00245BE1" w:rsidTr="00364554">
        <w:trPr>
          <w:jc w:val="center"/>
        </w:trPr>
        <w:tc>
          <w:tcPr>
            <w:tcW w:w="2127" w:type="dxa"/>
            <w:shd w:val="clear" w:color="auto" w:fill="FFFFFF"/>
          </w:tcPr>
          <w:p w:rsidR="009E2ACC" w:rsidRPr="00245BE1" w:rsidRDefault="009E2ACC" w:rsidP="0036455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45BE1">
              <w:rPr>
                <w:rStyle w:val="Bodytext213pt"/>
                <w:rFonts w:ascii="Sylfaen" w:hAnsi="Sylfaen"/>
                <w:b/>
                <w:sz w:val="24"/>
                <w:szCs w:val="24"/>
              </w:rPr>
              <w:t>Հայաստանի Հանրապետության Կառավարության կողմից</w:t>
            </w:r>
          </w:p>
        </w:tc>
        <w:tc>
          <w:tcPr>
            <w:tcW w:w="2268" w:type="dxa"/>
            <w:shd w:val="clear" w:color="auto" w:fill="FFFFFF"/>
          </w:tcPr>
          <w:p w:rsidR="009E2ACC" w:rsidRPr="00245BE1" w:rsidRDefault="009E2ACC" w:rsidP="00364554">
            <w:pPr>
              <w:pStyle w:val="Bodytext20"/>
              <w:shd w:val="clear" w:color="auto" w:fill="auto"/>
              <w:spacing w:before="0" w:after="160" w:line="360" w:lineRule="auto"/>
              <w:ind w:left="11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45BE1">
              <w:rPr>
                <w:rStyle w:val="Bodytext213pt"/>
                <w:rFonts w:ascii="Sylfaen" w:hAnsi="Sylfaen"/>
                <w:b/>
                <w:sz w:val="24"/>
                <w:szCs w:val="24"/>
              </w:rPr>
              <w:t>Բելառուսի Հանրապետության Կառավարության կողմից</w:t>
            </w:r>
          </w:p>
        </w:tc>
        <w:tc>
          <w:tcPr>
            <w:tcW w:w="2409" w:type="dxa"/>
            <w:shd w:val="clear" w:color="auto" w:fill="FFFFFF"/>
          </w:tcPr>
          <w:p w:rsidR="009E2ACC" w:rsidRPr="00245BE1" w:rsidRDefault="009E2ACC" w:rsidP="00364554">
            <w:pPr>
              <w:pStyle w:val="Bodytext20"/>
              <w:shd w:val="clear" w:color="auto" w:fill="auto"/>
              <w:spacing w:before="0" w:after="160" w:line="360" w:lineRule="auto"/>
              <w:ind w:left="273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45BE1">
              <w:rPr>
                <w:rStyle w:val="Bodytext213pt"/>
                <w:rFonts w:ascii="Sylfaen" w:hAnsi="Sylfaen"/>
                <w:b/>
                <w:sz w:val="24"/>
                <w:szCs w:val="24"/>
              </w:rPr>
              <w:t>Ղազախստանի Հանրապետության Կառավարության կողմից</w:t>
            </w:r>
          </w:p>
        </w:tc>
        <w:tc>
          <w:tcPr>
            <w:tcW w:w="2552" w:type="dxa"/>
            <w:shd w:val="clear" w:color="auto" w:fill="FFFFFF"/>
          </w:tcPr>
          <w:p w:rsidR="009E2ACC" w:rsidRPr="00245BE1" w:rsidRDefault="009E2ACC" w:rsidP="00364554">
            <w:pPr>
              <w:pStyle w:val="Bodytext20"/>
              <w:shd w:val="clear" w:color="auto" w:fill="auto"/>
              <w:spacing w:before="0" w:after="160" w:line="360" w:lineRule="auto"/>
              <w:ind w:left="318" w:right="17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45BE1">
              <w:rPr>
                <w:rStyle w:val="Bodytext213pt"/>
                <w:rFonts w:ascii="Sylfaen" w:hAnsi="Sylfaen"/>
                <w:b/>
                <w:sz w:val="24"/>
                <w:szCs w:val="24"/>
              </w:rPr>
              <w:t>Ղրղզստանի Հանրապետության Կառավարության կողմից</w:t>
            </w:r>
          </w:p>
        </w:tc>
        <w:tc>
          <w:tcPr>
            <w:tcW w:w="2414" w:type="dxa"/>
            <w:shd w:val="clear" w:color="auto" w:fill="FFFFFF"/>
            <w:vAlign w:val="bottom"/>
          </w:tcPr>
          <w:p w:rsidR="009E2ACC" w:rsidRPr="00245BE1" w:rsidRDefault="009E2ACC" w:rsidP="00364554">
            <w:pPr>
              <w:pStyle w:val="Bodytext20"/>
              <w:shd w:val="clear" w:color="auto" w:fill="auto"/>
              <w:spacing w:before="0" w:after="160" w:line="360" w:lineRule="auto"/>
              <w:ind w:left="247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245BE1">
              <w:rPr>
                <w:rStyle w:val="Bodytext213pt"/>
                <w:rFonts w:ascii="Sylfaen" w:hAnsi="Sylfaen"/>
                <w:b/>
                <w:sz w:val="24"/>
                <w:szCs w:val="24"/>
              </w:rPr>
              <w:t>Ռուսաստանի Դաշնության Կառավարության կողմից</w:t>
            </w:r>
          </w:p>
        </w:tc>
      </w:tr>
    </w:tbl>
    <w:p w:rsidR="009E2ACC" w:rsidRDefault="009E2ACC">
      <w:pPr>
        <w:rPr>
          <w:lang w:val="en-US"/>
        </w:rPr>
      </w:pPr>
      <w:bookmarkStart w:id="0" w:name="_GoBack"/>
      <w:bookmarkEnd w:id="0"/>
    </w:p>
    <w:sectPr w:rsidR="009E2ACC" w:rsidSect="009E2ACC">
      <w:headerReference w:type="default" r:id="rId5"/>
      <w:pgSz w:w="11900" w:h="16840" w:code="9"/>
      <w:pgMar w:top="1418" w:right="1418" w:bottom="1418" w:left="1418" w:header="568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9532"/>
      <w:docPartObj>
        <w:docPartGallery w:val="Page Numbers (Top of Page)"/>
        <w:docPartUnique/>
      </w:docPartObj>
    </w:sdtPr>
    <w:sdtEndPr/>
    <w:sdtContent>
      <w:p w:rsidR="009228AA" w:rsidRDefault="00C86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28AA" w:rsidRDefault="00C86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5"/>
    <w:rsid w:val="000A5EAC"/>
    <w:rsid w:val="003A4F45"/>
    <w:rsid w:val="008C4A28"/>
    <w:rsid w:val="009E2ACC"/>
    <w:rsid w:val="00AB60FA"/>
    <w:rsid w:val="00B234B1"/>
    <w:rsid w:val="00C8679E"/>
    <w:rsid w:val="00F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2ACC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9E2A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9E2AC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9E2A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9E2ACC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E2AC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basedOn w:val="Bodytext2"/>
    <w:rsid w:val="009E2A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E2AC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Heading120">
    <w:name w:val="Heading #1 (2)"/>
    <w:basedOn w:val="Normal"/>
    <w:link w:val="Heading12"/>
    <w:rsid w:val="009E2ACC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E2A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E2ACC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95pt">
    <w:name w:val="Body text (2) + 9.5 pt"/>
    <w:aliases w:val="Bold"/>
    <w:basedOn w:val="Bodytext2"/>
    <w:rsid w:val="009E2A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9E2AC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ACC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9E2A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9E2A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3pt">
    <w:name w:val="Body text (2) + 13 pt"/>
    <w:basedOn w:val="Bodytext2"/>
    <w:rsid w:val="009E2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1Spacing2pt">
    <w:name w:val="Body text (11) + Spacing 2 pt"/>
    <w:basedOn w:val="Bodytext11"/>
    <w:rsid w:val="009E2AC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erorfooter">
    <w:name w:val="Header or footer_"/>
    <w:basedOn w:val="DefaultParagraphFont"/>
    <w:rsid w:val="009E2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basedOn w:val="Headerorfooter"/>
    <w:rsid w:val="009E2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110">
    <w:name w:val="Body text (11)"/>
    <w:basedOn w:val="Normal"/>
    <w:link w:val="Bodytext11"/>
    <w:rsid w:val="009E2AC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100">
    <w:name w:val="Body text (10)"/>
    <w:basedOn w:val="Normal"/>
    <w:link w:val="Bodytext10"/>
    <w:rsid w:val="009E2A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316pt">
    <w:name w:val="Body text (3) + 16 pt"/>
    <w:basedOn w:val="Bodytext3"/>
    <w:rsid w:val="009E2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73EDA6E1-D05F-46C9-9E78-73ADFFE8D501">
    <w:name w:val="{73EDA6E1-D05F-46C9-9E78-73ADFFE8D501}"/>
    <w:basedOn w:val="Bodytext2"/>
    <w:rsid w:val="009E2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9E2A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Spacing4pt">
    <w:name w:val="Heading #2 + Spacing 4 pt"/>
    <w:basedOn w:val="Heading2"/>
    <w:rsid w:val="009E2ACC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9E2ACC"/>
    <w:pPr>
      <w:shd w:val="clear" w:color="auto" w:fill="FFFFFF"/>
      <w:spacing w:before="480" w:after="4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2ACC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9E2A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9E2AC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9E2A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9E2ACC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E2AC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basedOn w:val="Bodytext2"/>
    <w:rsid w:val="009E2A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E2AC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Heading120">
    <w:name w:val="Heading #1 (2)"/>
    <w:basedOn w:val="Normal"/>
    <w:link w:val="Heading12"/>
    <w:rsid w:val="009E2ACC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E2A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E2ACC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95pt">
    <w:name w:val="Body text (2) + 9.5 pt"/>
    <w:aliases w:val="Bold"/>
    <w:basedOn w:val="Bodytext2"/>
    <w:rsid w:val="009E2A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9E2AC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ACC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9E2A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9E2A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3pt">
    <w:name w:val="Body text (2) + 13 pt"/>
    <w:basedOn w:val="Bodytext2"/>
    <w:rsid w:val="009E2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1Spacing2pt">
    <w:name w:val="Body text (11) + Spacing 2 pt"/>
    <w:basedOn w:val="Bodytext11"/>
    <w:rsid w:val="009E2AC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erorfooter">
    <w:name w:val="Header or footer_"/>
    <w:basedOn w:val="DefaultParagraphFont"/>
    <w:rsid w:val="009E2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basedOn w:val="Headerorfooter"/>
    <w:rsid w:val="009E2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110">
    <w:name w:val="Body text (11)"/>
    <w:basedOn w:val="Normal"/>
    <w:link w:val="Bodytext11"/>
    <w:rsid w:val="009E2AC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100">
    <w:name w:val="Body text (10)"/>
    <w:basedOn w:val="Normal"/>
    <w:link w:val="Bodytext10"/>
    <w:rsid w:val="009E2A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316pt">
    <w:name w:val="Body text (3) + 16 pt"/>
    <w:basedOn w:val="Bodytext3"/>
    <w:rsid w:val="009E2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73EDA6E1-D05F-46C9-9E78-73ADFFE8D501">
    <w:name w:val="{73EDA6E1-D05F-46C9-9E78-73ADFFE8D501}"/>
    <w:basedOn w:val="Bodytext2"/>
    <w:rsid w:val="009E2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9E2A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Spacing4pt">
    <w:name w:val="Heading #2 + Spacing 4 pt"/>
    <w:basedOn w:val="Heading2"/>
    <w:rsid w:val="009E2ACC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9E2ACC"/>
    <w:pPr>
      <w:shd w:val="clear" w:color="auto" w:fill="FFFFFF"/>
      <w:spacing w:before="480" w:after="4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 Karamyan</dc:creator>
  <cp:keywords/>
  <dc:description/>
  <cp:lastModifiedBy>Vahagn Karamyan</cp:lastModifiedBy>
  <cp:revision>5</cp:revision>
  <dcterms:created xsi:type="dcterms:W3CDTF">2017-01-25T05:07:00Z</dcterms:created>
  <dcterms:modified xsi:type="dcterms:W3CDTF">2017-01-25T05:24:00Z</dcterms:modified>
</cp:coreProperties>
</file>