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5" w:rsidRPr="00D5118F" w:rsidRDefault="00BD4CF6" w:rsidP="00D5118F">
      <w:pPr>
        <w:pStyle w:val="Bodytext60"/>
        <w:shd w:val="clear" w:color="auto" w:fill="auto"/>
        <w:spacing w:after="160" w:line="360" w:lineRule="auto"/>
        <w:ind w:left="1701" w:right="2097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5118F">
        <w:rPr>
          <w:rStyle w:val="Bodytext6TimesNewRoman"/>
          <w:rFonts w:ascii="GHEA Grapalat" w:eastAsia="Sylfaen" w:hAnsi="GHEA Grapalat"/>
          <w:sz w:val="24"/>
          <w:szCs w:val="24"/>
        </w:rPr>
        <w:t>Կիրարկման միջոցառումների պլան</w:t>
      </w:r>
    </w:p>
    <w:p w:rsidR="004A7535" w:rsidRDefault="00BD4CF6" w:rsidP="00D5118F">
      <w:pPr>
        <w:pStyle w:val="Bodytext60"/>
        <w:shd w:val="clear" w:color="auto" w:fill="auto"/>
        <w:spacing w:after="160" w:line="360" w:lineRule="auto"/>
        <w:ind w:left="1701" w:right="2097"/>
        <w:rPr>
          <w:rStyle w:val="Bodytext6TimesNewRoman"/>
          <w:rFonts w:ascii="GHEA Grapalat" w:eastAsia="Sylfaen" w:hAnsi="GHEA Grapalat"/>
          <w:sz w:val="24"/>
          <w:szCs w:val="24"/>
        </w:rPr>
      </w:pPr>
      <w:r w:rsidRPr="00D5118F">
        <w:rPr>
          <w:rStyle w:val="Bodytext6TimesNewRoman"/>
          <w:rFonts w:ascii="GHEA Grapalat" w:eastAsia="Sylfaen" w:hAnsi="GHEA Grapalat"/>
          <w:sz w:val="24"/>
          <w:szCs w:val="24"/>
        </w:rPr>
        <w:t>«ԵԱՏՄ–ի եւ դրա անդամ պետությունների միջեւ՝ մի կողմից, եւ Վիետնամի Սոցիալիստական Հանրապետության միջեւ՝ մյուս կողմից, ազատ առեւտրի մասին» 2015 թվականի մայիսի 29-ի hամաձայնագրի</w:t>
      </w:r>
    </w:p>
    <w:p w:rsidR="00D5118F" w:rsidRPr="00D5118F" w:rsidRDefault="00D5118F" w:rsidP="00D5118F">
      <w:pPr>
        <w:pStyle w:val="Bodytext60"/>
        <w:shd w:val="clear" w:color="auto" w:fill="auto"/>
        <w:spacing w:after="120" w:line="240" w:lineRule="auto"/>
        <w:ind w:left="1701" w:right="209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7667"/>
        <w:gridCol w:w="2397"/>
        <w:gridCol w:w="3946"/>
      </w:tblGrid>
      <w:tr w:rsidR="004A7535" w:rsidRPr="00D5118F" w:rsidTr="00D5118F">
        <w:trPr>
          <w:jc w:val="center"/>
        </w:trPr>
        <w:tc>
          <w:tcPr>
            <w:tcW w:w="14999" w:type="dxa"/>
            <w:gridSpan w:val="4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t>I. Համաձայնագրի վավերացման ու կիրարկման միջոցառումները</w:t>
            </w:r>
          </w:p>
        </w:tc>
      </w:tr>
      <w:tr w:rsidR="004A7535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4A7535" w:rsidRPr="00D5118F" w:rsidRDefault="004A7535" w:rsidP="00D5118F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7667" w:type="dxa"/>
            <w:shd w:val="clear" w:color="auto" w:fill="FFFFFF"/>
          </w:tcPr>
          <w:p w:rsidR="004A7535" w:rsidRPr="00D5118F" w:rsidRDefault="004A7535" w:rsidP="00D5118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9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Կատարող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Ժամկետ</w:t>
            </w:r>
          </w:p>
        </w:tc>
      </w:tr>
      <w:tr w:rsidR="00086EE6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1.</w:t>
            </w:r>
          </w:p>
        </w:tc>
        <w:tc>
          <w:tcPr>
            <w:tcW w:w="766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«ԵԱՏՄ–ի եւ դրա անդամ պետությունների միջեւ՝ մի կողմից, եւ Վիետնամի Սոցիալիստական Հանրապետության միջեւ՝ մյուս կողմից, ազատ առեւտրի մասին» 2015 թվականի մայիսի 29-ի hամաձայնագրի (այսուհետ` Համաձայնագիր) տեքստի</w:t>
            </w:r>
            <w:r w:rsidR="00E971E9"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՝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ռուսերենով համաձայնեցված թարգմանության պատրաստում</w:t>
            </w:r>
          </w:p>
        </w:tc>
        <w:tc>
          <w:tcPr>
            <w:tcW w:w="239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Եվրասիական տնտեսական միության անդամ պետություններ (այսուհետ`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պետություններ), Եվրասիական տնտեսական հանձնաժողով (այսուհետ` Հանձնաժողով)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սեպտեմբեր</w:t>
            </w:r>
          </w:p>
        </w:tc>
      </w:tr>
      <w:tr w:rsidR="00086EE6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2.</w:t>
            </w:r>
          </w:p>
        </w:tc>
        <w:tc>
          <w:tcPr>
            <w:tcW w:w="766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Համաձայնագրի հաստատված պատճենների ուղարկում ԵԱՏՄ անդամ պետություններ՝ ներպետական ընթացակարգերի անցկացման համար</w:t>
            </w:r>
          </w:p>
        </w:tc>
        <w:tc>
          <w:tcPr>
            <w:tcW w:w="239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Համաձայնագրի 8-րդ գլխի հավելվածների տեքստերը Հանձնաժողովի կողմից ստանալուց հետո</w:t>
            </w:r>
          </w:p>
        </w:tc>
      </w:tr>
      <w:tr w:rsidR="00086EE6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6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Համաձայնագիրն ուժի մեջ մտնելու համար անհրաժեշտ ներպետական ընթացակարգերի անցկացում</w:t>
            </w:r>
          </w:p>
        </w:tc>
        <w:tc>
          <w:tcPr>
            <w:tcW w:w="239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2015 թվականի դեկտեմբեր՝ հաշվի առնելով Համաձայնագրին առնչվող փաստաթղթերի ամբողջական փաթեթի ստացումը ռուսերենով՝ ներառյալ Համաձայնագրի 8-րդ գլխի հավելվածները (Ռուսաստանի Դաշնության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Բելառուսի Հանրապետության համար՝ հաշվի առնելով Վիետնամի Սոցիալիստական Հանրապետության տարածքում ավտոմոբիլային տեխնիկայի արդյունաբերական հավաքման վերաբերյալ վերջնական պայմանավորվածությունների ձեռքբերումը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միջկառավարական համաձայնագրերի կնքումը )</w:t>
            </w:r>
          </w:p>
        </w:tc>
      </w:tr>
      <w:tr w:rsidR="004A7535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4.</w:t>
            </w:r>
          </w:p>
        </w:tc>
        <w:tc>
          <w:tcPr>
            <w:tcW w:w="766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 Միության համար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պարտադիր լինելու վերաբերյալ Միության </w:t>
            </w:r>
            <w:r w:rsidR="00E971E9"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համաձայնությունը հայտնելու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դրա կիրարկման նպատակով Հանձնաժողովին ու ԵԱՏՄ անդամ պետություններին տրված հանձնարարականների ցանկի մասին» ԵՏԲԽ-ի որոշմանը հավանություն տալը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2015 թվականի դեկտեմբեր (Ռուսաստանի Դաշնության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Բելառուսի Հանրապետության համար՝ հաշվի առնելով Վիետնամի Սոցիալիստական Հանրապետության տարածքում ավտոմոբիլային տեխնիկայի արդյունաբերական հավաքման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 xml:space="preserve">վերաբերյալ վերջնական պայմանավորվածությունների ձեռքբերումը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միջկառավարական համաձայնագրերի կնքումը)</w:t>
            </w:r>
          </w:p>
        </w:tc>
      </w:tr>
      <w:tr w:rsidR="004A7535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67" w:type="dxa"/>
            <w:shd w:val="clear" w:color="auto" w:fill="FFFFFF"/>
            <w:vAlign w:val="bottom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Համաձայնագիրն ուժի մեջ մտնելու համար անհրաժեշտ՝ ԵԱՏՄ անդամ պետությունների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ԵԱՏՄ-ի կողմից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ընթացակարգերը եզրափակելու մասին ծանուցման ուղարկում վիետնամական կողմին 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դեկտեմբեր՝ հաշվի առնելով համապատասխան ընթացակարգերի եզրափակումը</w:t>
            </w:r>
          </w:p>
        </w:tc>
      </w:tr>
      <w:tr w:rsidR="004A7535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6.</w:t>
            </w:r>
          </w:p>
        </w:tc>
        <w:tc>
          <w:tcPr>
            <w:tcW w:w="766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Համաձայնագիրն ուժի մեջ մտնելու ամսաթվի մասին ծանուցման ուղարկում վիետնամական կողմին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(կամ) ԵԱՏՄ անդամ պետություններ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Այն դեպքում, երբ Համաձայնագրին առնչվող ներպետական ընթացակարգերի կատարման մասին վերջին ծանուցումն ուղարկվի Վիետնամի կողմից կամ ԵԱՏՄ–ի կողմից համապատասխան ծանուցումն ստանալու ամսաթվի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Համաձայնագիրն ուժի մեջ մտնելու ամսաթվի վերաբերյալ Վիետնամից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տեղեկատվություն ստանալուց հետո </w:t>
            </w:r>
          </w:p>
        </w:tc>
      </w:tr>
      <w:tr w:rsidR="004A7535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7.</w:t>
            </w:r>
          </w:p>
        </w:tc>
        <w:tc>
          <w:tcPr>
            <w:tcW w:w="7667" w:type="dxa"/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«ԵԱՏՄ–ի կողմի այն համատեղ կոմիտեում կազմը հաստատելու մասին, որի ստեղծումը նախատեսված է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«ԵԱՏՄ-ի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դրա անդամ պետությունների միջ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՝ մի կողմից,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Վիետնամի Սոցիալիստական Հանրապետության միջ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՝ մյուս կողմից, ազատ առ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տրի մասին» 2015 թվականի մայիսի 29-ի համաձայնագրով» Հանձնաժողովի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 xml:space="preserve">խորհրդի որոշման ընդունում 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պետությունների կողմից Համաձայնագիրն ուժի մեջ մտնելու համար անհրաժեշտ ներպետական ընթացակարգերը եզրափակելուց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պետությունների կողմից հետ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յալի վերաբերյալ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տեղեկատվության ուղարկումը Հանձնաժողով՝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կոնտակտային կետերը (Համաձայնագրի 1.7-րդ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Կոմիտեի կազմում ներկայացուցիչները՝ ըստ ապրանքների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2.12-րդ հոդվածին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լիազորված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ստուգող մարմինները, ծագման հավաստագրերի կնիքների ու ձ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աթղթերի օրինակները (Համաձայնագրի 4.28-րդ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Ծագման հավաստագրման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ստուգման էլեկտրոնային համակարգի մշակման ու ներդրման հարցերով աշխատանքային խմբի ներկայացուցիչները (Համաձայնագրի 4.29-րդ հոդվածի 3-րդ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Ծագումը որոշելու կանոնների հարցերով ենթակոմիտեի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ներկայացուցիչները (Համաձայնագրի 4.34-րդ հոդվածին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Համաձայնագրի կողմերի մաքսային մարմինների միջ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տեղեկատվության փոխանակման համակարգի մշակման հարցերով խորհրդակցություններին մասնակցելու համար ներկայացուցիչները (Համաձայնագրի 5.7-րդ հոդվածին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մաքսային հարցերով շահագրգիռ անձանց՝ մաքսային հարցերի վերաբերյալ հարցումների քննարկման համար կոնտակտային կետերը (Համաձայնագրի 5.8-րդ հոդվածի 2-րդ կետին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տեխնիկական կարգավորման ոլորտում իրավասու մարմիններն ու կոնտակտային կետերը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եւ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համապատասխան պաշտոնատար անձինք՝ այդպիսի կետերում (Համաձայնագրի 6.9-րդ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սանիտարական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բուսասանիտարական կարգավորման ոլորտում իրավասու մարմիններն ու կոնտակտային կետերը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եւ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համապատասխան պաշտոնատար անձինք՝ այդպիսի կետերում 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7.10-րդ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- մտավոր սեփականության օբյեկտների նկատմամբ իրավունքների պաշտպանության ոլորտում իրավասու մարմինները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կոնտակտային կետերը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9.17-րդ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այն աղբյուրները, որտեղ հրապարակվում է պետական գնումների վերաբերյալ տեղեկատվությունը (Համաձայնագրի 10.2-րդ հոդվածի 2-րդ կետին համապատասխան).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պետությունների կողմից Համաձայնագիրն ուժի մեջ մտնելու համար անհրաժեշտ ներպետական ընթացակարգերը եզրափակելուց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tabs>
                <w:tab w:val="left" w:pos="870"/>
              </w:tabs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կոնտակտային կետերը՝ Համաձայնագրի «Պետական գնումներ» գլխի դրույթների կիրառումը դիտանցելու նպատակով (Համաձայնագրի 10.5-րդ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- կոնտակտային կետերը՝ Համաձայնագրի «Մրցակցություն» գլխի կատարումը հսկելու համար (Համաձայնագրի 11.7-րդ հոդվածի 1-ին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կետին համապատասխան)։</w:t>
            </w:r>
          </w:p>
        </w:tc>
        <w:tc>
          <w:tcPr>
            <w:tcW w:w="2397" w:type="dxa"/>
            <w:shd w:val="clear" w:color="auto" w:fill="FFFFFF"/>
          </w:tcPr>
          <w:p w:rsidR="00D5118F" w:rsidRPr="00D5118F" w:rsidRDefault="00D5118F" w:rsidP="00D5118F">
            <w:pPr>
              <w:spacing w:after="120"/>
              <w:ind w:left="115" w:right="71"/>
              <w:rPr>
                <w:rFonts w:ascii="GHEA Grapalat" w:hAnsi="GHEA Grapalat"/>
              </w:rPr>
            </w:pPr>
          </w:p>
        </w:tc>
        <w:tc>
          <w:tcPr>
            <w:tcW w:w="3946" w:type="dxa"/>
            <w:shd w:val="clear" w:color="auto" w:fill="FFFFFF"/>
          </w:tcPr>
          <w:p w:rsidR="00D5118F" w:rsidRPr="00D5118F" w:rsidRDefault="00D5118F" w:rsidP="00D5118F">
            <w:pPr>
              <w:spacing w:after="120"/>
              <w:ind w:left="115" w:right="71"/>
              <w:rPr>
                <w:rFonts w:ascii="GHEA Grapalat" w:hAnsi="GHEA Grapalat"/>
              </w:rPr>
            </w:pPr>
          </w:p>
        </w:tc>
      </w:tr>
      <w:tr w:rsidR="00D5118F" w:rsidRPr="00D5118F" w:rsidTr="00064DF4">
        <w:trPr>
          <w:jc w:val="center"/>
        </w:trPr>
        <w:tc>
          <w:tcPr>
            <w:tcW w:w="989" w:type="dxa"/>
            <w:tcBorders>
              <w:bottom w:val="nil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67" w:type="dxa"/>
            <w:tcBorders>
              <w:bottom w:val="nil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Հետ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յալ տեղեկատվության ուղարկումը վիետնամական կողմին՝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կոնտակտային կետերը (Համաձայնագրի 1.7-րդ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Կոմիտեի կազմում ներկայացուցիչները՝ ըստ ապրանքների (Համաձայնագրի 2.12-րդ հոդվածին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8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ուսումնասիրություն իրականացնող մարմնի անվանումն ու կոնտակտային տվյալները (Համաձայնագրի 3.5-րդ հոդվածի 2-րդ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- լիազորված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ստուգող մարմինները, ծագման հավաստագրերի կնիքների ու ձ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աթղթերի օրինակները 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4.28-րդ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Ծագման հավաստագրման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ստուգման էլեկտրոնային համակարգի մշակման ու ներդրման հարցերով աշխատանքային խմբի ներկայացուցիչները (Համաձայնագրի 4.29-րդ հոդվածի 3-րդ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Ծագումը որոշելու կանոնների հարցերով ենթակոմիտեի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ներկայացուցիչները (Համաձայնագրի 4.34-րդ հոդվածին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8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Համաձայնագրի կողմերի մաքսային մարմինների միջ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տեղեկատվության փոխանակման համակարգի մշակման հարցերով խորհրդակցություններին մասնակցելու համար ներկայացուցիչները (Համաձայնագրի 5.7-րդ հոդվածին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մաքսային հարցերով շահագրգիռ անձանց՝ մաքսային հարցերի վերաբերյալ հարցումների քննարկման համար կոնտակտային կետերը (Համաձայնագրի 5.8-րդ հոդվածի 2-րդ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8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տեխնիկական կարգավորման ոլորտում իրավասու մարմիններն ու կոնտակտային կետերը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համապատասխան պաշտոնատար անձինք՝ այդպիսի կետերում (Համաձայնագրի 6.9-րդ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– սանիտարական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բուսասանիտարական կարգավորման ոլորտում իրավասու մարմիններն ու կոնտակտային կետերը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եւ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համապատասխան պաշտոնատար անձինք՝ այդպիսի կետերում</w:t>
            </w:r>
          </w:p>
        </w:tc>
        <w:tc>
          <w:tcPr>
            <w:tcW w:w="2397" w:type="dxa"/>
            <w:tcBorders>
              <w:bottom w:val="nil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Հանձնաժողով</w:t>
            </w:r>
          </w:p>
        </w:tc>
        <w:tc>
          <w:tcPr>
            <w:tcW w:w="3946" w:type="dxa"/>
            <w:tcBorders>
              <w:bottom w:val="nil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Միության համար պարտադիր լինելու վերաբերյալ Միության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համաձայնությունն հայտնելու մասին» ԵՏԲԽ-ի որոշումն ընդունելուց հետո</w:t>
            </w:r>
          </w:p>
        </w:tc>
      </w:tr>
      <w:tr w:rsidR="00D5118F" w:rsidRPr="00D5118F" w:rsidTr="00064DF4">
        <w:trPr>
          <w:jc w:val="center"/>
        </w:trPr>
        <w:tc>
          <w:tcPr>
            <w:tcW w:w="989" w:type="dxa"/>
            <w:tcBorders>
              <w:top w:val="nil"/>
            </w:tcBorders>
            <w:shd w:val="clear" w:color="auto" w:fill="FFFFFF"/>
          </w:tcPr>
          <w:p w:rsidR="00D5118F" w:rsidRPr="00D5118F" w:rsidRDefault="00D5118F" w:rsidP="00D5118F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7667" w:type="dxa"/>
            <w:tcBorders>
              <w:top w:val="nil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7.10-րդ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0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- մտավոր սեփականության օբյեկտների նկատմամբ իրավունքների պաշտպանության ոլորտում իրավասու մարմինները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կոնտակտային կետերը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9.17-րդ հոդվածի 1-ին կետին 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- այն աղբյուրները, որտեղ հրապարակվում է պետական գնումների վերաբերյալ տեղեկատվությունը (Համաձայնագրի 10.2-րդ հոդվածի 2-րդ կետին համապատասխան).-կոնտակտային կետերը՝ Համաձայնագրի «Պետական գնումներ» գլխի դրույթների կիրառումը դիտանցելու նպատակով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(Համաձայնագրի 10.5-րդ հոդվածի 1-ին կետին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համապատասխան).</w:t>
            </w:r>
          </w:p>
          <w:p w:rsidR="00D5118F" w:rsidRPr="00D5118F" w:rsidRDefault="00D5118F" w:rsidP="00D5118F">
            <w:pPr>
              <w:pStyle w:val="Bodytext20"/>
              <w:shd w:val="clear" w:color="auto" w:fill="auto"/>
              <w:tabs>
                <w:tab w:val="left" w:pos="144"/>
              </w:tabs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– կոնտակտային կետերը՝ Համաձայնագրի «Մրցակցություն» գլխի կատարումը հսկելու համար (Համաձայնագրի 11.7-րդ հոդվածի 2-րդ կետին համապատասխան)։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spacing w:after="120"/>
              <w:ind w:left="115" w:right="71"/>
              <w:jc w:val="center"/>
              <w:rPr>
                <w:rFonts w:ascii="GHEA Grapalat" w:hAnsi="GHEA Grapalat"/>
              </w:rPr>
            </w:pPr>
          </w:p>
        </w:tc>
        <w:tc>
          <w:tcPr>
            <w:tcW w:w="3946" w:type="dxa"/>
            <w:tcBorders>
              <w:top w:val="nil"/>
            </w:tcBorders>
            <w:shd w:val="clear" w:color="auto" w:fill="FFFFFF"/>
          </w:tcPr>
          <w:p w:rsidR="00D5118F" w:rsidRPr="00D5118F" w:rsidRDefault="00D5118F" w:rsidP="00D5118F">
            <w:pPr>
              <w:spacing w:after="120"/>
              <w:ind w:left="115" w:right="71"/>
              <w:rPr>
                <w:rFonts w:ascii="GHEA Grapalat" w:hAnsi="GHEA Grapalat"/>
              </w:rPr>
            </w:pP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«Միության սակագնային պարտավորությունների ժամանակացույցը հաստատելու մասին» Հանձնաժողովի կոլեգիայի որոշման ընդունում՝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Համաձայնագրի 1-ին հավելվածին համապատասխան (Համաձայնագրի 11.7-րդ հոդվածի 1-ին 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 Միության համար պարտադիր լինելու վերաբերյալ Միության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համաձայնությունը հայտնելու մասին» ԵՏԲԽ-ի որոշումն ընդունելուց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11.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«Մաքսային միության հանձնաժողովի 2010 թվականի սեպտեմբերի 20-ի թիվ 378 որոշման 7-րդ հավելվածում սակագնային արտոնությունների դասակարգչի ավելացման մասով փոփոխություններ կատարելու մասին»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Հանձնաժողովի կոլեգիայի որոշման ընդունում 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 Միության համար պարտադիր լինելու վերաբերյալ Միության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համաձայնությունը հայտնելու մասին» ԵՏԲԽ-ի որոշումն ընդունելուց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12.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«Վիետնամի ծագում ունեցող բրնձի սակագնային քվոտաները ԵԱՏՄ անդամ պետությունների միջ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բաշխելու մասին» Հանձնաժողովի կոլեգիայի որոշման ընդունում (Համաձայնագրի 1-ին հավելվածին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յուրաքանչյուր տարի 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13.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«Վիետնամի Սոցիալիստական Հանրապետություն ապրանքների անմաքս մատակարարման քվոտաները ԵԱՏՄ անդամ պետությունների միջ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բաշխելու մասին» Հանձնաժողովի կոլեգիայի որոշման ընդունումը (Համաձայնագրի 1-ին հավելվածին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յուրաքանչյուր տարի (Հանձնաժողովին համապատասխան լիազորություններով օժտելու դեպքում)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Խթանող մեխանիզմ կիրառելու կարգի ընդունում (Համաձայնագրի 2.10-րդ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հոդվածին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դեկտեմբեր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15.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Երկկողմ պաշտպանական միջոցներ կիրառելու կարգի ընդունում (Համաձայնագրի 3.4-րդ հոդվածին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դեկտեմբեր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16.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Ներմուծման առանձնաշնորհային (պրեֆերենցիալ) ռեժիմի ժամանակավոր կասեցման մեխանիզմի ընդունում (Համաձայնագրի 4.25-րդ հոդվածին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2016 թվականի առաջին կիսամյակ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17.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Ծագման հավաստագրման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ստուգման էլեկտրոնային համակարգի մշակում ու ներդրում (Համաձայնագրի 4.29-րդ հոդվածին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Համաձայնագիրն ուժի մեջ մտնելու օրվանից հետո երկու տարվա ընթացքում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18.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464C23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Համատեղ արձանագրության մշակում՝ օֆշորային երկրների կամ տարածքների ցանկով (Համաձայնագրի 4.10-րդ հոդվածի 2-րդ 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պետություններ, Հանձնաժողով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Անհրաժեշտության դեպքում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19.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Լիազորված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ստուգող մարմինների, հավաստագրերի վերաբերյալ տեղեկատվության հրապարակումը Միության կայքում(Համաձայնագրի 4.28-րդ հոդվածի 3-րդ 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D5118F" w:rsidRPr="00D5118F" w:rsidRDefault="00D5118F" w:rsidP="002F4369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 Միության համար պարտադիր լինելու վերաբերյալ Միության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ը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հայտնելու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մասին» ԵՏԲԽ-ի որոշումն ընդունելուց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պետությունների տարածքներում արտադրված ապրանքների նկատմամբ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ապրանքների ծագման գրանցված աշխարհագրական նշումների (տեղանունների) ցանկերի ուղարկում Հանձնաժողով (Համաձայնագրի 9.8-րդ հոդվածի 6-րդ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ԵԱՏՄ անդամ պետություններ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ԵԱՏՄ անդամ պետությունների կողմից Համաձայնագիրն ուժի մեջ մտնելու համար անհրաժեշտ ներպետական ընթացակարգերը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եզրափակելուց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ԵԱՏՄ անդամ պետությունների տարածքներում արտադրված ապրանքների նկատմամբ ապրանքների ծագման գրանցված աշխարհագրական նշումների (տեղանունների) ցանկերի ուղարկում վիետնամական կողմին (Համաձայնագրի 9.8-րդ հոդվածի 6-րդ 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2F4369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«Համաձայնագրի՝ Միության համար պարտադիր լինելու վերաբերյալ Միության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համաձայնություն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ը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հայտնելու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մասին» ԵՏԲԽ-ի որոշումն ընդունելուց հետո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22.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Եվրասիական տնտեսական միության անդամ պետությունների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Եվրասիական տնտեսական հանձնաժողովի միջ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երրորդ կողմերի հետ միջազգային առ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տրային վեճերի հարցերով փոխգործակցության կարգի ընդունում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(Համաձայնագրի 14.4-րդ հոդվածի իրագործման նպատակներով)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պետություններ, Հանձնաժողով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սեպտեմբերի 1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23.</w:t>
            </w:r>
          </w:p>
        </w:tc>
        <w:tc>
          <w:tcPr>
            <w:tcW w:w="7667" w:type="dxa"/>
            <w:shd w:val="clear" w:color="auto" w:fill="FFFFFF"/>
            <w:vAlign w:val="bottom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Համաձայնագրի վերանայմանն առնչվող վերլուծական զեկույցի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առաջարկների պատրաստում՝ Համաձայնագրով սահմանված նպատակներին հասնելու համար այն կատարելագործելու նպատակով (Համաձայնագրի 15.4-րդ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հոդվածի իրագործման նպատակներով)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Համաձայնագիրն ուժի մեջ մտնելուց 3 տարի հետո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եւ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հետագայում՝ յուրաքանչյուր 5 տարին մեկ</w:t>
            </w:r>
          </w:p>
        </w:tc>
      </w:tr>
      <w:tr w:rsidR="00D5118F" w:rsidRPr="00D5118F" w:rsidTr="00D5118F">
        <w:trPr>
          <w:jc w:val="center"/>
        </w:trPr>
        <w:tc>
          <w:tcPr>
            <w:tcW w:w="989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24.</w:t>
            </w:r>
          </w:p>
        </w:tc>
        <w:tc>
          <w:tcPr>
            <w:tcW w:w="7667" w:type="dxa"/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Համաձայնագրի իրագործման ընթացքի ամենամյա դիտանցման իրականացում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համապատասխան զեկույցի պատրաստում (վերլուծական զեկույցի պատրաստման նպատակով՝ սույն պլանի 20–րդ կետին համապատասխան)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115" w:righ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յուրաքանչյուր տարի</w:t>
            </w:r>
          </w:p>
        </w:tc>
      </w:tr>
    </w:tbl>
    <w:p w:rsidR="00D5118F" w:rsidRDefault="00D5118F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Overlap w:val="never"/>
        <w:tblW w:w="154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7722"/>
        <w:gridCol w:w="2712"/>
        <w:gridCol w:w="3994"/>
      </w:tblGrid>
      <w:tr w:rsidR="004A7535" w:rsidRPr="00D5118F" w:rsidTr="00AD3885">
        <w:trPr>
          <w:jc w:val="center"/>
        </w:trPr>
        <w:tc>
          <w:tcPr>
            <w:tcW w:w="15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lastRenderedPageBreak/>
              <w:t>II.</w:t>
            </w:r>
            <w:r w:rsid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t>Միջկառավարական համաձայնագրերի կնքմանն առնչվող բելառուսա–վիետնամական եւ ռուս–վիետնամական խորհրդակցություններ՝ Վիետնամի Սոցիալիստական Հանրապետության տարածքում ավտոմոբիլային տեխնիկայի արդյունաբերական հավաքման վերաբերյալ</w:t>
            </w:r>
          </w:p>
        </w:tc>
      </w:tr>
      <w:tr w:rsidR="004A7535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4A7535" w:rsidP="00D5118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4A7535" w:rsidP="00D5118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Կատարող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Ժամկետ</w:t>
            </w:r>
          </w:p>
        </w:tc>
      </w:tr>
      <w:tr w:rsidR="004A7535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E3974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E3974">
              <w:rPr>
                <w:rStyle w:val="Bodytext2TrebuchetMS"/>
                <w:rFonts w:ascii="GHEA Grapalat" w:hAnsi="GHEA Grapalat"/>
                <w:sz w:val="24"/>
                <w:szCs w:val="24"/>
              </w:rPr>
              <w:t>1</w:t>
            </w:r>
            <w:r w:rsidR="00D5118F" w:rsidRPr="001E3974">
              <w:rPr>
                <w:rStyle w:val="Bodytext2TimesNewRoman4"/>
                <w:rFonts w:ascii="GHEA Grapalat" w:eastAsia="Sylfaen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77" w:right="254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Ավտոմոբիլների արդյունաբերական հավաքմանն առնչվող երկկողմ համաձայնագրերի վերաբերյալ բանակցությունների կազմակերպում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անցկացում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AD3885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Բելառուսի Հանրապետություն, Ռուսաստանի Դաշնություն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3-րդ եռամսյակ</w:t>
            </w:r>
          </w:p>
        </w:tc>
      </w:tr>
      <w:tr w:rsidR="004A7535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77" w:right="254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Վերջնական պայմանավորվածությունների ձեռքբերում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համապատասխան երկկողմ համաձայնագրերի պատրաստում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AD3885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Բելառուսի Հանրապետություն, Ռուսաստանի Դաշնություն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3-րդ եռամսյակ</w:t>
            </w:r>
          </w:p>
        </w:tc>
      </w:tr>
      <w:tr w:rsidR="004A7535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ind w:left="77" w:right="254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«Վիետնամի Սոցիալիստական Հանրապետության տարածքում ավտոմոբիլային տեխնիկայի արդյունաբերական հավաքման մասին» միջկառավարական համաձայնագրերի ստորագրում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AD3885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Բելառուսի Հանրապետություն, Ռուսաստանի Դաշնություն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պայմանավորվածությունների ձեռքբերման ժամկետներից կախված</w:t>
            </w:r>
          </w:p>
        </w:tc>
      </w:tr>
      <w:tr w:rsidR="00D5118F" w:rsidRPr="00D5118F" w:rsidTr="00AD3885">
        <w:trPr>
          <w:jc w:val="center"/>
        </w:trPr>
        <w:tc>
          <w:tcPr>
            <w:tcW w:w="1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</w:pPr>
            <w:r w:rsidRP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t>III. Խորհրդակցություններ՝ Վիետնամի Սոցիալիստական Հանրապետության շուկայում ԵԱՏՄ անդամ պետությունների տարածքների ծագում ունեցող ալկոհոլային արտադրանքի հասանելիության հարցի վերաբերյալ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rebuchetMS"/>
                <w:rFonts w:ascii="GHEA Grapalat" w:hAnsi="GHEA Grapalat"/>
                <w:sz w:val="24"/>
                <w:szCs w:val="24"/>
              </w:rPr>
              <w:t>1</w:t>
            </w:r>
            <w:r>
              <w:rPr>
                <w:rStyle w:val="Bodytext2TimesNewRoman4"/>
                <w:rFonts w:ascii="GHEA Grapalat" w:eastAsia="Sylfaen" w:hAnsi="GHEA Grapalat"/>
                <w:sz w:val="24"/>
                <w:szCs w:val="24"/>
                <w:lang w:val="ru-RU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Ոչ պաշտոնական խորհրդակցությունների անցկացում Վիետնամի Սոցիալիստական Հանրապետության ներկայացուցիչների հետ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սեպտեմբեր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«Վիետնամի Սոցիալիստական Հանրապետության հետ առանձնաշնորհային առ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տրի պայմանների մասին» Հանձնաժողովի խորհրդի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ԵՏԲԽ–ի անհրաժեշտ որոշումների ընդունում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պայմանավորվածության ձեռքբերման ժամկետներից կախված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«Համապատասխան բանակցությունների արդյունքների հիման վրա Համաձայնագրում փոփոխություններ կատարելու մասին» արձանագրության նախագծի պատրաստում </w:t>
            </w:r>
            <w:r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ուղարկում ԵԱՏՄ անդամ պետություններ՝ դրա ստորագրման համար անհրաժեշտ ներպետական ընթացակարգերն անցկացնելու նպատակով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պայմանավորվածության ձեռքբերման ժամկետներից կախված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4.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«Համաձայնագրում փոփոխություններ կատարելու մասին» արձանագրության ստորագրման համար անհրաժեշտ ներպետական ընթացակարգերի անցկացում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պայմանավորվածության ձեռքբերման ժամկետներից կախված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5.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«Համաձայնագրում փոփոխություններ կատարելու մասին» արձանագրության ստորագրում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պայմանավորվածության ձեռքբերման ժամկետներից կախված</w:t>
            </w:r>
          </w:p>
        </w:tc>
      </w:tr>
      <w:tr w:rsidR="00D5118F" w:rsidRPr="00D5118F" w:rsidTr="00AD3885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6.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18F" w:rsidRPr="00D5118F" w:rsidRDefault="00D5118F" w:rsidP="00D5118F">
            <w:pPr>
              <w:pStyle w:val="Bodytext20"/>
              <w:shd w:val="clear" w:color="auto" w:fill="auto"/>
              <w:spacing w:after="120" w:line="240" w:lineRule="auto"/>
              <w:ind w:left="77" w:right="113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Համաձայնագիրն ուժի մեջ մտնելու համար ներպետական ընթացակարգերի անցկացում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AD38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18F" w:rsidRPr="00D5118F" w:rsidRDefault="00D5118F" w:rsidP="005A7D8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վիետնամական կողմի հետ պայմանավորվածության ձեռքբերման ժամկետներից կախված</w:t>
            </w:r>
          </w:p>
        </w:tc>
      </w:tr>
    </w:tbl>
    <w:p w:rsidR="00D5118F" w:rsidRDefault="00D5118F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Overlap w:val="never"/>
        <w:tblW w:w="14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7785"/>
        <w:gridCol w:w="2065"/>
        <w:gridCol w:w="3969"/>
      </w:tblGrid>
      <w:tr w:rsidR="004A7535" w:rsidRPr="00D5118F" w:rsidTr="002F4369">
        <w:trPr>
          <w:jc w:val="center"/>
        </w:trPr>
        <w:tc>
          <w:tcPr>
            <w:tcW w:w="14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1"/>
                <w:rFonts w:ascii="GHEA Grapalat" w:eastAsia="Sylfaen" w:hAnsi="GHEA Grapalat"/>
                <w:sz w:val="24"/>
                <w:szCs w:val="24"/>
              </w:rPr>
              <w:lastRenderedPageBreak/>
              <w:t xml:space="preserve">IV. Գործարար շրջանակների համար նախատեսված միջոցառումներ </w:t>
            </w:r>
          </w:p>
        </w:tc>
      </w:tr>
      <w:tr w:rsidR="004A7535" w:rsidRPr="00D5118F" w:rsidTr="002F4369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4A7535" w:rsidP="00D5118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4A7535" w:rsidP="00D5118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Կատարող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2"/>
                <w:rFonts w:ascii="GHEA Grapalat" w:eastAsia="Sylfaen" w:hAnsi="GHEA Grapalat"/>
                <w:sz w:val="24"/>
                <w:szCs w:val="24"/>
              </w:rPr>
              <w:t>Ժամկետ</w:t>
            </w:r>
          </w:p>
        </w:tc>
      </w:tr>
      <w:tr w:rsidR="004A7535" w:rsidRPr="00D5118F" w:rsidTr="002F4369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right="2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left="99" w:right="153" w:hanging="99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պետությունների ընկերությունների համար Վիետնամի շուկայի հասանելիության վերաբերյալ տեղեկատվական բրոշյուրի պատրաստում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սեպտեմբեր</w:t>
            </w:r>
          </w:p>
        </w:tc>
      </w:tr>
      <w:tr w:rsidR="004A7535" w:rsidRPr="00D5118F" w:rsidTr="002F4369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right="2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left="99" w:right="153" w:hanging="99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Վիետնամի տարածքում Վիետնամի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ԵԱՏՄ անդամ պետությունների ընկերությունների մասնակցությամբ բիզնես ֆորումի կազմակերպում ու անցկացում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2015 թվականի հոկտեմբեր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  <w:lang w:val="en-US"/>
              </w:rPr>
              <w:t>-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նոյեմբեր</w:t>
            </w:r>
          </w:p>
        </w:tc>
      </w:tr>
      <w:tr w:rsidR="004A7535" w:rsidRPr="00D5118F" w:rsidTr="002F4369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right="2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D5118F" w:rsidRDefault="00BD4CF6" w:rsidP="002F4369">
            <w:pPr>
              <w:pStyle w:val="Bodytext20"/>
              <w:shd w:val="clear" w:color="auto" w:fill="auto"/>
              <w:spacing w:after="120" w:line="240" w:lineRule="auto"/>
              <w:ind w:left="99" w:right="153" w:hanging="99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ԵԱՏՄ-ի տարածքում ՎՍ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ԵԱՏՄ</w:t>
            </w:r>
            <w:r w:rsidR="002F4369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անդամ պետությունների ընկերությունների մասնակցությամբ բիզնես ֆորումի կազմակերպում ու անցկացում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35" w:rsidRPr="00D5118F" w:rsidRDefault="00BD4CF6" w:rsidP="002F4369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Հանձնաժողով, ԵԱՏՄ անդամ պետություններ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D5118F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2016 թվական</w:t>
            </w:r>
          </w:p>
        </w:tc>
      </w:tr>
      <w:tr w:rsidR="004A7535" w:rsidRPr="00D5118F" w:rsidTr="002F4369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ind w:right="23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D5118F" w:rsidRDefault="00BD4CF6" w:rsidP="002F4369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ind w:left="99" w:right="153" w:hanging="99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ԵԱՏՄ անդամ պետությունների կողմից արտահանման հարցում աջակցությանը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գործարար կապերի հաստատմանն առնչվող միջոցառումների պլանների պատրաստում 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 xml:space="preserve"> հաստատում՝ Համաձայնագրով հաստատված առանձնաշնորհային առ</w:t>
            </w:r>
            <w:r w:rsid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եւ</w:t>
            </w: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տրի ռեժիմն արդյունավետ օգտագործելու նպատակով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D5118F" w:rsidRDefault="00BD4CF6" w:rsidP="002F4369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5118F">
              <w:rPr>
                <w:rStyle w:val="Bodytext2TimesNewRoman3"/>
                <w:rFonts w:ascii="GHEA Grapalat" w:eastAsia="Sylfaen" w:hAnsi="GHEA Grapalat"/>
                <w:sz w:val="24"/>
                <w:szCs w:val="24"/>
              </w:rPr>
              <w:t>ԵԱՏՄ անդամ պետություններ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D5118F" w:rsidRDefault="002F4369" w:rsidP="00D5118F">
            <w:pPr>
              <w:pStyle w:val="Bodytext20"/>
              <w:keepNext/>
              <w:keepLines/>
              <w:shd w:val="clear" w:color="auto" w:fill="auto"/>
              <w:spacing w:after="120" w:line="24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r>
              <w:rPr>
                <w:rStyle w:val="Bodytext214pt"/>
                <w:rFonts w:ascii="GHEA Grapalat" w:hAnsi="GHEA Grapalat"/>
                <w:spacing w:val="0"/>
                <w:sz w:val="24"/>
                <w:szCs w:val="24"/>
              </w:rPr>
              <w:t>ա</w:t>
            </w:r>
            <w:r w:rsidR="00BD4CF6" w:rsidRPr="00D5118F">
              <w:rPr>
                <w:rStyle w:val="Bodytext214pt"/>
                <w:rFonts w:ascii="GHEA Grapalat" w:hAnsi="GHEA Grapalat"/>
                <w:spacing w:val="0"/>
                <w:sz w:val="24"/>
                <w:szCs w:val="24"/>
              </w:rPr>
              <w:t>նհրաժեշտության դեպքում</w:t>
            </w:r>
          </w:p>
        </w:tc>
      </w:tr>
    </w:tbl>
    <w:p w:rsidR="004A7535" w:rsidRPr="00D5118F" w:rsidRDefault="004A7535" w:rsidP="00D5118F">
      <w:pPr>
        <w:spacing w:after="120"/>
        <w:rPr>
          <w:rFonts w:ascii="GHEA Grapalat" w:hAnsi="GHEA Grapalat"/>
        </w:rPr>
      </w:pPr>
    </w:p>
    <w:sectPr w:rsidR="004A7535" w:rsidRPr="00D5118F" w:rsidSect="00A44C20">
      <w:headerReference w:type="first" r:id="rId9"/>
      <w:pgSz w:w="16840" w:h="11900" w:orient="landscape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F9" w:rsidRDefault="00CC3CF9" w:rsidP="004A7535">
      <w:r>
        <w:separator/>
      </w:r>
    </w:p>
  </w:endnote>
  <w:endnote w:type="continuationSeparator" w:id="0">
    <w:p w:rsidR="00CC3CF9" w:rsidRDefault="00CC3CF9" w:rsidP="004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F9" w:rsidRDefault="00CC3CF9"/>
  </w:footnote>
  <w:footnote w:type="continuationSeparator" w:id="0">
    <w:p w:rsidR="00CC3CF9" w:rsidRDefault="00CC3C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20" w:rsidRDefault="00A44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1B55"/>
    <w:multiLevelType w:val="multilevel"/>
    <w:tmpl w:val="A18E6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34615"/>
    <w:multiLevelType w:val="multilevel"/>
    <w:tmpl w:val="D832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98035C"/>
    <w:multiLevelType w:val="multilevel"/>
    <w:tmpl w:val="2E1EC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A64F9"/>
    <w:multiLevelType w:val="multilevel"/>
    <w:tmpl w:val="FB406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7535"/>
    <w:rsid w:val="00064DF4"/>
    <w:rsid w:val="000739C1"/>
    <w:rsid w:val="00086EE6"/>
    <w:rsid w:val="000B266D"/>
    <w:rsid w:val="000C62B7"/>
    <w:rsid w:val="00140A88"/>
    <w:rsid w:val="001A256B"/>
    <w:rsid w:val="001A2DA6"/>
    <w:rsid w:val="001A3C85"/>
    <w:rsid w:val="001E3974"/>
    <w:rsid w:val="00202419"/>
    <w:rsid w:val="0022629B"/>
    <w:rsid w:val="00245508"/>
    <w:rsid w:val="0025145C"/>
    <w:rsid w:val="002C1E4F"/>
    <w:rsid w:val="002F4369"/>
    <w:rsid w:val="00301D19"/>
    <w:rsid w:val="003805BC"/>
    <w:rsid w:val="003D0689"/>
    <w:rsid w:val="003D1A4C"/>
    <w:rsid w:val="0042648B"/>
    <w:rsid w:val="00464C23"/>
    <w:rsid w:val="004A7535"/>
    <w:rsid w:val="004B2BE1"/>
    <w:rsid w:val="004B41DA"/>
    <w:rsid w:val="00501BFD"/>
    <w:rsid w:val="00523824"/>
    <w:rsid w:val="00527604"/>
    <w:rsid w:val="005305EC"/>
    <w:rsid w:val="00540131"/>
    <w:rsid w:val="00552B15"/>
    <w:rsid w:val="005729D4"/>
    <w:rsid w:val="00572E80"/>
    <w:rsid w:val="00581F6E"/>
    <w:rsid w:val="005B3EE6"/>
    <w:rsid w:val="006325D6"/>
    <w:rsid w:val="006378F7"/>
    <w:rsid w:val="006536A1"/>
    <w:rsid w:val="00662316"/>
    <w:rsid w:val="00684B01"/>
    <w:rsid w:val="00690619"/>
    <w:rsid w:val="006C2637"/>
    <w:rsid w:val="006E4D6C"/>
    <w:rsid w:val="00710772"/>
    <w:rsid w:val="007276C8"/>
    <w:rsid w:val="00727D26"/>
    <w:rsid w:val="00756E3C"/>
    <w:rsid w:val="00792883"/>
    <w:rsid w:val="007C0872"/>
    <w:rsid w:val="007E68F5"/>
    <w:rsid w:val="007F0423"/>
    <w:rsid w:val="00840106"/>
    <w:rsid w:val="00851EB4"/>
    <w:rsid w:val="008605DE"/>
    <w:rsid w:val="008714BC"/>
    <w:rsid w:val="008856AD"/>
    <w:rsid w:val="008E2045"/>
    <w:rsid w:val="008F36B5"/>
    <w:rsid w:val="008F3ECF"/>
    <w:rsid w:val="00905375"/>
    <w:rsid w:val="009173A7"/>
    <w:rsid w:val="009241E7"/>
    <w:rsid w:val="00940AFE"/>
    <w:rsid w:val="00954920"/>
    <w:rsid w:val="009759A5"/>
    <w:rsid w:val="009A5D17"/>
    <w:rsid w:val="009C1FEC"/>
    <w:rsid w:val="009C226D"/>
    <w:rsid w:val="00A11184"/>
    <w:rsid w:val="00A118F7"/>
    <w:rsid w:val="00A25B7D"/>
    <w:rsid w:val="00A44C20"/>
    <w:rsid w:val="00A703B6"/>
    <w:rsid w:val="00AB7DC7"/>
    <w:rsid w:val="00AC2091"/>
    <w:rsid w:val="00AD3885"/>
    <w:rsid w:val="00AF4E7C"/>
    <w:rsid w:val="00B12B3E"/>
    <w:rsid w:val="00B76390"/>
    <w:rsid w:val="00B76B6E"/>
    <w:rsid w:val="00B86E98"/>
    <w:rsid w:val="00BA4BFC"/>
    <w:rsid w:val="00BB7C96"/>
    <w:rsid w:val="00BD3768"/>
    <w:rsid w:val="00BD4CF6"/>
    <w:rsid w:val="00BF33D5"/>
    <w:rsid w:val="00C12BDA"/>
    <w:rsid w:val="00C17A55"/>
    <w:rsid w:val="00C34BCB"/>
    <w:rsid w:val="00C44578"/>
    <w:rsid w:val="00C83CA3"/>
    <w:rsid w:val="00CC3723"/>
    <w:rsid w:val="00CC3CF9"/>
    <w:rsid w:val="00CE1C1E"/>
    <w:rsid w:val="00D12EAC"/>
    <w:rsid w:val="00D5118F"/>
    <w:rsid w:val="00DF2974"/>
    <w:rsid w:val="00E417B7"/>
    <w:rsid w:val="00E41BBA"/>
    <w:rsid w:val="00E971E9"/>
    <w:rsid w:val="00EC771C"/>
    <w:rsid w:val="00ED2CD9"/>
    <w:rsid w:val="00EF4A0E"/>
    <w:rsid w:val="00F26B1C"/>
    <w:rsid w:val="00F34D51"/>
    <w:rsid w:val="00F34EEA"/>
    <w:rsid w:val="00F512C5"/>
    <w:rsid w:val="00F67CCE"/>
    <w:rsid w:val="00F9794B"/>
    <w:rsid w:val="00FA61A3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75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7535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A7535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TimesNewRoman">
    <w:name w:val="Heading #1 + Times New Roman"/>
    <w:aliases w:val="Bold"/>
    <w:basedOn w:val="Heading1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5Spacing4pt">
    <w:name w:val="Table caption (5) + Spacing 4 pt"/>
    <w:basedOn w:val="Tablecaption5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A75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A753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TimesNewRoman">
    <w:name w:val="Body text (4) + Times New Roman"/>
    <w:aliases w:val="14 pt"/>
    <w:basedOn w:val="Bodytext4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Bold">
    <w:name w:val="Body text (9) + Bold"/>
    <w:aliases w:val="Spacing 2 pt"/>
    <w:basedOn w:val="Bodytext9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4A7535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TimesNewRoman">
    <w:name w:val="Body text (6) + Times New Roman"/>
    <w:aliases w:val="Bold"/>
    <w:basedOn w:val="Bodytext6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4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1.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1.5 pt"/>
    <w:basedOn w:val="Bodytext2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TrebuchetMS">
    <w:name w:val="Body text (2) + Trebuchet MS"/>
    <w:basedOn w:val="Bodytext2"/>
    <w:rsid w:val="004A75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4">
    <w:name w:val="Body text (2) + Times New Roman"/>
    <w:aliases w:val="7.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14pt">
    <w:name w:val="Body text (2) + 14 pt"/>
    <w:aliases w:val="Spacing 0 pt"/>
    <w:basedOn w:val="Bodytext2"/>
    <w:rsid w:val="004A75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4A753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A7535"/>
    <w:pPr>
      <w:shd w:val="clear" w:color="auto" w:fill="FFFFFF"/>
      <w:spacing w:before="120" w:after="1020" w:line="0" w:lineRule="atLeast"/>
      <w:jc w:val="center"/>
      <w:outlineLvl w:val="0"/>
    </w:pPr>
    <w:rPr>
      <w:sz w:val="36"/>
      <w:szCs w:val="36"/>
    </w:rPr>
  </w:style>
  <w:style w:type="paragraph" w:customStyle="1" w:styleId="Tablecaption50">
    <w:name w:val="Table caption (5)"/>
    <w:basedOn w:val="Normal"/>
    <w:link w:val="Tablecaption5"/>
    <w:rsid w:val="004A75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7535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40">
    <w:name w:val="Body text (4)"/>
    <w:basedOn w:val="Normal"/>
    <w:link w:val="Bodytext4"/>
    <w:rsid w:val="004A7535"/>
    <w:pPr>
      <w:shd w:val="clear" w:color="auto" w:fill="FFFFFF"/>
      <w:spacing w:before="1020" w:after="420" w:line="0" w:lineRule="atLeast"/>
      <w:jc w:val="center"/>
    </w:pPr>
    <w:rPr>
      <w:b/>
      <w:bCs/>
      <w:sz w:val="30"/>
      <w:szCs w:val="30"/>
    </w:rPr>
  </w:style>
  <w:style w:type="paragraph" w:customStyle="1" w:styleId="Bodytext90">
    <w:name w:val="Body text (9)"/>
    <w:basedOn w:val="Normal"/>
    <w:link w:val="Bodytext9"/>
    <w:rsid w:val="004A7535"/>
    <w:pPr>
      <w:shd w:val="clear" w:color="auto" w:fill="FFFFFF"/>
      <w:spacing w:before="480" w:line="518" w:lineRule="exact"/>
      <w:ind w:firstLine="6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4A7535"/>
    <w:pPr>
      <w:shd w:val="clear" w:color="auto" w:fill="FFFFFF"/>
      <w:spacing w:line="410" w:lineRule="exact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2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1E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E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C2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C2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44C2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C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2160-5764-461B-823E-2DD3AB86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28</cp:revision>
  <dcterms:created xsi:type="dcterms:W3CDTF">2016-02-29T09:52:00Z</dcterms:created>
  <dcterms:modified xsi:type="dcterms:W3CDTF">2016-06-24T07:37:00Z</dcterms:modified>
</cp:coreProperties>
</file>